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AE" w:rsidRPr="00A05711" w:rsidRDefault="00FA79E4">
      <w:pPr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  <w:shd w:val="clear" w:color="auto" w:fill="FFFFFF"/>
        </w:rPr>
      </w:pPr>
      <w:r w:rsidRPr="00A05711">
        <w:rPr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关于光明新区</w:t>
      </w:r>
      <w:r w:rsidRPr="00A05711">
        <w:rPr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201</w:t>
      </w:r>
      <w:r w:rsidRPr="00A05711">
        <w:rPr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6</w:t>
      </w:r>
      <w:r w:rsidRPr="00A05711">
        <w:rPr>
          <w:rFonts w:asciiTheme="majorEastAsia" w:eastAsiaTheme="majorEastAsia" w:hAnsiTheme="majorEastAsia" w:cstheme="majorEastAsia" w:hint="eastAsia"/>
          <w:color w:val="000000"/>
          <w:sz w:val="44"/>
          <w:szCs w:val="44"/>
          <w:shd w:val="clear" w:color="auto" w:fill="FFFFFF"/>
        </w:rPr>
        <w:t>年财政决算草案的报告</w:t>
      </w:r>
    </w:p>
    <w:p w:rsidR="006371AE" w:rsidRPr="00A05711" w:rsidRDefault="006371AE">
      <w:pPr>
        <w:jc w:val="center"/>
        <w:rPr>
          <w:rFonts w:ascii="微软雅黑" w:eastAsia="微软雅黑" w:hAnsi="微软雅黑" w:cs="微软雅黑"/>
          <w:color w:val="000000"/>
          <w:sz w:val="36"/>
          <w:szCs w:val="36"/>
          <w:shd w:val="clear" w:color="auto" w:fill="FFFFFF"/>
        </w:rPr>
      </w:pP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一、一般公共预算收支决算情况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年，光明新区一般公共预算收入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49.7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.3%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年（下同）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增长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，加上上级转移支付、调入资金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、调入预算稳定调节基金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和上年结转结余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142.2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亿元，使用的收入总量为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191.9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亿元。光明新区一般公共预算支出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99.4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年初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173.1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，增长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102.3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，加上体制上解和补充预算稳定调节基金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92.3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亿元，支出总量为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191.7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亿元。结转结余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（一）收入决算情况。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从收入决算来看，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年度光明新区一般公共预算收入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增长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33.4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随着光明新区经济发展，税收收入增加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。主要收入项目情况：增值税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180.3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，主要是“营改增”改革后，增值税大幅增加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；营业税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59.3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proofErr w:type="gramStart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主要是</w:t>
      </w:r>
      <w:proofErr w:type="gramEnd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“营改增”改革后，营业税不再征收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；企业所得税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63.1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；个人所得税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103.3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；城市维护建设税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115.9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；房产税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87.4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；印花税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127.3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；其他各税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393.4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，主要是新区土地及房地产转让带来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土地增值税和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契税大幅增加；非税收入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亿元，为年初预算的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131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.3%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（二）支出决算情况。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从支出决算的具体情况看，主要支出项目情况：一般公共服务支出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.8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9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7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公共安全支出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18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.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219.3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；教育支出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10.5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103.2%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；科学技术支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84.2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，主要是产业扶持类资金因项目申报、受理审批等手续问题影响资金支付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；文化体育与传媒支出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106.8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；社会保障和就业支出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96.4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；医疗卫生与计划生育支出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83.1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是年初安排的医院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医疗设备购置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资金因履行采购手续等问题未如期支付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节能环保支出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1081.2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，主要是光明新区作为“海绵城市”建设试点，获得国家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亿元专项补助资金，支出大幅增加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；城乡社区事务支出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43.8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323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.6%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本年下属街道办事处由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个拆分新增为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个，相应基层管理服务支出大幅增加，同时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围绕新区“强基惠民”和“城市品质提升”两大重点，大幅增加对基层社区的建设管理资金投入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农林水支出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68.8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，主要是水</w:t>
      </w:r>
      <w:proofErr w:type="gramStart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务</w:t>
      </w:r>
      <w:proofErr w:type="gramEnd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专项经费因工作进度和验收考核等问题使用较慢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；资源勘探信息等支出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，主要是加大安全生产监管投入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援助其他地区支出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229.6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，主要是按照对口扶持政策新增对汕尾城区的建设资金帮扶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住房保障支出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86.2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，主要是机关事业单位人员购房补贴支出较年初预算减少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；上解上级支出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.3%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；安排预算稳定调节基金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90.7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（三）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年结转到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年资金使用情况。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年一般公共预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算结转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年资金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已于当年全部统筹盘活使用，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资金结余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（四）预算调整情况。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收入方面，一般公共预算总收入由年初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60.6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亿元调整为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86.7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亿元，调增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26.1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均为调入盘活存量资金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按照收支平衡原则，相应将一般公共预算总支出由年初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60.6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亿元调整为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86.7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亿元，调增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26.1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亿元，主要是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满足新设街道办事处运行管理服务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支出和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围绕新区“强基惠民”和“城市品质提升”两大重点大幅增加对基层社区的建设管理资金投入。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（五）预备费使用情况。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年光明新区一般公共预算支出安排预备费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调整预算调整为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全年实际使用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主要用于</w:t>
      </w:r>
      <w:proofErr w:type="gramStart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荣健农批</w:t>
      </w:r>
      <w:proofErr w:type="gramEnd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市场清拆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、华星光电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G11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项目征收补偿和解决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新增临聘老师队伍经费等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突发开支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（六）预算稳定调节基金的规模和使用情况。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年年底余额为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</w:t>
      </w:r>
      <w:r w:rsidRPr="00A05711">
        <w:rPr>
          <w:rFonts w:ascii="仿宋_GB2312" w:eastAsia="仿宋_GB2312" w:hint="eastAsia"/>
          <w:sz w:val="32"/>
          <w:szCs w:val="32"/>
        </w:rPr>
        <w:t>年初动用调入一般公共预算统筹使用</w:t>
      </w:r>
      <w:r w:rsidRPr="00A05711">
        <w:rPr>
          <w:rFonts w:ascii="仿宋_GB2312" w:eastAsia="仿宋_GB2312" w:hint="eastAsia"/>
          <w:sz w:val="32"/>
          <w:szCs w:val="32"/>
        </w:rPr>
        <w:t>3.6</w:t>
      </w:r>
      <w:r w:rsidRPr="00A05711">
        <w:rPr>
          <w:rFonts w:ascii="仿宋_GB2312" w:eastAsia="仿宋_GB2312" w:hint="eastAsia"/>
          <w:sz w:val="32"/>
          <w:szCs w:val="32"/>
        </w:rPr>
        <w:t>亿元，</w:t>
      </w:r>
      <w:r w:rsidRPr="00A05711">
        <w:rPr>
          <w:rFonts w:ascii="仿宋_GB2312" w:eastAsia="仿宋_GB2312" w:hint="eastAsia"/>
          <w:sz w:val="32"/>
          <w:szCs w:val="32"/>
        </w:rPr>
        <w:t>同时年内</w:t>
      </w:r>
      <w:r w:rsidRPr="00A05711">
        <w:rPr>
          <w:rFonts w:ascii="仿宋_GB2312" w:eastAsia="仿宋_GB2312" w:hint="eastAsia"/>
          <w:sz w:val="32"/>
          <w:szCs w:val="32"/>
        </w:rPr>
        <w:t>新增安排计提</w:t>
      </w:r>
      <w:r w:rsidRPr="00A05711">
        <w:rPr>
          <w:rFonts w:ascii="仿宋_GB2312" w:eastAsia="仿宋_GB2312" w:hint="eastAsia"/>
          <w:sz w:val="32"/>
          <w:szCs w:val="32"/>
        </w:rPr>
        <w:t>90.7</w:t>
      </w:r>
      <w:r w:rsidRPr="00A05711">
        <w:rPr>
          <w:rFonts w:ascii="仿宋_GB2312" w:eastAsia="仿宋_GB2312" w:hint="eastAsia"/>
          <w:sz w:val="32"/>
          <w:szCs w:val="32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年年底余额为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91.9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（七）预算周转金规模和使用情况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截至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年底，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光明新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区预算周转金规模为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，当年无新增和动用预算周转金。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（八）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财政转移支付安排执行情况。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年，光明新区收到上级财政转移支付补助资金约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32.1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专项转移支付补助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已及时下达各部门，全年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统筹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使用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31.9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亿元，结转下年约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九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）超收收入安排情况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光明新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区一般公共预算收入完成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49.73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proofErr w:type="gramStart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较预算</w:t>
      </w:r>
      <w:proofErr w:type="gramEnd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超收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10.96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亿元，按预算法规定补充预算稳定调节基金。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（十）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经批准举借债务的规模、结构、使用、偿还等情况。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　　截至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年底，我区地方政府性债务规模为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0;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债务限额为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0.2</w:t>
      </w:r>
      <w:r w:rsidRPr="00A0571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亿元，全部是一般债务。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十一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）预算绩效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情况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 2017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年已选取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年度三个重点专项资金开展预算绩效评价工作，分别是教育费附加、社</w:t>
      </w:r>
      <w:proofErr w:type="gramStart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康维持</w:t>
      </w:r>
      <w:proofErr w:type="gramEnd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专项资金及经济发展专项资金。同时，已组织单位开展绩效自评工作。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（十二）“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三公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”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经费支出情况。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近年来，光明新区认真落实中央八项规定和《党政机关厉行节约反对浪费条例》，继续严格控制“三公”经费支出，在进一步压缩以前年度实际执行数的基础上，按照零增长的原则确定年度“三公”经费预算控制数。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年，光明新区各预算单位使用一般公共预算财政拨款支出的因公出国（境）经费、公务用车购置及运行费、公务接待费（“三公”经费）合计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4165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年预算控制数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4457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万元减少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292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万元，其中：因公出国（境）经费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243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年预算控制数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240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万元；公务用车购置及运行费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3813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万元（其中，公务用车购置费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325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万元，公务用车运行维护费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3488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万元），比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年预算控制数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3928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万元减少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万元；公务接待费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年预算控制数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290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万元减少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181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年实际执行数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4095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万元，其中：因公出国（境）经费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243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年实际执行数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161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万元，主要根据新区发展战略，增加经贸发展和城市建设学习考察团；公务用车购置及运行费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3813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年实际执行数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3910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万元减少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万元（其中，公务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用车购置费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325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年实际执行数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170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155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主要是公立学校增加购买校车费用；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公务用车运行维护费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3488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年实际执行数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3740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万元减少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252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万元，），主要是新区各预算单位加强公务用车管理。公务接待费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109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万元，比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年实际执行数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增加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二、政府性基金收支决算情况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（一）收入决算情况。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年，光明新区政府性基金收入总量为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148.8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亿元，基本属上级转移支付补助收入，是年初预算的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485.4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，主要原因是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年度执行过程中国有土地出让规模大幅超年初预期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（二）支出决算情况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政府性基金支出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29.8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97.1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按规定调出资金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75.7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结转下年支出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43.3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（三）财政转移支付安排执行情况。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年，光明新区收到上级财政转移支付补助资金约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147.2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亿元，包括国土分成收入约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144.4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亿元、专项转移支付补助约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亿元。其中：国土分成收入已纳入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新区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当年政府性基金预算统筹安排；专项转移支付已及时下达各部门，全年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统筹使用约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2.8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三、国有资本经营收支决算情况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（一）收入决算情况。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 xml:space="preserve">　　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年，光明新区国有资本经营收入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0.17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112.0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，加上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年结转收入，光明新区国有资本经营收入总量为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约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（二）支出决算情况。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　　光明新区国有资本经营支出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0.1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亿元，完成预算的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78.4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%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。结转下年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662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6371AE" w:rsidRPr="00A05711" w:rsidRDefault="00FA79E4">
      <w:pPr>
        <w:pStyle w:val="a3"/>
        <w:widowControl/>
        <w:shd w:val="clear" w:color="auto" w:fill="FFFFFF"/>
        <w:spacing w:beforeAutospacing="0" w:afterAutospacing="0"/>
        <w:ind w:firstLine="4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四、</w:t>
      </w: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社会保险基金收支决算情况</w:t>
      </w:r>
    </w:p>
    <w:p w:rsidR="006371AE" w:rsidRDefault="00FA79E4">
      <w:pPr>
        <w:pStyle w:val="a3"/>
        <w:widowControl/>
        <w:shd w:val="clear" w:color="auto" w:fill="FFFFFF"/>
        <w:spacing w:beforeAutospacing="0" w:afterAutospacing="0"/>
        <w:ind w:firstLine="48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根据市</w:t>
      </w:r>
      <w:proofErr w:type="gramStart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财政委</w:t>
      </w:r>
      <w:proofErr w:type="gramEnd"/>
      <w:r w:rsidRPr="00A0571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统一部署，光明新区无须编制社会保险基金预算，相应无收支决算数据。</w:t>
      </w:r>
    </w:p>
    <w:p w:rsidR="006371AE" w:rsidRDefault="006371AE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</w:pPr>
      <w:bookmarkStart w:id="0" w:name="_GoBack"/>
      <w:bookmarkEnd w:id="0"/>
    </w:p>
    <w:sectPr w:rsidR="006371AE" w:rsidSect="00637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E4" w:rsidRDefault="00FA79E4" w:rsidP="00A05711">
      <w:r>
        <w:separator/>
      </w:r>
    </w:p>
  </w:endnote>
  <w:endnote w:type="continuationSeparator" w:id="0">
    <w:p w:rsidR="00FA79E4" w:rsidRDefault="00FA79E4" w:rsidP="00A0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E4" w:rsidRDefault="00FA79E4" w:rsidP="00A05711">
      <w:r>
        <w:separator/>
      </w:r>
    </w:p>
  </w:footnote>
  <w:footnote w:type="continuationSeparator" w:id="0">
    <w:p w:rsidR="00FA79E4" w:rsidRDefault="00FA79E4" w:rsidP="00A057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F50227"/>
    <w:rsid w:val="006371AE"/>
    <w:rsid w:val="00A05711"/>
    <w:rsid w:val="00FA79E4"/>
    <w:rsid w:val="04DA5209"/>
    <w:rsid w:val="053C5775"/>
    <w:rsid w:val="08675F5B"/>
    <w:rsid w:val="0B157B3F"/>
    <w:rsid w:val="10B5134F"/>
    <w:rsid w:val="10F73662"/>
    <w:rsid w:val="145D3004"/>
    <w:rsid w:val="1737162A"/>
    <w:rsid w:val="1A8C17D1"/>
    <w:rsid w:val="1B7F6EF4"/>
    <w:rsid w:val="1CAC2FE5"/>
    <w:rsid w:val="215F7B4D"/>
    <w:rsid w:val="2408424F"/>
    <w:rsid w:val="2C4F38A4"/>
    <w:rsid w:val="2C783FCC"/>
    <w:rsid w:val="2CF52148"/>
    <w:rsid w:val="2DC420F0"/>
    <w:rsid w:val="2DCA22F0"/>
    <w:rsid w:val="2E1763D3"/>
    <w:rsid w:val="329C5C2A"/>
    <w:rsid w:val="33235643"/>
    <w:rsid w:val="33533280"/>
    <w:rsid w:val="34D52DFA"/>
    <w:rsid w:val="35C456DC"/>
    <w:rsid w:val="37D74B91"/>
    <w:rsid w:val="4F8A223E"/>
    <w:rsid w:val="56E87CD0"/>
    <w:rsid w:val="57CD17C4"/>
    <w:rsid w:val="5BF50227"/>
    <w:rsid w:val="6C8C019B"/>
    <w:rsid w:val="73DD5E18"/>
    <w:rsid w:val="75F422DC"/>
    <w:rsid w:val="7C7B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1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71A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371AE"/>
    <w:rPr>
      <w:color w:val="0000FF"/>
      <w:u w:val="single"/>
    </w:rPr>
  </w:style>
  <w:style w:type="paragraph" w:styleId="a5">
    <w:name w:val="header"/>
    <w:basedOn w:val="a"/>
    <w:link w:val="Char"/>
    <w:rsid w:val="00A05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571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05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571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郑秦芳</cp:lastModifiedBy>
  <cp:revision>2</cp:revision>
  <cp:lastPrinted>2017-11-10T04:46:00Z</cp:lastPrinted>
  <dcterms:created xsi:type="dcterms:W3CDTF">2017-07-20T01:20:00Z</dcterms:created>
  <dcterms:modified xsi:type="dcterms:W3CDTF">2017-11-10T08:06:00Z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