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786" w:type="dxa"/>
        <w:tblInd w:w="0" w:type="dxa"/>
        <w:tblLayout w:type="fixed"/>
        <w:tblCellMar>
          <w:top w:w="0" w:type="dxa"/>
          <w:left w:w="108" w:type="dxa"/>
          <w:bottom w:w="0" w:type="dxa"/>
          <w:right w:w="108" w:type="dxa"/>
        </w:tblCellMar>
      </w:tblPr>
      <w:tblGrid>
        <w:gridCol w:w="2595"/>
        <w:gridCol w:w="750"/>
        <w:gridCol w:w="634"/>
        <w:gridCol w:w="350"/>
        <w:gridCol w:w="347"/>
        <w:gridCol w:w="499"/>
        <w:gridCol w:w="552"/>
        <w:gridCol w:w="895"/>
        <w:gridCol w:w="985"/>
        <w:gridCol w:w="1979"/>
        <w:gridCol w:w="524"/>
        <w:gridCol w:w="1890"/>
        <w:gridCol w:w="456"/>
        <w:gridCol w:w="957"/>
        <w:gridCol w:w="360"/>
        <w:gridCol w:w="7"/>
        <w:gridCol w:w="6"/>
      </w:tblGrid>
      <w:tr>
        <w:tblPrEx>
          <w:tblLayout w:type="fixed"/>
          <w:tblCellMar>
            <w:top w:w="0" w:type="dxa"/>
            <w:left w:w="108" w:type="dxa"/>
            <w:bottom w:w="0" w:type="dxa"/>
            <w:right w:w="108" w:type="dxa"/>
          </w:tblCellMar>
        </w:tblPrEx>
        <w:trPr>
          <w:trHeight w:val="458" w:hRule="atLeast"/>
        </w:trPr>
        <w:tc>
          <w:tcPr>
            <w:tcW w:w="3345" w:type="dxa"/>
            <w:gridSpan w:val="2"/>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附件</w:t>
            </w:r>
          </w:p>
        </w:tc>
        <w:tc>
          <w:tcPr>
            <w:tcW w:w="984" w:type="dxa"/>
            <w:gridSpan w:val="2"/>
            <w:tcBorders>
              <w:top w:val="nil"/>
              <w:left w:val="nil"/>
              <w:bottom w:val="nil"/>
              <w:right w:val="nil"/>
            </w:tcBorders>
            <w:shd w:val="clear" w:color="FFFFFF" w:fill="FFFFFF"/>
            <w:noWrap w:val="0"/>
            <w:vAlign w:val="top"/>
          </w:tcPr>
          <w:p>
            <w:pPr>
              <w:widowControl/>
              <w:jc w:val="left"/>
              <w:rPr>
                <w:rFonts w:hint="eastAsia" w:ascii="宋体" w:hAnsi="宋体" w:cs="宋体"/>
                <w:color w:val="000000"/>
                <w:kern w:val="0"/>
                <w:sz w:val="24"/>
              </w:rPr>
            </w:pPr>
          </w:p>
        </w:tc>
        <w:tc>
          <w:tcPr>
            <w:tcW w:w="1398" w:type="dxa"/>
            <w:gridSpan w:val="3"/>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80" w:type="dxa"/>
            <w:gridSpan w:val="2"/>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19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870"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957" w:type="dxa"/>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373"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458" w:hRule="atLeast"/>
        </w:trPr>
        <w:tc>
          <w:tcPr>
            <w:tcW w:w="13773" w:type="dxa"/>
            <w:gridSpan w:val="15"/>
            <w:tcBorders>
              <w:top w:val="nil"/>
              <w:left w:val="nil"/>
              <w:bottom w:val="nil"/>
              <w:right w:val="nil"/>
            </w:tcBorders>
            <w:shd w:val="clear" w:color="FFFFFF" w:fill="FFFFFF"/>
            <w:noWrap w:val="0"/>
            <w:vAlign w:val="top"/>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2020年度</w:t>
            </w:r>
            <w:r>
              <w:rPr>
                <w:rFonts w:hint="eastAsia" w:ascii="宋体" w:hAnsi="宋体" w:cs="宋体"/>
                <w:b/>
                <w:bCs/>
                <w:color w:val="000000"/>
                <w:kern w:val="0"/>
                <w:sz w:val="30"/>
                <w:szCs w:val="30"/>
                <w:lang w:val="en-US" w:eastAsia="zh-CN"/>
              </w:rPr>
              <w:t>光明区水务局</w:t>
            </w:r>
            <w:r>
              <w:rPr>
                <w:rFonts w:hint="eastAsia" w:ascii="宋体" w:hAnsi="宋体" w:cs="宋体"/>
                <w:b/>
                <w:bCs/>
                <w:color w:val="000000"/>
                <w:kern w:val="0"/>
                <w:sz w:val="30"/>
                <w:szCs w:val="30"/>
              </w:rPr>
              <w:t>政府采购意向公开表</w:t>
            </w:r>
          </w:p>
        </w:tc>
      </w:tr>
      <w:tr>
        <w:tblPrEx>
          <w:tblLayout w:type="fixed"/>
          <w:tblCellMar>
            <w:top w:w="0" w:type="dxa"/>
            <w:left w:w="108" w:type="dxa"/>
            <w:bottom w:w="0" w:type="dxa"/>
            <w:right w:w="108" w:type="dxa"/>
          </w:tblCellMar>
        </w:tblPrEx>
        <w:trPr>
          <w:gridAfter w:val="1"/>
          <w:wAfter w:w="6" w:type="dxa"/>
          <w:trHeight w:val="300" w:hRule="atLeast"/>
        </w:trPr>
        <w:tc>
          <w:tcPr>
            <w:tcW w:w="2595" w:type="dxa"/>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eastAsia="zh-CN"/>
              </w:rPr>
              <w:t>光明区水务局</w:t>
            </w:r>
          </w:p>
        </w:tc>
        <w:tc>
          <w:tcPr>
            <w:tcW w:w="1384" w:type="dxa"/>
            <w:gridSpan w:val="2"/>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97" w:type="dxa"/>
            <w:gridSpan w:val="2"/>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499" w:type="dxa"/>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1447"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3670" w:type="dxa"/>
            <w:gridSpan w:val="5"/>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75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序号</w:t>
            </w:r>
          </w:p>
        </w:tc>
        <w:tc>
          <w:tcPr>
            <w:tcW w:w="1830" w:type="dxa"/>
            <w:gridSpan w:val="4"/>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采购项目名称</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3488" w:type="dxa"/>
            <w:gridSpan w:val="3"/>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773" w:type="dxa"/>
            <w:gridSpan w:val="3"/>
            <w:tcBorders>
              <w:top w:val="single" w:color="auto" w:sz="4" w:space="0"/>
              <w:left w:val="nil"/>
              <w:bottom w:val="single" w:color="auto" w:sz="4" w:space="0"/>
              <w:right w:val="single" w:color="auto" w:sz="4" w:space="0"/>
            </w:tcBorders>
            <w:shd w:val="clear" w:color="FFFFFF"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光明区水务局</w:t>
            </w:r>
            <w:r>
              <w:rPr>
                <w:rFonts w:hint="eastAsia" w:ascii="宋体" w:hAnsi="宋体" w:cs="宋体"/>
                <w:color w:val="000000"/>
                <w:kern w:val="0"/>
                <w:sz w:val="20"/>
                <w:szCs w:val="20"/>
              </w:rPr>
              <w:t xml:space="preserve"> </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348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77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bookmarkStart w:id="0" w:name="_GoBack" w:colFirst="3" w:colLast="5"/>
            <w:r>
              <w:rPr>
                <w:rFonts w:hint="eastAsia" w:ascii="宋体" w:hAnsi="宋体" w:cs="宋体"/>
                <w:color w:val="000000"/>
                <w:kern w:val="0"/>
                <w:sz w:val="20"/>
                <w:szCs w:val="20"/>
              </w:rPr>
              <w:t xml:space="preserve">    </w:t>
            </w:r>
            <w:r>
              <w:rPr>
                <w:rFonts w:hint="eastAsia" w:ascii="宋体" w:hAnsi="宋体" w:cs="宋体"/>
                <w:color w:val="000000"/>
                <w:kern w:val="0"/>
                <w:sz w:val="20"/>
                <w:szCs w:val="20"/>
                <w:lang w:eastAsia="zh-CN"/>
              </w:rPr>
              <w:t>光明区水务局</w:t>
            </w:r>
            <w:r>
              <w:rPr>
                <w:rFonts w:hint="eastAsia" w:ascii="宋体" w:hAnsi="宋体" w:cs="宋体"/>
                <w:color w:val="000000"/>
                <w:kern w:val="0"/>
                <w:sz w:val="20"/>
                <w:szCs w:val="20"/>
              </w:rPr>
              <w:t>本级</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光明区“湖长制”管理技术咨询服务项目</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2020年8月</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采购内容：1、根据省市要求，组建落实“一湖一长”并编制“一湖一策”、“一点一策”技术文件；建立湖长制的巡湖履职，督导，会议，考核等工作机制，并落实到位；</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2、做好“湖长制+互联网”的应用，并对国家、省、市、区湖长制平台进行运维管理工作；</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3、打造并落实光明的湖长制亮点创新工作；</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4、协助并督导街道，社区，各成员单位的湖长制工作的落实和考核其工作完成情况；</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5、搜集全国湖长制开展情况并研究光明的湖长制问题并提出解决措施；</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6、做好湖长制的宣传和培训工作；</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7、其他和湖长制有关的信息，文件等搜集，报送，归档等；</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采购期限：自合同签订日期起一年，一年期满后，考核合格可续签下一年，最长续签两次。</w:t>
            </w: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工作目标：一是根据水利部、省、市工作要求，2020年内实施流域统筹及水域的全要素管理，将全部的小微水体纳入湖长制的实施范围，并建立三级湖长体系，确保所有小沟、小渠、小水塘稳定消除黑臭，从全面治理到全面见效进而实现长治久清。；二是牢牢把握我区湖库、小微水体丰硕的治理成果，结合河湖长述职机制，加大湖长制工作开展的深度及广度，稳步提升我区在全市的工作考核排名。三是目前街道河长办力量薄弱，在重点工作中需加大对各街道、社区的工作指导，确保我区湖长制各项工作落实落地。</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325万</w:t>
            </w:r>
          </w:p>
        </w:tc>
        <w:tc>
          <w:tcPr>
            <w:tcW w:w="1773" w:type="dxa"/>
            <w:gridSpan w:val="3"/>
            <w:tcBorders>
              <w:top w:val="single" w:color="auto" w:sz="4" w:space="0"/>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本项目可能延续上年合同</w:t>
            </w:r>
          </w:p>
        </w:tc>
      </w:tr>
      <w:bookmarkEnd w:id="0"/>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183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rPr>
              <w:t>光明区水土保持技术服务项目</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2020年9月</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采购内容：对光明区生产建设项目开展监督检查（全年预计200宗项目），为水务部门行政决策提供专业的、准确的技术意见和建议；对审批和备案的生产建设项目水土保持方案质量进行技术审查（全年预计70宗项目）；对服务期内完工生产建设项目督促开展水土保持设施验收工作，对验收的项目进行现场核查（全年预计20宗项目）；组织开展水土保持宣传。采购标数量为1家，期限1年，服务期满后，根据年度考核情况确定是否延长或续签，合同最多续签2次。绩效目标：1、检查项目数量；2、审查水土保持方案数量；3、水土保持设施验收现场核查项目数量；4、合同履约满意度。</w:t>
            </w: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235万元</w:t>
            </w:r>
          </w:p>
        </w:tc>
        <w:tc>
          <w:tcPr>
            <w:tcW w:w="177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83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rPr>
              <w:t>水务防汛抗旱物资</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2020年7月</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拟通过公开招标的方式采购水务防汛抗旱物资。防汛物资储备种类主要包括：编织袋（布）、土工布（膜）、彩条布、吸水膨胀袋、虹吸管、钢筋笼、木桩、移动泵车、潜水泵、冲锋舟、橡皮艇、救生衣、发电机、照明设备（灯具）、砂石料等。</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260万元</w:t>
            </w:r>
          </w:p>
        </w:tc>
        <w:tc>
          <w:tcPr>
            <w:tcW w:w="177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spacing w:line="312" w:lineRule="auto"/>
              <w:ind w:left="400" w:leftChars="0" w:hanging="400" w:hangingChars="200"/>
              <w:jc w:val="both"/>
              <w:rPr>
                <w:rFonts w:ascii="宋体" w:hAnsi="宋体" w:cs="宋体"/>
                <w:color w:val="000000"/>
                <w:kern w:val="0"/>
                <w:sz w:val="20"/>
                <w:szCs w:val="20"/>
              </w:rPr>
            </w:pP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ascii="宋体" w:hAnsi="宋体"/>
                <w:sz w:val="20"/>
                <w:szCs w:val="20"/>
              </w:rPr>
              <w:t>光明区海绵城市及碧道建设技术服务</w:t>
            </w:r>
            <w:r>
              <w:rPr>
                <w:rFonts w:hint="eastAsia" w:ascii="宋体" w:hAnsi="宋体" w:cs="宋体"/>
                <w:color w:val="000000"/>
                <w:kern w:val="0"/>
                <w:sz w:val="20"/>
                <w:szCs w:val="20"/>
              </w:rPr>
              <w:t>　</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2020年8月</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光明区海绵城市及碧道建设技术服务期限为三年，主要工作内容包括但不限于以下工作：1、提供日常海绵城市及碧道建设技术支持，包括协助制定年度工作计划、纳入考核文件、开展日常海绵及碧道项目技术意见回复及审查、开展技术培训，开展日常海绵里碧道项目进度跟踪与统计等；2、编制海绵城市长效推进文件，包括修编海绵城市建设管理办法、编制海绵设施验收审查文件里验收流程、开展海绵精细化建设研究、开展海绵运维体系里费用标准研究、开展区级海绵奖励积极政策研究、编制2020年海绵建设自评价及近期达标方案等；3、协助打造科学城海绵示范，通过技术审查、过程巡查指导、参与联合验收等，提供全流程项目监管技术支持，协助开展海绵城市建设行为黑红黄名单认定与更新，并对业主开展的海绵化改造项目提供技术管理工作支持，协助开展海绵部位回头看与海绵实绩考核，并协助开展对区各部门的海绵考核；4、协助编制碧道建设顶层设计文件，包括各部门职责分工、碧道建设运维模式等，编制碧道项目实施计划、协助先行启动一批碧道项目前期研究，编制市对光明的碧道考核文件，并协助业主开展对区各部门的碧道建设考核；5、提供碧道建设项目管理技术支持，协助业主开展区投区建及市投区实施的碧道项目技术协调和管理，协助业主对城管、工务等部门实施的碧道项目开展技术监管，对碧道周边项目提出与碧道衔接的技术需求与要求；6、协助对外联络与影响力拓展，总结海绵试点经验形成专著或报告，协助每年举办海绵及碧道国际论坛或工作坊，协助开展海绵及碧道方面参观调研活动讲解。</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2094万元</w:t>
            </w:r>
          </w:p>
        </w:tc>
        <w:tc>
          <w:tcPr>
            <w:tcW w:w="177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spacing w:line="312" w:lineRule="auto"/>
              <w:ind w:left="400" w:leftChars="0" w:hanging="400" w:hangingChars="200"/>
              <w:jc w:val="both"/>
              <w:rPr>
                <w:rFonts w:hint="eastAsia" w:ascii="宋体" w:hAnsi="宋体" w:cs="宋体"/>
                <w:color w:val="000000"/>
                <w:kern w:val="0"/>
                <w:sz w:val="20"/>
                <w:szCs w:val="20"/>
              </w:rPr>
            </w:pP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spacing w:line="312" w:lineRule="auto"/>
              <w:jc w:val="center"/>
              <w:rPr>
                <w:rFonts w:ascii="宋体" w:hAnsi="宋体"/>
                <w:color w:val="000000"/>
                <w:sz w:val="20"/>
                <w:szCs w:val="20"/>
              </w:rPr>
            </w:pPr>
            <w:r>
              <w:rPr>
                <w:rFonts w:ascii="宋体" w:hAnsi="宋体"/>
                <w:color w:val="000000"/>
                <w:sz w:val="20"/>
                <w:szCs w:val="20"/>
              </w:rPr>
              <w:t>光明科学城海绵城市详细规划</w:t>
            </w:r>
          </w:p>
          <w:p>
            <w:pPr>
              <w:spacing w:line="312" w:lineRule="auto"/>
              <w:jc w:val="center"/>
              <w:rPr>
                <w:rFonts w:ascii="宋体" w:hAnsi="宋体"/>
                <w:color w:val="000000"/>
                <w:sz w:val="20"/>
                <w:szCs w:val="20"/>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spacing w:line="312" w:lineRule="auto"/>
              <w:ind w:left="400" w:leftChars="0" w:hanging="400" w:hangingChars="200"/>
              <w:jc w:val="center"/>
              <w:rPr>
                <w:rFonts w:ascii="宋体" w:hAnsi="宋体"/>
                <w:color w:val="000000"/>
                <w:sz w:val="20"/>
                <w:szCs w:val="20"/>
              </w:rPr>
            </w:pPr>
            <w:r>
              <w:rPr>
                <w:rFonts w:hint="eastAsia" w:ascii="宋体" w:hAnsi="宋体" w:cs="宋体"/>
                <w:color w:val="000000"/>
                <w:kern w:val="0"/>
                <w:sz w:val="20"/>
                <w:szCs w:val="20"/>
              </w:rPr>
              <w:t>2020年8月</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jc w:val="both"/>
              <w:rPr>
                <w:rFonts w:hint="eastAsia" w:ascii="仿宋" w:hAnsi="仿宋"/>
                <w:sz w:val="20"/>
                <w:szCs w:val="20"/>
              </w:rPr>
            </w:pPr>
            <w:r>
              <w:rPr>
                <w:rFonts w:hint="eastAsia" w:ascii="仿宋" w:hAnsi="仿宋"/>
                <w:sz w:val="20"/>
                <w:szCs w:val="20"/>
              </w:rPr>
              <w:t>光明科学城海绵城市详细规划范围为科学城99平方公里范围，规划根据国家和深圳市的要求及科学城自身定位及特色，研究制定海绵城市建设的规划策略和具体推进路径，并确定可操作、可落实的建设计划。</w:t>
            </w: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spacing w:line="312" w:lineRule="auto"/>
              <w:ind w:left="400" w:leftChars="0" w:hanging="400" w:hangingChars="200"/>
              <w:jc w:val="center"/>
              <w:rPr>
                <w:rFonts w:ascii="宋体" w:hAnsi="宋体"/>
                <w:color w:val="000000"/>
                <w:sz w:val="20"/>
                <w:szCs w:val="20"/>
              </w:rPr>
            </w:pPr>
            <w:r>
              <w:rPr>
                <w:rFonts w:ascii="宋体" w:hAnsi="宋体"/>
                <w:color w:val="000000"/>
                <w:sz w:val="20"/>
                <w:szCs w:val="20"/>
              </w:rPr>
              <w:t>493</w:t>
            </w:r>
            <w:r>
              <w:rPr>
                <w:rFonts w:hint="eastAsia" w:ascii="宋体" w:hAnsi="宋体"/>
                <w:color w:val="000000"/>
                <w:sz w:val="20"/>
                <w:szCs w:val="20"/>
              </w:rPr>
              <w:t>万元</w:t>
            </w:r>
          </w:p>
        </w:tc>
        <w:tc>
          <w:tcPr>
            <w:tcW w:w="177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hint="eastAsia" w:ascii="宋体" w:hAnsi="宋体" w:cs="宋体"/>
                <w:color w:val="000000"/>
                <w:kern w:val="0"/>
                <w:sz w:val="20"/>
                <w:szCs w:val="20"/>
              </w:rPr>
            </w:pP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spacing w:line="312" w:lineRule="auto"/>
              <w:jc w:val="both"/>
              <w:rPr>
                <w:rFonts w:ascii="宋体" w:hAnsi="宋体"/>
                <w:color w:val="000000"/>
                <w:sz w:val="20"/>
                <w:szCs w:val="20"/>
              </w:rPr>
            </w:pPr>
            <w:r>
              <w:rPr>
                <w:rFonts w:ascii="宋体" w:hAnsi="宋体"/>
                <w:color w:val="000000"/>
                <w:sz w:val="20"/>
                <w:szCs w:val="20"/>
              </w:rPr>
              <w:t>光明区小型水库安全运管理标准化建设项目勘察设计</w:t>
            </w:r>
          </w:p>
          <w:p>
            <w:pPr>
              <w:spacing w:line="312" w:lineRule="auto"/>
              <w:ind w:left="400" w:leftChars="0" w:hanging="400" w:hangingChars="200"/>
              <w:jc w:val="both"/>
              <w:rPr>
                <w:rFonts w:ascii="宋体" w:hAnsi="宋体"/>
                <w:sz w:val="20"/>
                <w:szCs w:val="20"/>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spacing w:line="312" w:lineRule="auto"/>
              <w:ind w:left="400" w:leftChars="0" w:hanging="400" w:hangingChars="200"/>
              <w:jc w:val="center"/>
              <w:rPr>
                <w:rFonts w:ascii="宋体" w:hAnsi="宋体"/>
                <w:color w:val="000000"/>
                <w:sz w:val="20"/>
                <w:szCs w:val="20"/>
              </w:rPr>
            </w:pPr>
            <w:r>
              <w:rPr>
                <w:rFonts w:hint="eastAsia" w:ascii="宋体" w:hAnsi="宋体" w:cs="宋体"/>
                <w:color w:val="000000"/>
                <w:kern w:val="0"/>
                <w:sz w:val="20"/>
                <w:szCs w:val="20"/>
              </w:rPr>
              <w:t>2020年</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月</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jc w:val="both"/>
              <w:rPr>
                <w:rFonts w:hint="eastAsia" w:ascii="仿宋" w:hAnsi="仿宋"/>
                <w:sz w:val="20"/>
                <w:szCs w:val="20"/>
              </w:rPr>
            </w:pPr>
            <w:r>
              <w:rPr>
                <w:rFonts w:hint="eastAsia" w:ascii="仿宋" w:hAnsi="仿宋"/>
                <w:sz w:val="20"/>
                <w:szCs w:val="20"/>
              </w:rPr>
              <w:t>服务内容包括但不限于：1、可行性研究报告编制、方案设计、初步设计及概算编制;2、施工图设计编制、施工图预算编制、工程竣工后编制竣工图；3、开展全阶段物探、勘察和测量工作；4、协助开展工程及设备招标工作，编写功能性招标技术文件，提供后续招标所需的工程量和工程说明、相应的招标图纸和工程量表等；5、施工期间配合工作；6、协助报批报建工作，提供完整申办资料，协助办理与相关主管部门、相关单位的项目审查、审批、审计和备案等工作；7、自行收集、购买与本工程设计有关的第三方资料；8、承办各阶段设计成果评审会，并自行承担所发生的费用；9、按国家有关报告编制和设计规程规范的要求完成应由承包人完成的工作。</w:t>
            </w: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spacing w:line="312" w:lineRule="auto"/>
              <w:ind w:left="400" w:hanging="400" w:hangingChars="200"/>
              <w:jc w:val="center"/>
              <w:rPr>
                <w:rFonts w:ascii="宋体" w:hAnsi="宋体"/>
                <w:color w:val="000000"/>
                <w:sz w:val="20"/>
                <w:szCs w:val="20"/>
              </w:rPr>
            </w:pPr>
            <w:r>
              <w:rPr>
                <w:rFonts w:ascii="宋体" w:hAnsi="宋体"/>
                <w:color w:val="000000"/>
                <w:sz w:val="20"/>
                <w:szCs w:val="20"/>
              </w:rPr>
              <w:t>959.24</w:t>
            </w:r>
            <w:r>
              <w:rPr>
                <w:rFonts w:hint="eastAsia" w:ascii="宋体" w:hAnsi="宋体"/>
                <w:color w:val="000000"/>
                <w:sz w:val="20"/>
                <w:szCs w:val="20"/>
              </w:rPr>
              <w:t>万元</w:t>
            </w:r>
          </w:p>
          <w:p>
            <w:pPr>
              <w:spacing w:line="312" w:lineRule="auto"/>
              <w:ind w:left="400" w:leftChars="0" w:hanging="400" w:hangingChars="200"/>
              <w:jc w:val="center"/>
              <w:rPr>
                <w:rFonts w:ascii="宋体" w:hAnsi="宋体"/>
                <w:color w:val="000000"/>
                <w:sz w:val="20"/>
                <w:szCs w:val="20"/>
              </w:rPr>
            </w:pPr>
            <w:r>
              <w:rPr>
                <w:rFonts w:ascii="宋体" w:hAnsi="宋体"/>
                <w:color w:val="000000"/>
                <w:sz w:val="20"/>
                <w:szCs w:val="20"/>
              </w:rPr>
              <w:t>（估算价）</w:t>
            </w:r>
          </w:p>
        </w:tc>
        <w:tc>
          <w:tcPr>
            <w:tcW w:w="177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xml:space="preserve">    </w:t>
            </w:r>
            <w:r>
              <w:rPr>
                <w:rFonts w:hint="eastAsia" w:ascii="宋体" w:hAnsi="宋体" w:cs="宋体"/>
                <w:color w:val="000000"/>
                <w:kern w:val="0"/>
                <w:sz w:val="20"/>
                <w:szCs w:val="20"/>
                <w:lang w:eastAsia="zh-CN"/>
              </w:rPr>
              <w:t>光明区水务事务中心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深圳市光明区水务设施运营管理委托运营项目</w:t>
            </w:r>
          </w:p>
        </w:tc>
        <w:tc>
          <w:tcPr>
            <w:tcW w:w="144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月</w:t>
            </w:r>
          </w:p>
        </w:tc>
        <w:tc>
          <w:tcPr>
            <w:tcW w:w="3488" w:type="dxa"/>
            <w:gridSpan w:val="3"/>
            <w:tcBorders>
              <w:top w:val="single" w:color="auto" w:sz="4" w:space="0"/>
              <w:left w:val="nil"/>
              <w:bottom w:val="single" w:color="auto" w:sz="4" w:space="0"/>
              <w:right w:val="single" w:color="auto" w:sz="4" w:space="0"/>
            </w:tcBorders>
            <w:noWrap/>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rPr>
              <w:t>完成对光明区范围内88.88公里河道、16座区管水库、64.881公里小微水体、20.8公里原水管、1座底泥厂进行运营管养，确保设施运行良好，合同期限3年。</w:t>
            </w:r>
          </w:p>
        </w:tc>
        <w:tc>
          <w:tcPr>
            <w:tcW w:w="189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8457万元</w:t>
            </w:r>
          </w:p>
        </w:tc>
        <w:tc>
          <w:tcPr>
            <w:tcW w:w="177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20"/>
                <w:szCs w:val="20"/>
              </w:rPr>
              <w:t>本项目可能延续上年合同</w:t>
            </w: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xml:space="preserve">   光明区水务工程质量安全监督站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30" w:type="dxa"/>
            <w:gridSpan w:val="4"/>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光明区在监在建水务工程巡查评估服务</w:t>
            </w:r>
          </w:p>
        </w:tc>
        <w:tc>
          <w:tcPr>
            <w:tcW w:w="144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w:t>
            </w:r>
            <w:r>
              <w:rPr>
                <w:rFonts w:hint="eastAsia" w:ascii="宋体" w:hAnsi="宋体" w:cs="宋体"/>
                <w:color w:val="000000"/>
                <w:kern w:val="0"/>
                <w:sz w:val="20"/>
                <w:szCs w:val="20"/>
                <w:lang w:val="en-US" w:eastAsia="zh-CN"/>
              </w:rPr>
              <w:t>11</w:t>
            </w:r>
            <w:r>
              <w:rPr>
                <w:rFonts w:hint="eastAsia" w:ascii="宋体" w:hAnsi="宋体" w:cs="宋体"/>
                <w:color w:val="000000"/>
                <w:kern w:val="0"/>
                <w:sz w:val="20"/>
                <w:szCs w:val="20"/>
              </w:rPr>
              <w:t>月</w:t>
            </w:r>
          </w:p>
        </w:tc>
        <w:tc>
          <w:tcPr>
            <w:tcW w:w="3488" w:type="dxa"/>
            <w:gridSpan w:val="3"/>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cs="宋体"/>
                <w:color w:val="000000"/>
                <w:kern w:val="0"/>
                <w:sz w:val="20"/>
                <w:szCs w:val="20"/>
              </w:rPr>
            </w:pPr>
            <w:r>
              <w:rPr>
                <w:rFonts w:hint="eastAsia" w:ascii="宋体" w:hAnsi="宋体" w:cs="宋体"/>
                <w:color w:val="000000"/>
                <w:kern w:val="0"/>
                <w:sz w:val="20"/>
                <w:szCs w:val="20"/>
              </w:rPr>
              <w:t>协同开展在监在建水务工程质量安全巡查评估及技术支持服务</w:t>
            </w:r>
            <w:r>
              <w:rPr>
                <w:rFonts w:hint="eastAsia" w:ascii="宋体" w:hAnsi="宋体" w:cs="宋体"/>
                <w:color w:val="000000"/>
                <w:kern w:val="0"/>
                <w:sz w:val="20"/>
                <w:szCs w:val="20"/>
                <w:lang w:eastAsia="zh-CN"/>
              </w:rPr>
              <w:t>，巡查每两个月开展一轮，巡查次数全年不少于500次</w:t>
            </w:r>
            <w:r>
              <w:rPr>
                <w:rFonts w:hint="eastAsia" w:ascii="宋体" w:hAnsi="宋体" w:cs="宋体"/>
                <w:color w:val="000000"/>
                <w:kern w:val="0"/>
                <w:sz w:val="20"/>
                <w:szCs w:val="20"/>
              </w:rPr>
              <w:t>。本项目服务期限为一年，中标人服务的履约评价较好并经双方协商一致可续签，实现“招一管三”，总体目标是达到对区在监在建各项目总体状况可控，保障区水务工程建设的质量与安全。</w:t>
            </w: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400万元</w:t>
            </w: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本项目可能延续上年合同</w:t>
            </w:r>
          </w:p>
        </w:tc>
      </w:tr>
      <w:tr>
        <w:tblPrEx>
          <w:tblLayout w:type="fixed"/>
          <w:tblCellMar>
            <w:top w:w="0" w:type="dxa"/>
            <w:left w:w="108" w:type="dxa"/>
            <w:bottom w:w="0" w:type="dxa"/>
            <w:right w:w="108" w:type="dxa"/>
          </w:tblCellMar>
        </w:tblPrEx>
        <w:trPr>
          <w:gridAfter w:val="2"/>
          <w:wAfter w:w="13" w:type="dxa"/>
          <w:trHeight w:val="300" w:hRule="atLeast"/>
        </w:trPr>
        <w:tc>
          <w:tcPr>
            <w:tcW w:w="13773" w:type="dxa"/>
            <w:gridSpan w:val="15"/>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23176087</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徐工</w:t>
            </w:r>
          </w:p>
        </w:tc>
      </w:tr>
      <w:tr>
        <w:tblPrEx>
          <w:tblLayout w:type="fixed"/>
          <w:tblCellMar>
            <w:top w:w="0" w:type="dxa"/>
            <w:left w:w="108" w:type="dxa"/>
            <w:bottom w:w="0" w:type="dxa"/>
            <w:right w:w="108" w:type="dxa"/>
          </w:tblCellMar>
        </w:tblPrEx>
        <w:trPr>
          <w:gridAfter w:val="2"/>
          <w:wAfter w:w="13" w:type="dxa"/>
          <w:trHeight w:val="720" w:hRule="atLeast"/>
        </w:trPr>
        <w:tc>
          <w:tcPr>
            <w:tcW w:w="13773" w:type="dxa"/>
            <w:gridSpan w:val="15"/>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0165D"/>
    <w:rsid w:val="16B95D58"/>
    <w:rsid w:val="17374EC0"/>
    <w:rsid w:val="1EEE60A4"/>
    <w:rsid w:val="24DF2A9A"/>
    <w:rsid w:val="4AB85E2A"/>
    <w:rsid w:val="62D655F7"/>
    <w:rsid w:val="72E453B3"/>
    <w:rsid w:val="79106E61"/>
    <w:rsid w:val="7D0B0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徐晓</cp:lastModifiedBy>
  <dcterms:modified xsi:type="dcterms:W3CDTF">2020-05-31T02:53:07Z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