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jc w:val="both"/>
        <w:rPr>
          <w:rFonts w:asciiTheme="minorEastAsia" w:hAnsiTheme="minorEastAsia" w:eastAsiaTheme="minorEastAsia"/>
          <w:sz w:val="32"/>
          <w:szCs w:val="32"/>
        </w:rPr>
      </w:pPr>
      <w:r>
        <w:rPr>
          <w:rFonts w:hint="eastAsia" w:asciiTheme="minorEastAsia" w:hAnsiTheme="minorEastAsia" w:eastAsiaTheme="minorEastAsia"/>
          <w:sz w:val="32"/>
          <w:szCs w:val="32"/>
        </w:rPr>
        <w:t>附件1</w:t>
      </w:r>
    </w:p>
    <w:p>
      <w:pPr>
        <w:spacing w:line="220" w:lineRule="atLeast"/>
        <w:jc w:val="center"/>
        <w:rPr>
          <w:rFonts w:asciiTheme="minorEastAsia" w:hAnsiTheme="minorEastAsia" w:eastAsiaTheme="minorEastAsia"/>
          <w:b/>
          <w:sz w:val="32"/>
          <w:szCs w:val="32"/>
        </w:rPr>
      </w:pPr>
      <w:r>
        <w:rPr>
          <w:rFonts w:hint="eastAsia" w:asciiTheme="minorEastAsia" w:hAnsiTheme="minorEastAsia" w:eastAsiaTheme="minorEastAsia"/>
          <w:b/>
          <w:sz w:val="32"/>
          <w:szCs w:val="32"/>
        </w:rPr>
        <w:t>生活垃圾分类绿色小区标准</w:t>
      </w:r>
    </w:p>
    <w:tbl>
      <w:tblPr>
        <w:tblStyle w:val="3"/>
        <w:tblW w:w="1399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8"/>
        <w:gridCol w:w="1142"/>
        <w:gridCol w:w="1392"/>
        <w:gridCol w:w="643"/>
        <w:gridCol w:w="5738"/>
        <w:gridCol w:w="43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tblHeader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序号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一级指标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二级指标</w:t>
            </w:r>
          </w:p>
        </w:tc>
        <w:tc>
          <w:tcPr>
            <w:tcW w:w="6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分值</w:t>
            </w:r>
          </w:p>
        </w:tc>
        <w:tc>
          <w:tcPr>
            <w:tcW w:w="57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工作内容</w:t>
            </w:r>
          </w:p>
        </w:tc>
        <w:tc>
          <w:tcPr>
            <w:tcW w:w="439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000000"/>
                <w:sz w:val="21"/>
                <w:szCs w:val="21"/>
              </w:rPr>
              <w:t>评分细则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管理台账(5分)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管理台账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建立生活垃圾分类管理台账，详细记录垃圾类别、数量、分类收运以及宣传培训等情况，并定期向街道办报送数据。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无台账记录扣5分，台账记录不完善酌情扣1-4分，没有定期向街道办报送数据扣1分。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67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1142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宣传引导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人员培训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对物业管理人员、清洁员、督导员进行培训不少于2次，培训记录应包括现场照片、签到表、培训材料等。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每少一次培训扣2分，培训记录不完善扣1分。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静态宣传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主要出入口、宣传栏、楼栋大堂或电梯间等显著位置张贴垃圾分类投放指引或宣传海报。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根据宣传氛围酌情打分。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7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入户宣传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入户宣传覆盖率达到小区实际入住户数的80%，并做好入户记录。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入户覆盖率达到小区实际入住户数80%及以上不扣分，达到70%又不足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80%扣1分，达到6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0%又不足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70%扣3分，不足60%不得分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5" w:hRule="atLeast"/>
        </w:trPr>
        <w:tc>
          <w:tcPr>
            <w:tcW w:w="67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3</w:t>
            </w:r>
          </w:p>
        </w:tc>
        <w:tc>
          <w:tcPr>
            <w:tcW w:w="114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定时定点督导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（15分）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定时定点督导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晚上7-9点，组织党员、志愿者、热心居民、物业管理等人员在垃圾分类集中投放点开展宣传督导，全年督导天数不少于270天。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督导天数达到270天不扣分，达到240天又不足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270天扣2分，达到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210天又不足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240天扣4分，达到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180天又不足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210天扣6分，达到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150天又不足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180天扣8分，达到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120天又不足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150天扣10分，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少于120天不得分。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4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设施建设（40分）</w:t>
            </w: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集中投放点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18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每个垃圾投放点改造为集中投放点，统一设置有害垃圾、废弃玻璃、废弃金属、废弃塑料、废弃纸类、厨余垃圾、其他垃圾等收集容器,并设置投放指引牌、洗手池、照明和语音提示设施。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每缺少一类分类容器或设施扣2分。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" w:hRule="atLeast"/>
        </w:trPr>
        <w:tc>
          <w:tcPr>
            <w:tcW w:w="67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楼层撤桶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禁止在楼层设置垃圾桶，原有楼层垃圾桶应撤除。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楼层设置垃圾桶不得分。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废旧家具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（年花年桔）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投放点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小区至少设置1个废旧家具投放点,投放点应设置围挡、指引牌、消防设施。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未设置投放点扣5分，每缺少一类设施扣1分。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废旧织物</w:t>
            </w:r>
          </w:p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回收箱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2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小区至少设置1个废旧织物回收箱，箱体应标示备案编号、回收及监管电话、投放指引及回收处理流程。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未设置回收箱扣2分，箱体标示不规范扣1分。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分类标志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分类收集容器、指引牌及投放点分类标志正确、清晰。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每发现一处分类标志错误或污损严重扣1分。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3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日常管理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分类收集容器和设施干净整洁、功能完好。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每发现一处不符合要求扣1分。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1" w:hRule="atLeast"/>
        </w:trPr>
        <w:tc>
          <w:tcPr>
            <w:tcW w:w="6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5</w:t>
            </w:r>
          </w:p>
        </w:tc>
        <w:tc>
          <w:tcPr>
            <w:tcW w:w="114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分类成效（15分）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知晓率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居民熟悉垃圾分类知识，了解小区开展垃圾分类工作情况，知晓率达90%以上。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根据小区户数确定抽样比例，发放调查问卷，问卷平均分在90分及以上不扣分，达到80分又不足90分扣2分，达到70分又不足80分扣4分，70分以下不得分。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3" w:hRule="atLeast"/>
        </w:trPr>
        <w:tc>
          <w:tcPr>
            <w:tcW w:w="6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参与率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FF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居民积极参与垃圾分类，参与率达50%以上。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居民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参与率达到50%及以上不扣分，达到40%又不足50%扣1分，达到30%又不足40%扣3分，达到20%又不足30%扣5分，20%以下不得分。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8" w:hRule="atLeast"/>
        </w:trPr>
        <w:tc>
          <w:tcPr>
            <w:tcW w:w="6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6</w:t>
            </w:r>
          </w:p>
        </w:tc>
        <w:tc>
          <w:tcPr>
            <w:tcW w:w="1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回收利用率（10分）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回收利用率</w:t>
            </w:r>
          </w:p>
        </w:tc>
        <w:tc>
          <w:tcPr>
            <w:tcW w:w="64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10</w:t>
            </w:r>
          </w:p>
        </w:tc>
        <w:tc>
          <w:tcPr>
            <w:tcW w:w="573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生活垃圾回收利用率达到30%以上。根据小区每月产生的玻金塑纸、有害垃圾、废旧织物、废旧家具、厨余垃圾等分流分类回收量与其他垃圾量，计算回收利用率。</w:t>
            </w:r>
          </w:p>
        </w:tc>
        <w:tc>
          <w:tcPr>
            <w:tcW w:w="43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回收利用率达30%及以上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不扣分，达到28%又不足30%扣2分，达到25%又不足28%扣4分，达到22%又不足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25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%扣6分，达到20%又不足22%扣8分，20%以下不得分。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321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合计</w:t>
            </w:r>
          </w:p>
        </w:tc>
        <w:tc>
          <w:tcPr>
            <w:tcW w:w="1078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center"/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sz w:val="21"/>
                <w:szCs w:val="21"/>
              </w:rPr>
              <w:t>100分（85分以上为成效显著）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CFA6C17"/>
    <w:rsid w:val="2CFA6C17"/>
    <w:rsid w:val="67E20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2020-06-01T09:20:00Z</dcterms:created>
  <dc:creator>徐韬</dc:creator>
  <cp:lastModifiedBy>徐韬</cp:lastModifiedBy>
  <dcterms:modified xsi:type="dcterms:W3CDTF">2020-06-01T09:22:58Z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