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>
      <w:pPr>
        <w:jc w:val="both"/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  <w:t>光明区应急管理局电动自行车安全宣导</w:t>
      </w: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  <w:t>活动项目招标文件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服务内容</w:t>
      </w:r>
    </w:p>
    <w:p>
      <w:pPr>
        <w:ind w:firstLine="480" w:firstLineChars="15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（一）工作内容和要求</w:t>
      </w:r>
    </w:p>
    <w:p>
      <w:pPr>
        <w:ind w:firstLine="480" w:firstLineChars="150"/>
        <w:jc w:val="left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lang w:eastAsia="zh-CN"/>
        </w:rPr>
        <w:t>在每个街道开展两场宣传活动，通过此次宣传活动，让市民群众进一步了解新国标电动自行车，体验、试用安全电池和智能充电柜等，使市民群众切身体验新标准、新技术、新产品、新服务为民生出行带来的安全、便捷、高效。</w:t>
      </w:r>
    </w:p>
    <w:p>
      <w:pPr>
        <w:ind w:firstLine="480" w:firstLineChars="15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）工作时间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ind w:firstLine="480" w:firstLineChars="150"/>
        <w:outlineLvl w:val="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合同签订后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个自然月内完成全部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内容。</w:t>
      </w:r>
    </w:p>
    <w:p>
      <w:pPr>
        <w:ind w:firstLine="480" w:firstLineChars="15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）费用情况</w:t>
      </w:r>
    </w:p>
    <w:p>
      <w:pPr>
        <w:ind w:firstLine="480" w:firstLineChars="150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</w:rPr>
        <w:t>所有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</w:rPr>
        <w:t>、交通、食宿等费用均由中标单位自行承担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480" w:firstLineChars="15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）其他要求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投标报价要求：对光明区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6个街道的12场电动自行车安全宣导活动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进行总投标报价，投标人不得以低于成本的报价竞标。投标人报价低于本项目预算金额90%时，评标委员会有权要求其对成本构成进行介绍，并要求投标主体以书面的形式进行低价说明（在保证质量的前提下，能够大幅节省经费的手段或原因）；如投标人没有合理的理由或不按要求提供低价说明，可视为不被接受的有风险的报价，评标委员会可另行选择供应商。</w:t>
      </w:r>
    </w:p>
    <w:p>
      <w:pPr>
        <w:ind w:firstLine="480" w:firstLineChars="15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投标文件中，一要详细写明项目组成员姓名、工作单位、文化程度、专业、职称及参加过的项目（提供相关证明材料扫描件）。投标单位一旦中标，投标文件中承诺的配备人员即为项目组人员，项目组实际配备人员与投标文件不符的，上报光明区财政部门进行处理。在项目进行过程中，项目组人员原则上不得更换，如有特殊原因需经采购单位同意,更换为具有同等资质的人员。</w:t>
      </w:r>
    </w:p>
    <w:p>
      <w:pPr>
        <w:ind w:firstLine="480" w:firstLineChars="15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）付款方式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合同签订后，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完成后支付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资金。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、招标评分表</w:t>
      </w:r>
    </w:p>
    <w:tbl>
      <w:tblPr>
        <w:tblStyle w:val="6"/>
        <w:tblW w:w="98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955"/>
        <w:gridCol w:w="568"/>
        <w:gridCol w:w="5006"/>
        <w:gridCol w:w="17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zh-CN"/>
              </w:rPr>
              <w:t>评分项及评分规则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zh-CN"/>
              </w:rPr>
              <w:t>一、价格部分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综合评分法中的价格分统一采用低价优先法计算,即满足招标文件要求且投标价格最低的投标报价为评标基准价,其价格分为满分。其他投标人的价格分统一按照下列公式计算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投标报价得分=(评标基准价/投标报价)×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权重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评分方式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按公式计算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zh-CN"/>
              </w:rPr>
              <w:t>二、商务部分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权重</w:t>
            </w:r>
          </w:p>
        </w:tc>
        <w:tc>
          <w:tcPr>
            <w:tcW w:w="50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投标人综合情况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006" w:type="dxa"/>
            <w:vAlign w:val="center"/>
          </w:tcPr>
          <w:p>
            <w:pPr>
              <w:ind w:left="210" w:hanging="210" w:hangingChars="1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横向比较投标人注册资金、办公场地证明等情况，</w:t>
            </w:r>
            <w:r>
              <w:rPr>
                <w:rFonts w:hint="eastAsia"/>
                <w:color w:val="auto"/>
                <w:highlight w:val="none"/>
              </w:rPr>
              <w:t>评价为优得100%分；评价为中得60%分；评价为差得20%分。</w:t>
            </w:r>
          </w:p>
          <w:p>
            <w:pPr>
              <w:ind w:left="210" w:hanging="210" w:hangingChars="1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提供营业执照副本复印件，并加盖投标人公章。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投标人资质情况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006" w:type="dxa"/>
            <w:vAlign w:val="center"/>
          </w:tcPr>
          <w:p>
            <w:pPr>
              <w:pStyle w:val="11"/>
              <w:ind w:left="210" w:hanging="210" w:hangingChars="1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投标人在有效期内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具有开展行业统计、调查，参与涉及行业发展的行政管理决策的论证。</w:t>
            </w:r>
          </w:p>
          <w:p>
            <w:pPr>
              <w:ind w:left="210" w:hanging="210" w:hangingChars="1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提供有效期内的证书复印件加盖投标人公章，原件备查。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0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三、技术部分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权重</w:t>
            </w:r>
          </w:p>
        </w:tc>
        <w:tc>
          <w:tcPr>
            <w:tcW w:w="50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评分规则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bookmarkStart w:id="0" w:name="_Hlk413139359"/>
            <w:bookmarkStart w:id="1" w:name="OLE_LINK3" w:colFirst="2" w:colLast="2"/>
            <w:bookmarkStart w:id="2" w:name="OLE_LINK2" w:colFirst="2" w:colLast="2"/>
            <w:bookmarkStart w:id="3" w:name="OLE_LINK1" w:colFirst="2" w:colLast="2"/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宣传</w:t>
            </w:r>
            <w:r>
              <w:rPr>
                <w:rFonts w:hint="eastAsia"/>
                <w:color w:val="auto"/>
                <w:highlight w:val="none"/>
              </w:rPr>
              <w:t>服务方案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00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color w:val="auto"/>
                <w:szCs w:val="21"/>
                <w:highlight w:val="none"/>
              </w:rPr>
              <w:t>对项目的分析是否深入，方案是否可行，目标是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left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color w:val="auto"/>
                <w:szCs w:val="21"/>
                <w:highlight w:val="none"/>
              </w:rPr>
              <w:t>否明确，措施是否得当，</w:t>
            </w:r>
            <w:r>
              <w:rPr>
                <w:rFonts w:hint="eastAsia"/>
                <w:color w:val="auto"/>
                <w:szCs w:val="21"/>
                <w:highlight w:val="none"/>
              </w:rPr>
              <w:t>优得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  <w:highlight w:val="none"/>
              </w:rPr>
              <w:t>0%—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  <w:highlight w:val="none"/>
              </w:rPr>
              <w:t>0%，良得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0%—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0%，中得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</w:rPr>
              <w:t>0%—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  <w:highlight w:val="none"/>
              </w:rPr>
              <w:t>0%，差得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</w:rPr>
              <w:t>0%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项目服务进度保证措施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5006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根据项目进度保证措施计划评价：优得</w:t>
            </w:r>
            <w:r>
              <w:rPr>
                <w:rFonts w:hint="eastAsia"/>
                <w:color w:val="auto"/>
                <w:szCs w:val="21"/>
                <w:highlight w:val="none"/>
              </w:rPr>
              <w:t>80%—</w:t>
            </w:r>
            <w:r>
              <w:rPr>
                <w:color w:val="auto"/>
                <w:szCs w:val="21"/>
                <w:highlight w:val="none"/>
              </w:rPr>
              <w:t>100%分，良得</w:t>
            </w:r>
            <w:r>
              <w:rPr>
                <w:rFonts w:hint="eastAsia"/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</w:rPr>
              <w:t>0%</w:t>
            </w:r>
            <w:r>
              <w:rPr>
                <w:rFonts w:hint="eastAsia"/>
                <w:color w:val="auto"/>
                <w:szCs w:val="21"/>
                <w:highlight w:val="none"/>
              </w:rPr>
              <w:t>—8</w:t>
            </w:r>
            <w:r>
              <w:rPr>
                <w:color w:val="auto"/>
                <w:szCs w:val="21"/>
                <w:highlight w:val="none"/>
              </w:rPr>
              <w:t>0%分，中得40%</w:t>
            </w:r>
            <w:r>
              <w:rPr>
                <w:rFonts w:hint="eastAsia"/>
                <w:color w:val="auto"/>
                <w:szCs w:val="21"/>
                <w:highlight w:val="none"/>
              </w:rPr>
              <w:t>—6</w:t>
            </w:r>
            <w:r>
              <w:rPr>
                <w:color w:val="auto"/>
                <w:szCs w:val="21"/>
                <w:highlight w:val="none"/>
              </w:rPr>
              <w:t>0%分，差得</w:t>
            </w:r>
            <w:r>
              <w:rPr>
                <w:rFonts w:hint="eastAsia"/>
                <w:color w:val="auto"/>
                <w:szCs w:val="21"/>
                <w:highlight w:val="none"/>
              </w:rPr>
              <w:t>20%—40%</w:t>
            </w:r>
            <w:r>
              <w:rPr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人员配置情况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5006" w:type="dxa"/>
            <w:vAlign w:val="center"/>
          </w:tcPr>
          <w:p>
            <w:pPr>
              <w:pStyle w:val="11"/>
              <w:ind w:left="210" w:hanging="210" w:hanging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人员数量（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auto"/>
                <w:highlight w:val="none"/>
              </w:rPr>
              <w:t>%分）：投标人拟投入本项目的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15名以上</w:t>
            </w:r>
            <w:r>
              <w:rPr>
                <w:rFonts w:hint="eastAsia"/>
                <w:color w:val="auto"/>
                <w:highlight w:val="none"/>
              </w:rPr>
              <w:t>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color w:val="auto"/>
                <w:highlight w:val="none"/>
              </w:rPr>
              <w:t>%分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10或15</w:t>
            </w:r>
            <w:bookmarkStart w:id="4" w:name="_GoBack"/>
            <w:bookmarkEnd w:id="4"/>
            <w:r>
              <w:rPr>
                <w:rFonts w:hint="eastAsia"/>
                <w:color w:val="auto"/>
                <w:highlight w:val="none"/>
              </w:rPr>
              <w:t>人得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highlight w:val="none"/>
              </w:rPr>
              <w:t>%分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（含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10人以下不得分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投标人需提供拟投入人员的社保清单，未提供不得分。</w:t>
            </w:r>
          </w:p>
          <w:p>
            <w:pPr>
              <w:pStyle w:val="11"/>
              <w:ind w:left="210" w:hanging="210" w:hangingChars="1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采购工作小组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打分</w:t>
            </w:r>
          </w:p>
        </w:tc>
      </w:tr>
      <w:bookmarkEnd w:id="0"/>
      <w:bookmarkEnd w:id="1"/>
      <w:bookmarkEnd w:id="2"/>
      <w:bookmarkEnd w:id="3"/>
    </w:tbl>
    <w:p>
      <w:pPr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afterLines="50" w:line="560" w:lineRule="exact"/>
        <w:ind w:firstLine="960" w:firstLineChars="3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投标文件的构成及递交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投标文件的构成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单位营业执照副本复印件（加盖公章）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投标人情况介绍（含资质、荣誉等）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.投标人类似项目案例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开标一览表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详细清单报价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（二）投标文件的递交（邮递拒绝到付）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投标人应在“投标文件”一式五份，一起装在信封内密封，封口处需加盖投标单位公章，并在信封封面注明：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投标项目：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光明区应急管理局电动自行车安全宣导活动项目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投标单位：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投标截止期：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投标单位投标时间不得迟于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</w:rPr>
        <w:t>投标截止时间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（三）投标文件封面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项目名称：</w:t>
      </w:r>
    </w:p>
    <w:p>
      <w:pPr>
        <w:spacing w:afterLines="100"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供应商名称：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响应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日  期：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jc w:val="both"/>
        <w:rPr>
          <w:rFonts w:hint="eastAsia" w:ascii="仿宋_GB2312" w:hAnsi="宋体" w:eastAsia="仿宋_GB2312"/>
          <w:b/>
          <w:bCs/>
          <w:color w:val="auto"/>
          <w:sz w:val="44"/>
          <w:szCs w:val="44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D"/>
    <w:rsid w:val="00051FA5"/>
    <w:rsid w:val="00064E6A"/>
    <w:rsid w:val="00065FBC"/>
    <w:rsid w:val="000E6616"/>
    <w:rsid w:val="001D288D"/>
    <w:rsid w:val="002443BE"/>
    <w:rsid w:val="002C72FC"/>
    <w:rsid w:val="00354D9F"/>
    <w:rsid w:val="00395023"/>
    <w:rsid w:val="00437D68"/>
    <w:rsid w:val="00492B8E"/>
    <w:rsid w:val="004D4895"/>
    <w:rsid w:val="005068FB"/>
    <w:rsid w:val="005B1F12"/>
    <w:rsid w:val="005B4116"/>
    <w:rsid w:val="0069122D"/>
    <w:rsid w:val="006920A9"/>
    <w:rsid w:val="007032D6"/>
    <w:rsid w:val="00710DAE"/>
    <w:rsid w:val="007775FF"/>
    <w:rsid w:val="008242BE"/>
    <w:rsid w:val="008A07BF"/>
    <w:rsid w:val="008A26ED"/>
    <w:rsid w:val="009229D4"/>
    <w:rsid w:val="009E3F82"/>
    <w:rsid w:val="00A03473"/>
    <w:rsid w:val="00A43AF0"/>
    <w:rsid w:val="00A502FB"/>
    <w:rsid w:val="00AA446C"/>
    <w:rsid w:val="00AD2864"/>
    <w:rsid w:val="00AE5411"/>
    <w:rsid w:val="00BD49B2"/>
    <w:rsid w:val="00BD6990"/>
    <w:rsid w:val="00C34DB7"/>
    <w:rsid w:val="00CC0812"/>
    <w:rsid w:val="00CC3064"/>
    <w:rsid w:val="00D53534"/>
    <w:rsid w:val="00D6701C"/>
    <w:rsid w:val="00DC0EE7"/>
    <w:rsid w:val="00E20ACC"/>
    <w:rsid w:val="00E315E8"/>
    <w:rsid w:val="00FB791D"/>
    <w:rsid w:val="02FD7170"/>
    <w:rsid w:val="063E22B4"/>
    <w:rsid w:val="075F515B"/>
    <w:rsid w:val="0DA00A92"/>
    <w:rsid w:val="105A37BD"/>
    <w:rsid w:val="116137F6"/>
    <w:rsid w:val="11CE0ADE"/>
    <w:rsid w:val="11F40EA5"/>
    <w:rsid w:val="140B326A"/>
    <w:rsid w:val="15427C42"/>
    <w:rsid w:val="15B2666B"/>
    <w:rsid w:val="17DF7924"/>
    <w:rsid w:val="1A841082"/>
    <w:rsid w:val="1F041A5E"/>
    <w:rsid w:val="22B914A5"/>
    <w:rsid w:val="239A7B95"/>
    <w:rsid w:val="25781B83"/>
    <w:rsid w:val="279C5AA2"/>
    <w:rsid w:val="27D31542"/>
    <w:rsid w:val="29AB545F"/>
    <w:rsid w:val="2A0E3B84"/>
    <w:rsid w:val="32E763BA"/>
    <w:rsid w:val="33B11AEC"/>
    <w:rsid w:val="370B213D"/>
    <w:rsid w:val="387B12BF"/>
    <w:rsid w:val="391B2759"/>
    <w:rsid w:val="3C5D1BA0"/>
    <w:rsid w:val="3C886BD0"/>
    <w:rsid w:val="3C8C4C3B"/>
    <w:rsid w:val="41221B31"/>
    <w:rsid w:val="41F4390B"/>
    <w:rsid w:val="48355E1F"/>
    <w:rsid w:val="49F767E6"/>
    <w:rsid w:val="4E115A36"/>
    <w:rsid w:val="4F915144"/>
    <w:rsid w:val="518F206C"/>
    <w:rsid w:val="521750ED"/>
    <w:rsid w:val="54673E96"/>
    <w:rsid w:val="55040DB3"/>
    <w:rsid w:val="56E93742"/>
    <w:rsid w:val="5A695DFD"/>
    <w:rsid w:val="5AC66470"/>
    <w:rsid w:val="5EC706EC"/>
    <w:rsid w:val="5F497D77"/>
    <w:rsid w:val="5F82401D"/>
    <w:rsid w:val="61EB6AED"/>
    <w:rsid w:val="63F70FA7"/>
    <w:rsid w:val="64071752"/>
    <w:rsid w:val="65D602FA"/>
    <w:rsid w:val="66C106F0"/>
    <w:rsid w:val="67773C03"/>
    <w:rsid w:val="67EA3292"/>
    <w:rsid w:val="68771071"/>
    <w:rsid w:val="6BED57ED"/>
    <w:rsid w:val="6D463F61"/>
    <w:rsid w:val="6EF40127"/>
    <w:rsid w:val="71834765"/>
    <w:rsid w:val="72F251E9"/>
    <w:rsid w:val="730934B9"/>
    <w:rsid w:val="760B70F7"/>
    <w:rsid w:val="789C3A93"/>
    <w:rsid w:val="790D0BB1"/>
    <w:rsid w:val="7BFA3B42"/>
    <w:rsid w:val="7D0F471A"/>
    <w:rsid w:val="7D3A2FAE"/>
    <w:rsid w:val="7D614819"/>
    <w:rsid w:val="7F997C1F"/>
    <w:rsid w:val="7FE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375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475</Words>
  <Characters>2708</Characters>
  <Lines>22</Lines>
  <Paragraphs>6</Paragraphs>
  <TotalTime>14</TotalTime>
  <ScaleCrop>false</ScaleCrop>
  <LinksUpToDate>false</LinksUpToDate>
  <CharactersWithSpaces>3177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2017-05-18T07:46:00Z</dcterms:created>
  <dc:creator>乐鑫</dc:creator>
  <cp:lastModifiedBy>税艳名</cp:lastModifiedBy>
  <cp:lastPrinted>2020-10-26T09:00:48Z</cp:lastPrinted>
  <dcterms:modified xsi:type="dcterms:W3CDTF">2020-10-26T09:14:55Z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