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宏发上域项目不利因素告知书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1007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1432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1：0.7，小区停车位不足。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6DBB67B1"/>
    <w:rsid w:val="7086221F"/>
    <w:rsid w:val="77EA1345"/>
    <w:rsid w:val="796F5D12"/>
    <w:rsid w:val="7B6F164C"/>
    <w:rsid w:val="7BFF0235"/>
    <w:rsid w:val="7F5530C4"/>
    <w:rsid w:val="7FFAD0BD"/>
    <w:rsid w:val="AE9D3648"/>
    <w:rsid w:val="D9FCDB56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2022-09-29T09:48:39Z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