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overflowPunct/>
        <w:topLinePunct w:val="0"/>
        <w:autoSpaceDE/>
        <w:autoSpaceDN/>
        <w:bidi w:val="0"/>
        <w:adjustRightInd/>
        <w:snapToGrid/>
        <w:spacing w:line="560" w:lineRule="exact"/>
        <w:ind w:left="0" w:leftChars="0" w:firstLine="0" w:firstLineChars="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附件</w:t>
      </w:r>
      <w:r>
        <w:rPr>
          <w:rFonts w:hint="eastAsia" w:ascii="仿宋_GB2312" w:hAnsi="仿宋_GB2312" w:eastAsia="仿宋_GB2312" w:cs="仿宋_GB2312"/>
          <w:b w:val="0"/>
          <w:bCs w:val="0"/>
          <w:color w:val="000000"/>
          <w:sz w:val="32"/>
          <w:szCs w:val="32"/>
          <w:lang w:val="en-US" w:eastAsia="zh-CN"/>
        </w:rPr>
        <w:t>3</w:t>
      </w:r>
    </w:p>
    <w:p>
      <w:pPr>
        <w:jc w:val="center"/>
        <w:rPr>
          <w:rFonts w:hint="eastAsia" w:ascii="黑体" w:hAnsi="黑体" w:eastAsia="黑体" w:cs="黑体"/>
          <w:b w:val="0"/>
          <w:bCs w:val="0"/>
          <w:color w:val="000000"/>
          <w:sz w:val="32"/>
          <w:szCs w:val="32"/>
        </w:rPr>
      </w:pPr>
      <w:bookmarkStart w:id="0" w:name="_GoBack"/>
      <w:r>
        <w:rPr>
          <w:rFonts w:hint="eastAsia" w:ascii="方正小标宋简体" w:hAnsi="方正小标宋简体" w:eastAsia="方正小标宋简体" w:cs="方正小标宋简体"/>
          <w:b w:val="0"/>
          <w:bCs w:val="0"/>
          <w:color w:val="000000"/>
          <w:sz w:val="44"/>
          <w:szCs w:val="44"/>
          <w:lang w:eastAsia="zh-CN"/>
        </w:rPr>
        <w:t>光明科学城出站博士后生活资助申请指引</w:t>
      </w:r>
    </w:p>
    <w:bookmarkEnd w:id="0"/>
    <w:tbl>
      <w:tblPr>
        <w:tblStyle w:val="3"/>
        <w:tblW w:w="9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7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592" w:type="dxa"/>
            <w:noWrap w:val="0"/>
            <w:vAlign w:val="center"/>
          </w:tcPr>
          <w:p>
            <w:pPr>
              <w:jc w:val="center"/>
              <w:rPr>
                <w:rFonts w:ascii="仿宋" w:hAnsi="仿宋" w:eastAsia="仿宋"/>
                <w:b/>
                <w:bCs/>
                <w:color w:val="000000"/>
                <w:sz w:val="24"/>
                <w:szCs w:val="24"/>
              </w:rPr>
            </w:pPr>
            <w:r>
              <w:rPr>
                <w:rFonts w:hint="eastAsia" w:ascii="仿宋" w:hAnsi="仿宋" w:eastAsia="仿宋" w:cs="仿宋"/>
                <w:b/>
                <w:bCs/>
                <w:color w:val="000000"/>
                <w:sz w:val="24"/>
                <w:szCs w:val="24"/>
              </w:rPr>
              <w:t>事项名称</w:t>
            </w:r>
          </w:p>
        </w:tc>
        <w:tc>
          <w:tcPr>
            <w:tcW w:w="7981" w:type="dxa"/>
            <w:noWrap w:val="0"/>
            <w:vAlign w:val="center"/>
          </w:tcPr>
          <w:p>
            <w:pPr>
              <w:rPr>
                <w:rFonts w:ascii="仿宋" w:hAnsi="仿宋" w:eastAsia="仿宋"/>
                <w:color w:val="000000"/>
                <w:sz w:val="24"/>
                <w:szCs w:val="24"/>
              </w:rPr>
            </w:pPr>
            <w:r>
              <w:rPr>
                <w:rFonts w:hint="eastAsia" w:ascii="仿宋" w:hAnsi="仿宋" w:eastAsia="仿宋" w:cs="仿宋"/>
                <w:color w:val="000000"/>
                <w:kern w:val="0"/>
                <w:sz w:val="24"/>
                <w:szCs w:val="24"/>
              </w:rPr>
              <w:t>申报</w:t>
            </w:r>
            <w:r>
              <w:rPr>
                <w:rFonts w:hint="eastAsia" w:ascii="仿宋" w:hAnsi="仿宋" w:eastAsia="仿宋" w:cs="仿宋"/>
                <w:color w:val="000000"/>
                <w:kern w:val="0"/>
                <w:sz w:val="24"/>
                <w:szCs w:val="24"/>
                <w:lang w:eastAsia="zh-CN"/>
              </w:rPr>
              <w:t>出站博士后生活资助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592" w:type="dxa"/>
            <w:noWrap w:val="0"/>
            <w:vAlign w:val="center"/>
          </w:tcPr>
          <w:p>
            <w:pPr>
              <w:jc w:val="center"/>
              <w:rPr>
                <w:rFonts w:ascii="仿宋" w:hAnsi="仿宋" w:eastAsia="仿宋"/>
                <w:b/>
                <w:bCs/>
                <w:color w:val="000000"/>
                <w:sz w:val="24"/>
                <w:szCs w:val="24"/>
              </w:rPr>
            </w:pPr>
            <w:r>
              <w:rPr>
                <w:rFonts w:hint="eastAsia" w:ascii="仿宋" w:hAnsi="仿宋" w:eastAsia="仿宋" w:cs="仿宋"/>
                <w:b/>
                <w:bCs/>
                <w:color w:val="000000"/>
                <w:sz w:val="24"/>
                <w:szCs w:val="24"/>
              </w:rPr>
              <w:t>受理部门</w:t>
            </w:r>
          </w:p>
        </w:tc>
        <w:tc>
          <w:tcPr>
            <w:tcW w:w="7981" w:type="dxa"/>
            <w:noWrap w:val="0"/>
            <w:vAlign w:val="center"/>
          </w:tcPr>
          <w:p>
            <w:pPr>
              <w:rPr>
                <w:rFonts w:ascii="仿宋" w:hAnsi="仿宋" w:eastAsia="仿宋"/>
                <w:color w:val="000000"/>
                <w:sz w:val="24"/>
                <w:szCs w:val="24"/>
              </w:rPr>
            </w:pPr>
            <w:r>
              <w:rPr>
                <w:rFonts w:hint="eastAsia" w:ascii="仿宋" w:hAnsi="仿宋" w:eastAsia="仿宋" w:cs="仿宋"/>
                <w:color w:val="000000"/>
                <w:sz w:val="24"/>
                <w:szCs w:val="24"/>
                <w:lang w:eastAsia="zh-CN"/>
              </w:rPr>
              <w:t>光明区委人才工作领导小组办公室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592" w:type="dxa"/>
            <w:noWrap w:val="0"/>
            <w:vAlign w:val="center"/>
          </w:tcPr>
          <w:p>
            <w:pPr>
              <w:jc w:val="center"/>
              <w:rPr>
                <w:rFonts w:hint="eastAsia" w:ascii="仿宋" w:hAnsi="仿宋" w:eastAsia="仿宋"/>
                <w:b/>
                <w:bCs/>
                <w:color w:val="000000"/>
                <w:sz w:val="24"/>
                <w:szCs w:val="24"/>
                <w:lang w:eastAsia="zh-CN"/>
              </w:rPr>
            </w:pPr>
            <w:r>
              <w:rPr>
                <w:rFonts w:hint="eastAsia" w:ascii="仿宋" w:hAnsi="仿宋" w:eastAsia="仿宋" w:cs="仿宋"/>
                <w:b/>
                <w:bCs/>
                <w:color w:val="000000"/>
                <w:sz w:val="24"/>
                <w:szCs w:val="24"/>
                <w:lang w:eastAsia="zh-CN"/>
              </w:rPr>
              <w:t>纸质材料提交地点</w:t>
            </w:r>
          </w:p>
        </w:tc>
        <w:tc>
          <w:tcPr>
            <w:tcW w:w="7981" w:type="dxa"/>
            <w:noWrap w:val="0"/>
            <w:vAlign w:val="center"/>
          </w:tcPr>
          <w:p>
            <w:pPr>
              <w:rPr>
                <w:rFonts w:hint="eastAsia" w:ascii="仿宋" w:hAnsi="仿宋" w:eastAsia="仿宋"/>
                <w:color w:val="000000"/>
                <w:sz w:val="24"/>
                <w:szCs w:val="24"/>
                <w:lang w:eastAsia="zh-CN"/>
              </w:rPr>
            </w:pPr>
            <w:r>
              <w:rPr>
                <w:rFonts w:hint="eastAsia" w:ascii="仿宋" w:hAnsi="仿宋" w:eastAsia="仿宋" w:cs="仿宋"/>
                <w:color w:val="000000"/>
                <w:sz w:val="24"/>
                <w:szCs w:val="24"/>
                <w:lang w:eastAsia="zh-CN"/>
              </w:rPr>
              <w:t>光明区公共服务平台一层行政服务大厅（北厅）1号人才服务窗口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592" w:type="dxa"/>
            <w:noWrap w:val="0"/>
            <w:vAlign w:val="center"/>
          </w:tcPr>
          <w:p>
            <w:pPr>
              <w:jc w:val="center"/>
              <w:rPr>
                <w:rFonts w:ascii="仿宋" w:hAnsi="仿宋" w:eastAsia="仿宋"/>
                <w:b/>
                <w:bCs/>
                <w:color w:val="000000"/>
                <w:sz w:val="24"/>
                <w:szCs w:val="24"/>
              </w:rPr>
            </w:pPr>
            <w:r>
              <w:rPr>
                <w:rFonts w:hint="eastAsia" w:ascii="仿宋" w:hAnsi="仿宋" w:eastAsia="仿宋" w:cs="仿宋"/>
                <w:b/>
                <w:bCs/>
                <w:color w:val="000000"/>
                <w:sz w:val="24"/>
                <w:szCs w:val="24"/>
              </w:rPr>
              <w:t>联系电话</w:t>
            </w:r>
          </w:p>
        </w:tc>
        <w:tc>
          <w:tcPr>
            <w:tcW w:w="7981" w:type="dxa"/>
            <w:noWrap w:val="0"/>
            <w:vAlign w:val="center"/>
          </w:tcPr>
          <w:p>
            <w:pP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0755-88217953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592" w:type="dxa"/>
            <w:noWrap w:val="0"/>
            <w:vAlign w:val="center"/>
          </w:tcPr>
          <w:p>
            <w:pPr>
              <w:jc w:val="center"/>
              <w:rPr>
                <w:rFonts w:ascii="仿宋" w:hAnsi="仿宋" w:eastAsia="仿宋"/>
                <w:b/>
                <w:bCs/>
                <w:color w:val="000000"/>
                <w:sz w:val="24"/>
                <w:szCs w:val="24"/>
              </w:rPr>
            </w:pPr>
            <w:r>
              <w:rPr>
                <w:rFonts w:hint="eastAsia" w:ascii="仿宋" w:hAnsi="仿宋" w:eastAsia="仿宋" w:cs="仿宋"/>
                <w:b/>
                <w:bCs/>
                <w:color w:val="000000"/>
                <w:sz w:val="24"/>
                <w:szCs w:val="24"/>
              </w:rPr>
              <w:t>政策依据</w:t>
            </w:r>
          </w:p>
        </w:tc>
        <w:tc>
          <w:tcPr>
            <w:tcW w:w="7981" w:type="dxa"/>
            <w:noWrap w:val="0"/>
            <w:vAlign w:val="center"/>
          </w:tcPr>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《光明区关于实施光明科学城“人才高地计划”的若干措施》</w:t>
            </w:r>
            <w:r>
              <w:rPr>
                <w:rFonts w:hint="eastAsia" w:ascii="仿宋" w:hAnsi="仿宋" w:eastAsia="仿宋" w:cs="仿宋"/>
                <w:color w:val="000000"/>
                <w:sz w:val="24"/>
                <w:szCs w:val="24"/>
                <w:lang w:eastAsia="zh-CN"/>
              </w:rPr>
              <w:t>（深光发</w:t>
            </w:r>
            <w:r>
              <w:rPr>
                <w:rFonts w:hint="eastAsia" w:ascii="仿宋" w:hAnsi="仿宋" w:eastAsia="仿宋" w:cs="仿宋"/>
                <w:color w:val="000000"/>
                <w:sz w:val="24"/>
                <w:szCs w:val="24"/>
                <w:lang w:val="en-US" w:eastAsia="zh-CN"/>
              </w:rPr>
              <w:t>[2022]1号</w:t>
            </w:r>
            <w:r>
              <w:rPr>
                <w:rFonts w:hint="eastAsia" w:ascii="仿宋" w:hAnsi="仿宋" w:eastAsia="仿宋" w:cs="仿宋"/>
                <w:color w:val="000000"/>
                <w:sz w:val="24"/>
                <w:szCs w:val="24"/>
                <w:lang w:eastAsia="zh-CN"/>
              </w:rPr>
              <w:t>）</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《光明科学城青年科技人才培育专项行动方案》</w:t>
            </w:r>
            <w:r>
              <w:rPr>
                <w:rFonts w:hint="eastAsia" w:ascii="仿宋" w:hAnsi="仿宋" w:eastAsia="仿宋" w:cs="仿宋"/>
                <w:color w:val="000000"/>
                <w:sz w:val="24"/>
                <w:szCs w:val="24"/>
                <w:lang w:eastAsia="zh-CN"/>
              </w:rPr>
              <w:t>（深光人才</w:t>
            </w:r>
            <w:r>
              <w:rPr>
                <w:rFonts w:hint="eastAsia" w:ascii="仿宋" w:hAnsi="仿宋" w:eastAsia="仿宋" w:cs="仿宋"/>
                <w:color w:val="000000"/>
                <w:sz w:val="24"/>
                <w:szCs w:val="24"/>
                <w:lang w:val="en-US" w:eastAsia="zh-CN"/>
              </w:rPr>
              <w:t>[2022]2号</w:t>
            </w:r>
            <w:r>
              <w:rPr>
                <w:rFonts w:hint="eastAsia" w:ascii="仿宋" w:hAnsi="仿宋" w:eastAsia="仿宋" w:cs="仿宋"/>
                <w:color w:val="000000"/>
                <w:sz w:val="24"/>
                <w:szCs w:val="24"/>
                <w:lang w:eastAsia="zh-CN"/>
              </w:rPr>
              <w:t>）</w:t>
            </w:r>
          </w:p>
          <w:p>
            <w:pP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592" w:type="dxa"/>
            <w:noWrap w:val="0"/>
            <w:vAlign w:val="center"/>
          </w:tcPr>
          <w:p>
            <w:pPr>
              <w:jc w:val="center"/>
              <w:rPr>
                <w:rFonts w:ascii="仿宋" w:hAnsi="仿宋" w:eastAsia="仿宋"/>
                <w:b/>
                <w:bCs/>
                <w:color w:val="000000"/>
                <w:sz w:val="24"/>
                <w:szCs w:val="24"/>
              </w:rPr>
            </w:pPr>
            <w:r>
              <w:rPr>
                <w:rFonts w:hint="eastAsia" w:ascii="仿宋" w:hAnsi="仿宋" w:eastAsia="仿宋" w:cs="仿宋"/>
                <w:b/>
                <w:bCs/>
                <w:color w:val="000000"/>
                <w:sz w:val="24"/>
                <w:szCs w:val="24"/>
                <w:lang w:val="en-US" w:eastAsia="zh-CN"/>
              </w:rPr>
              <w:t>申报</w:t>
            </w:r>
            <w:r>
              <w:rPr>
                <w:rFonts w:hint="eastAsia" w:ascii="仿宋" w:hAnsi="仿宋" w:eastAsia="仿宋" w:cs="仿宋"/>
                <w:b/>
                <w:bCs/>
                <w:color w:val="000000"/>
                <w:sz w:val="24"/>
                <w:szCs w:val="24"/>
              </w:rPr>
              <w:t>条件</w:t>
            </w:r>
          </w:p>
        </w:tc>
        <w:tc>
          <w:tcPr>
            <w:tcW w:w="7981" w:type="dxa"/>
            <w:noWrap w:val="0"/>
            <w:vAlign w:val="center"/>
          </w:tcPr>
          <w:p>
            <w:pPr>
              <w:rPr>
                <w:rFonts w:hint="eastAsia" w:ascii="仿宋" w:hAnsi="仿宋" w:eastAsia="仿宋" w:cs="仿宋"/>
                <w:b/>
                <w:bCs/>
                <w:color w:val="000000"/>
                <w:sz w:val="24"/>
                <w:szCs w:val="24"/>
                <w:lang w:eastAsia="zh-CN"/>
              </w:rPr>
            </w:pP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1.2022年6月8日以后出站，工作期满考核合格，经全国博管办、广东省、深圳市博士后工作主管部门批准出站的博士后；</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2.已申请深圳市出站博士后科研资助，并经市人力资源和社会保障局审批通过；</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3.出站后继续在原博士后站点设站单位，承担在站期间相关科研项目研究工作，并与该单位签订三年以上劳动合同；</w:t>
            </w:r>
          </w:p>
          <w:p>
            <w:pPr>
              <w:rPr>
                <w:rFonts w:hint="eastAsia" w:ascii="仿宋" w:hAnsi="仿宋" w:eastAsia="仿宋" w:cs="仿宋"/>
                <w:b w:val="0"/>
                <w:bCs w:val="0"/>
                <w:color w:val="000000"/>
                <w:sz w:val="24"/>
                <w:szCs w:val="24"/>
              </w:rPr>
            </w:pPr>
            <w:r>
              <w:rPr>
                <w:rFonts w:hint="eastAsia" w:ascii="仿宋" w:hAnsi="仿宋" w:eastAsia="仿宋" w:cs="仿宋"/>
                <w:b w:val="0"/>
                <w:bCs w:val="0"/>
                <w:color w:val="000000"/>
                <w:sz w:val="24"/>
                <w:szCs w:val="24"/>
              </w:rPr>
              <w:t>4.上述博士后站点设站单位，注册地在光明区。</w:t>
            </w:r>
          </w:p>
          <w:p>
            <w:pPr>
              <w:rPr>
                <w:rFonts w:hint="eastAsia" w:ascii="仿宋" w:hAnsi="仿宋" w:eastAsia="仿宋" w:cs="仿宋"/>
                <w:b w:val="0"/>
                <w:bCs w:val="0"/>
                <w:color w:val="000000"/>
                <w:sz w:val="24"/>
                <w:szCs w:val="24"/>
              </w:rPr>
            </w:pPr>
          </w:p>
          <w:p>
            <w:pP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jc w:val="center"/>
        </w:trPr>
        <w:tc>
          <w:tcPr>
            <w:tcW w:w="1592" w:type="dxa"/>
            <w:noWrap w:val="0"/>
            <w:vAlign w:val="center"/>
          </w:tcPr>
          <w:p>
            <w:pPr>
              <w:jc w:val="center"/>
              <w:rPr>
                <w:rFonts w:ascii="仿宋" w:hAnsi="仿宋" w:eastAsia="仿宋"/>
                <w:b/>
                <w:bCs/>
                <w:color w:val="000000"/>
                <w:sz w:val="24"/>
                <w:szCs w:val="24"/>
              </w:rPr>
            </w:pPr>
            <w:r>
              <w:rPr>
                <w:rFonts w:hint="eastAsia" w:ascii="仿宋" w:hAnsi="仿宋" w:eastAsia="仿宋" w:cs="仿宋"/>
                <w:b/>
                <w:bCs/>
                <w:color w:val="000000"/>
                <w:sz w:val="24"/>
                <w:szCs w:val="24"/>
              </w:rPr>
              <w:t>申请材料</w:t>
            </w:r>
          </w:p>
        </w:tc>
        <w:tc>
          <w:tcPr>
            <w:tcW w:w="7981" w:type="dxa"/>
            <w:noWrap w:val="0"/>
            <w:vAlign w:val="center"/>
          </w:tcPr>
          <w:p>
            <w:pP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（一）申报材料</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1.光明区出站博士后生活资助申请汇总表；</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 xml:space="preserve">.光明区出站博士后生活资助申请表；  </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.深圳市接收出站博士后人员备案通知书；</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申请人有效身份证明材料（香港、澳门永久性居民以永久性港澳居民身份证和《港澳居民来往内地通行证》为准；赴港澳定居的内地居民（已注销内地户籍）以港澳居民身份证和《港澳居民来往内地通行证》为准；台湾地区居民以《台湾居民来往大陆通行证》为准；外国国籍人士以护照或外国人永久居留证为准）；</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.已申请深圳市出站博士后科研资助，并经市人力资源和社会保障局审批通过的证明材料</w:t>
            </w:r>
            <w:r>
              <w:rPr>
                <w:rFonts w:hint="eastAsia" w:ascii="仿宋" w:hAnsi="仿宋" w:eastAsia="仿宋" w:cs="仿宋"/>
                <w:color w:val="000000"/>
                <w:sz w:val="24"/>
                <w:szCs w:val="24"/>
                <w:lang w:eastAsia="zh-CN"/>
              </w:rPr>
              <w:t>；</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申请人在光明区工作最近</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个月社保清单和个税清单；</w:t>
            </w:r>
          </w:p>
          <w:p>
            <w:pPr>
              <w:pStyle w:val="2"/>
              <w:ind w:left="0" w:leftChars="0" w:firstLine="0" w:firstLineChars="0"/>
              <w:rPr>
                <w:rFonts w:hint="default" w:eastAsia="仿宋"/>
                <w:lang w:val="en-US" w:eastAsia="zh-CN"/>
              </w:rPr>
            </w:pPr>
            <w:r>
              <w:rPr>
                <w:rFonts w:hint="eastAsia" w:ascii="仿宋" w:hAnsi="仿宋" w:eastAsia="仿宋" w:cs="仿宋"/>
                <w:color w:val="000000"/>
                <w:sz w:val="24"/>
                <w:szCs w:val="24"/>
                <w:lang w:val="en-US" w:eastAsia="zh-CN"/>
              </w:rPr>
              <w:t>7.申请人个人银行卡基本账户信息。</w:t>
            </w:r>
          </w:p>
          <w:p>
            <w:pPr>
              <w:rPr>
                <w:rFonts w:hint="eastAsia" w:ascii="仿宋" w:hAnsi="仿宋" w:eastAsia="仿宋" w:cs="仿宋"/>
                <w:color w:val="000000"/>
                <w:sz w:val="24"/>
                <w:szCs w:val="24"/>
              </w:rPr>
            </w:pPr>
          </w:p>
          <w:p>
            <w:pP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（一）特别提醒</w:t>
            </w:r>
          </w:p>
          <w:p>
            <w:pPr>
              <w:rPr>
                <w:rFonts w:hint="eastAsia" w:ascii="仿宋" w:hAnsi="仿宋" w:eastAsia="仿宋" w:cs="仿宋"/>
                <w:color w:val="000000"/>
                <w:sz w:val="24"/>
                <w:szCs w:val="24"/>
              </w:rPr>
            </w:pPr>
            <w:r>
              <w:rPr>
                <w:rFonts w:hint="eastAsia" w:ascii="仿宋" w:hAnsi="仿宋" w:eastAsia="仿宋" w:cs="仿宋"/>
                <w:color w:val="000000"/>
                <w:sz w:val="24"/>
                <w:szCs w:val="24"/>
              </w:rPr>
              <w:t>1.以上所有材料均需提供纸质版和电子版；</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2.电子版材料：填写的表格需提供原始的word或excel文件，有签名、加盖公章的还需提供pdf扫描文件。个人材料以单位简称+申报人姓名为文件夹名，发送至邮箱rcgzj@szgm.gov.cn</w:t>
            </w:r>
            <w:r>
              <w:rPr>
                <w:rFonts w:hint="eastAsia" w:ascii="仿宋" w:hAnsi="仿宋" w:eastAsia="仿宋" w:cs="仿宋"/>
                <w:color w:val="000000"/>
                <w:sz w:val="24"/>
                <w:szCs w:val="24"/>
                <w:lang w:val="en-US" w:eastAsia="zh-CN"/>
              </w:rPr>
              <w:t>;</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纸质版材料：A4纸双面打印，编目录、标页码、装订成册后一次性提交，多页的还需加盖骑缝章。拒收零散材料、可能掉落的材料以及其它不符合装订或格式要求的材料。提交前，申报单位应自行核验材料完整性</w:t>
            </w:r>
            <w:r>
              <w:rPr>
                <w:rFonts w:hint="eastAsia" w:ascii="仿宋" w:hAnsi="仿宋" w:eastAsia="仿宋" w:cs="仿宋"/>
                <w:color w:val="000000"/>
                <w:sz w:val="24"/>
                <w:szCs w:val="24"/>
                <w:lang w:val="en-US" w:eastAsia="zh-CN"/>
              </w:rPr>
              <w:t>;</w:t>
            </w:r>
          </w:p>
          <w:p>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.申报材料为外文的，需另提供有正规翻译机构（正规翻译机构是指经工商部门注册登记，具有合法营业执照，经营范围包括翻译业务的翻译公司）盖章的翻译件</w:t>
            </w:r>
            <w:r>
              <w:rPr>
                <w:rFonts w:hint="eastAsia" w:ascii="仿宋" w:hAnsi="仿宋" w:eastAsia="仿宋" w:cs="仿宋"/>
                <w:color w:val="000000"/>
                <w:sz w:val="24"/>
                <w:szCs w:val="24"/>
                <w:lang w:val="en-US" w:eastAsia="zh-CN"/>
              </w:rPr>
              <w:t>;</w:t>
            </w:r>
          </w:p>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.中国籍申请人必须以身份证进行申请，号码为18位格式；外籍申请人（包括外籍华人）持国外护照申请时，所填报姓名必须与护照姓名一致。</w:t>
            </w:r>
          </w:p>
          <w:p>
            <w:pP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9" w:hRule="atLeast"/>
          <w:jc w:val="center"/>
        </w:trPr>
        <w:tc>
          <w:tcPr>
            <w:tcW w:w="1592" w:type="dxa"/>
            <w:noWrap w:val="0"/>
            <w:vAlign w:val="center"/>
          </w:tcPr>
          <w:p>
            <w:pPr>
              <w:jc w:val="center"/>
              <w:rPr>
                <w:rFonts w:ascii="仿宋" w:hAnsi="仿宋" w:eastAsia="仿宋"/>
                <w:b/>
                <w:bCs/>
                <w:color w:val="000000"/>
                <w:sz w:val="24"/>
                <w:szCs w:val="24"/>
              </w:rPr>
            </w:pPr>
            <w:r>
              <w:rPr>
                <w:rFonts w:hint="eastAsia" w:ascii="仿宋" w:hAnsi="仿宋" w:eastAsia="仿宋" w:cs="仿宋"/>
                <w:b/>
                <w:bCs/>
                <w:color w:val="000000"/>
                <w:sz w:val="24"/>
                <w:szCs w:val="24"/>
              </w:rPr>
              <w:t>办理程序</w:t>
            </w:r>
          </w:p>
        </w:tc>
        <w:tc>
          <w:tcPr>
            <w:tcW w:w="7981" w:type="dxa"/>
            <w:noWrap w:val="0"/>
            <w:vAlign w:val="center"/>
          </w:tcPr>
          <w:p>
            <w:pPr>
              <w:numPr>
                <w:ilvl w:val="0"/>
                <w:numId w:val="0"/>
              </w:numPr>
              <w:ind w:right="0" w:right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1.申请。申请人按要求整理相关材料，提交至博士后出站接收单位;</w:t>
            </w:r>
          </w:p>
          <w:p>
            <w:pPr>
              <w:numPr>
                <w:ilvl w:val="0"/>
                <w:numId w:val="0"/>
              </w:numPr>
              <w:ind w:right="0" w:right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2.单位审核。博士后出站接收单位对申请材料进行审核，对符合要求并同意推荐的申报人进行公示;</w:t>
            </w:r>
          </w:p>
          <w:p>
            <w:pPr>
              <w:numPr>
                <w:ilvl w:val="0"/>
                <w:numId w:val="0"/>
              </w:numPr>
              <w:ind w:right="0" w:right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3.单位提交。公示期满无异议，在受理截止日期前，按要求将申请材料报送至光明区公共服务平台一层行政服务大厅（北厅）1号人才服务窗口，电子版发送至指定邮箱rcgzj@szgm.gov.cn;</w:t>
            </w:r>
          </w:p>
          <w:p>
            <w:pPr>
              <w:numPr>
                <w:ilvl w:val="0"/>
                <w:numId w:val="0"/>
              </w:numPr>
              <w:ind w:right="0" w:right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4.受理。区委人才工作领导小组办公室对符合要求的申请予以受理，材料不齐全的退回原单位，并告知需补充的材料，受理截止日期后提交材料的，不予受理;</w:t>
            </w:r>
          </w:p>
          <w:p>
            <w:pPr>
              <w:numPr>
                <w:ilvl w:val="0"/>
                <w:numId w:val="0"/>
              </w:numPr>
              <w:ind w:right="0" w:right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5.审核。区委人才工作领导小组办公室对已受理的申请进行审核;</w:t>
            </w:r>
          </w:p>
          <w:p>
            <w:pPr>
              <w:numPr>
                <w:ilvl w:val="0"/>
                <w:numId w:val="0"/>
              </w:numPr>
              <w:ind w:right="0" w:rightChars="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6.公示。对审核通过的申请人，在光明区政府在线上公示5个工作日;</w:t>
            </w:r>
          </w:p>
          <w:p>
            <w:pPr>
              <w:numPr>
                <w:ilvl w:val="0"/>
                <w:numId w:val="0"/>
              </w:numPr>
              <w:ind w:right="0" w:rightChars="0"/>
              <w:rPr>
                <w:rFonts w:ascii="仿宋" w:hAnsi="仿宋" w:eastAsia="仿宋"/>
                <w:color w:val="000000"/>
                <w:sz w:val="24"/>
                <w:szCs w:val="24"/>
              </w:rPr>
            </w:pPr>
            <w:r>
              <w:rPr>
                <w:rFonts w:hint="eastAsia" w:ascii="仿宋" w:hAnsi="仿宋" w:eastAsia="仿宋" w:cs="仿宋"/>
                <w:color w:val="000000"/>
                <w:sz w:val="24"/>
                <w:szCs w:val="24"/>
                <w:lang w:val="en-US" w:eastAsia="zh-CN"/>
              </w:rPr>
              <w:t>7.资金发放。公示期满无异议或异议经核实不成立的，区委人才工作领导小组办公室将集中发放出站博士后生活资助至申请人个人账户。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val="en-US" w:eastAsia="zh-CN"/>
              </w:rPr>
              <w:t>其他说明</w:t>
            </w:r>
          </w:p>
        </w:tc>
        <w:tc>
          <w:tcPr>
            <w:tcW w:w="7981"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此事项每年受理一次。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8292A"/>
    <w:rsid w:val="2CD8292A"/>
    <w:rsid w:val="5ECA0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楷体_GB2312" w:hAnsi="楷体_GB2312" w:eastAsia="楷体_GB2312" w:cs="楷体_GB2312"/>
      <w:sz w:val="22"/>
      <w:szCs w:val="22"/>
      <w:lang w:val="zh-CN" w:eastAsia="zh-CN" w:bidi="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567"/>
    </w:pPr>
  </w:style>
  <w:style w:type="paragraph" w:customStyle="1" w:styleId="5">
    <w:name w:val="样式1"/>
    <w:basedOn w:val="1"/>
    <w:next w:val="1"/>
    <w:uiPriority w:val="0"/>
    <w:pPr>
      <w:spacing w:beforeAutospacing="1" w:afterAutospacing="1"/>
      <w:jc w:val="left"/>
      <w:outlineLvl w:val="0"/>
    </w:pPr>
    <w:rPr>
      <w:rFonts w:ascii="宋体" w:hAnsi="宋体" w:eastAsia="仿宋_GB2312" w:cs="Times New Roman"/>
      <w:kern w:val="44"/>
      <w:sz w:val="32"/>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2022-10-18T02:21:00Z</dcterms:created>
  <dc:creator>陈军</dc:creator>
  <cp:lastModifiedBy>陈军</cp:lastModifiedBy>
  <dcterms:modified xsi:type="dcterms:W3CDTF">2022-10-18T02:23:22Z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