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光明区汽车经销企业名单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11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企业名称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销售品牌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深圳中升宝晋汽车销售服务有限公司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深圳市东顺汽车销售服务有限责任公司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比亚迪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深圳光明中升雷克萨斯汽车销售服务有限公司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雷克萨斯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深圳市东兴汽车销售服务有限公司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比亚迪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深圳中升汽车销售服务有限公司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车和家汽车销售服务（深圳）有限公司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理想汽车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深圳市顺宝汽车销售服务有限公司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长安、深蓝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深圳市光明丰田汽车销售服务有限公司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一汽丰田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深圳华明汽车销售服务有限公司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东风日产、启辰、英菲尼迪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深圳市深意汽车销售服务有限公司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深圳众意汽车销售服务有限公司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一汽大众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深圳市宝恒汽车销售有限公司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别克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通利华（深圳）汽车销售服务有限公司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深圳市天达汽车贸易有限公司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哈弗、欧拉、坦克、魏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深圳市东舜汽车销售服务有限公司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比亚迪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深圳光明城埃安汽车销售服务有限公司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广汽埃安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深圳市金麦子汽车服务有限公司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雪铁龙、几何、东风标致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深圳鹏行汽车销售服务有限公司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深圳市大兴宝典汽车有限公司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雪佛兰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" w:eastAsia="zh-CN"/>
              </w:rPr>
              <w:t>深圳市金通达汽车销售有限公司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东风本田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深圳腾势汽车销售有限公司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腾势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深圳市众禧汽车服务有限公司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广汽传祺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其他未在名单上但实际已纳入光明区限额以上零售业统计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Hans" w:bidi="ar"/>
              </w:rPr>
              <w:t>且正常经营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的汽车经销企业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1C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ind w:left="120"/>
      <w:jc w:val="both"/>
    </w:pPr>
    <w:rPr>
      <w:rFonts w:ascii="Calibri" w:hAnsi="Calibri" w:eastAsia="宋体" w:cs="Times New Roman"/>
      <w:kern w:val="2"/>
      <w:sz w:val="21"/>
      <w:szCs w:val="2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huawei</cp:lastModifiedBy>
  <dcterms:modified xsi:type="dcterms:W3CDTF">2023-05-19T15:51:25Z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