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imes New Roman" w:hAnsi="Times New Roman" w:eastAsia="方正小标宋简体" w:cs="Times New Roman"/>
          <w:color w:val="000000"/>
          <w:sz w:val="44"/>
          <w:szCs w:val="44"/>
          <w:highlight w:val="none"/>
        </w:rPr>
      </w:pPr>
      <w:bookmarkStart w:id="0" w:name="_GoBack"/>
      <w:r>
        <w:rPr>
          <w:rFonts w:ascii="Times New Roman" w:hAnsi="Times New Roman" w:eastAsia="方正小标宋简体" w:cs="Times New Roman"/>
          <w:color w:val="000000"/>
          <w:sz w:val="44"/>
          <w:szCs w:val="44"/>
          <w:highlight w:val="none"/>
        </w:rPr>
        <w:t>《</w:t>
      </w:r>
      <w:r>
        <w:rPr>
          <w:rFonts w:hint="eastAsia" w:ascii="Times New Roman" w:hAnsi="Times New Roman" w:eastAsia="方正小标宋简体" w:cs="Times New Roman"/>
          <w:color w:val="000000"/>
          <w:sz w:val="44"/>
          <w:szCs w:val="44"/>
          <w:highlight w:val="none"/>
        </w:rPr>
        <w:t>深圳市光明区关于支持生物医药产业集群高质量发展的若干措施</w:t>
      </w:r>
      <w:r>
        <w:rPr>
          <w:rFonts w:ascii="Times New Roman" w:hAnsi="Times New Roman" w:eastAsia="方正小标宋简体" w:cs="Times New Roman"/>
          <w:color w:val="000000"/>
          <w:sz w:val="44"/>
          <w:szCs w:val="44"/>
          <w:highlight w:val="none"/>
        </w:rPr>
        <w:t>》起草说明</w:t>
      </w:r>
    </w:p>
    <w:bookmarkEnd w:id="0"/>
    <w:p>
      <w:pPr>
        <w:ind w:firstLine="880"/>
        <w:jc w:val="center"/>
        <w:rPr>
          <w:rFonts w:ascii="Times New Roman" w:hAnsi="Times New Roman" w:eastAsia="方正小标宋简体" w:cs="Times New Roman"/>
          <w:bCs/>
          <w:color w:val="000000"/>
          <w:sz w:val="44"/>
          <w:szCs w:val="44"/>
          <w:highlight w:val="none"/>
        </w:rPr>
      </w:pPr>
    </w:p>
    <w:p>
      <w:pPr>
        <w:ind w:firstLine="640"/>
        <w:rPr>
          <w:rFonts w:ascii="Times New Roman" w:hAnsi="Times New Roman" w:cs="Times New Roman"/>
          <w:color w:val="000000"/>
          <w:szCs w:val="32"/>
          <w:highlight w:val="none"/>
        </w:rPr>
      </w:pPr>
      <w:r>
        <w:rPr>
          <w:rFonts w:hint="eastAsia"/>
          <w:highlight w:val="none"/>
        </w:rPr>
        <w:t>为贯彻落</w:t>
      </w:r>
      <w:r>
        <w:rPr>
          <w:rFonts w:hint="eastAsia"/>
          <w:color w:val="000000"/>
          <w:highlight w:val="none"/>
        </w:rPr>
        <w:t>实《国务院办公厅关于促进医药产业健康发展的指导意见》《农业农村部关</w:t>
      </w:r>
      <w:r>
        <w:rPr>
          <w:rFonts w:hint="eastAsia" w:hAnsi="仿宋_GB2312" w:cs="仿宋_GB2312"/>
          <w:color w:val="000000"/>
          <w:highlight w:val="none"/>
        </w:rPr>
        <w:t>于印发</w:t>
      </w:r>
      <w:r>
        <w:rPr>
          <w:rStyle w:val="29"/>
          <w:rFonts w:hint="eastAsia" w:ascii="仿宋_GB2312" w:eastAsia="仿宋_GB2312"/>
          <w:highlight w:val="none"/>
        </w:rPr>
        <w:t>〈</w:t>
      </w:r>
      <w:r>
        <w:rPr>
          <w:rFonts w:hint="eastAsia" w:hAnsi="仿宋_GB2312" w:cs="仿宋_GB2312"/>
          <w:color w:val="000000"/>
          <w:highlight w:val="none"/>
        </w:rPr>
        <w:t>“十四五”全国畜牧兽医行业发展规划</w:t>
      </w:r>
      <w:r>
        <w:rPr>
          <w:rStyle w:val="29"/>
          <w:rFonts w:hint="eastAsia" w:ascii="仿宋_GB2312" w:eastAsia="仿宋_GB2312"/>
          <w:highlight w:val="none"/>
        </w:rPr>
        <w:t>〉</w:t>
      </w:r>
      <w:r>
        <w:rPr>
          <w:rFonts w:hint="eastAsia" w:hAnsi="仿宋_GB2312" w:cs="仿宋_GB2312"/>
          <w:color w:val="000000"/>
          <w:highlight w:val="none"/>
        </w:rPr>
        <w:t>的通知》（农牧发〔2021〕37号）、</w:t>
      </w:r>
      <w:r>
        <w:rPr>
          <w:rFonts w:hint="eastAsia" w:hAnsi="仿宋_GB2312" w:cs="仿宋_GB2312"/>
          <w:highlight w:val="none"/>
        </w:rPr>
        <w:t>《农业部关于推进兽医社会化服务发展的指导意见》（农医发〔2017〕35号）、《广东省人民政府关于培育发展战略性支柱产业集</w:t>
      </w:r>
      <w:r>
        <w:rPr>
          <w:rFonts w:hint="eastAsia"/>
          <w:highlight w:val="none"/>
        </w:rPr>
        <w:t>群和战略性新兴产业集群的意见》</w:t>
      </w:r>
      <w:r>
        <w:rPr>
          <w:rFonts w:hint="eastAsia" w:hAnsi="仿宋_GB2312" w:cs="仿宋_GB2312"/>
          <w:highlight w:val="none"/>
        </w:rPr>
        <w:t>（粤府函〔2020〕82号）、</w:t>
      </w:r>
      <w:r>
        <w:rPr>
          <w:rFonts w:hint="eastAsia"/>
          <w:highlight w:val="none"/>
        </w:rPr>
        <w:t>《深圳市人民政府印发关于推动制造业高质量发展坚定不移打造制造强市若干措施的通知》（深府规〔2021〕1号）、《深圳市人民政府关于发展壮大战略性新兴产业集群和培育发展未来产业的意见》（深府〔2022〕1号）、</w:t>
      </w:r>
      <w:r>
        <w:rPr>
          <w:rFonts w:hint="eastAsia"/>
          <w:color w:val="000000"/>
          <w:highlight w:val="none"/>
        </w:rPr>
        <w:t>《深圳市培育发展生物医药产业集群行动</w:t>
      </w:r>
      <w:r>
        <w:rPr>
          <w:rFonts w:hint="eastAsia" w:hAnsi="仿宋_GB2312" w:cs="仿宋_GB2312"/>
          <w:color w:val="000000"/>
          <w:highlight w:val="none"/>
        </w:rPr>
        <w:t>计划（2022—2025年）》</w:t>
      </w:r>
      <w:r>
        <w:rPr>
          <w:rFonts w:hint="eastAsia" w:hAnsi="黑体"/>
          <w:highlight w:val="none"/>
        </w:rPr>
        <w:t>等文件精神</w:t>
      </w:r>
      <w:r>
        <w:rPr>
          <w:rFonts w:hint="eastAsia" w:hAnsi="仿宋_GB2312" w:cs="仿宋_GB2312"/>
          <w:color w:val="000000"/>
          <w:highlight w:val="none"/>
        </w:rPr>
        <w:t>，促进光明区生物医药产业集群高质量发展，建立“专业平台+园区载体+创新企业+产业生态”产业链政策支持体系，加快建</w:t>
      </w:r>
      <w:r>
        <w:rPr>
          <w:rFonts w:hint="eastAsia"/>
          <w:color w:val="000000"/>
          <w:highlight w:val="none"/>
        </w:rPr>
        <w:t>成</w:t>
      </w:r>
      <w:r>
        <w:rPr>
          <w:rFonts w:hint="eastAsia"/>
          <w:highlight w:val="none"/>
        </w:rPr>
        <w:t>国际知名、国内一流的生物医药技术创新区，深圳市光明区工业和信息化局</w:t>
      </w:r>
      <w:r>
        <w:rPr>
          <w:rFonts w:ascii="Times New Roman" w:hAnsi="Times New Roman" w:cs="Times New Roman"/>
          <w:color w:val="000000"/>
          <w:szCs w:val="32"/>
          <w:highlight w:val="none"/>
        </w:rPr>
        <w:t>成立编制小组，经过实地调研和深入研究，并广泛征求企业</w:t>
      </w:r>
      <w:r>
        <w:rPr>
          <w:rFonts w:hint="eastAsia" w:ascii="Times New Roman" w:hAnsi="Times New Roman" w:cs="Times New Roman"/>
          <w:color w:val="000000"/>
          <w:szCs w:val="32"/>
          <w:highlight w:val="none"/>
        </w:rPr>
        <w:t>、</w:t>
      </w:r>
      <w:r>
        <w:rPr>
          <w:rFonts w:ascii="Times New Roman" w:hAnsi="Times New Roman" w:cs="Times New Roman"/>
          <w:color w:val="000000"/>
          <w:szCs w:val="32"/>
          <w:highlight w:val="none"/>
        </w:rPr>
        <w:t>高校以及行业协会意见，组织编制了《</w:t>
      </w:r>
      <w:r>
        <w:rPr>
          <w:rFonts w:hint="eastAsia" w:ascii="Times New Roman" w:hAnsi="Times New Roman" w:cs="Times New Roman"/>
          <w:color w:val="000000"/>
          <w:szCs w:val="32"/>
          <w:highlight w:val="none"/>
        </w:rPr>
        <w:t>深圳市光明区关于支持生物医药产业集群高质量发展的若干措施</w:t>
      </w:r>
      <w:r>
        <w:rPr>
          <w:rFonts w:ascii="Times New Roman" w:hAnsi="Times New Roman" w:cs="Times New Roman"/>
          <w:color w:val="000000"/>
          <w:szCs w:val="32"/>
          <w:highlight w:val="none"/>
        </w:rPr>
        <w:t>》（以下简称</w:t>
      </w:r>
      <w:r>
        <w:rPr>
          <w:rFonts w:hint="eastAsia" w:ascii="Times New Roman" w:hAnsi="Times New Roman" w:cs="Times New Roman"/>
          <w:color w:val="000000"/>
          <w:szCs w:val="32"/>
          <w:highlight w:val="none"/>
          <w:lang w:eastAsia="zh-CN"/>
        </w:rPr>
        <w:t>《若干措施》</w:t>
      </w:r>
      <w:r>
        <w:rPr>
          <w:rFonts w:ascii="Times New Roman" w:hAnsi="Times New Roman" w:cs="Times New Roman"/>
          <w:color w:val="000000"/>
          <w:szCs w:val="32"/>
          <w:highlight w:val="none"/>
        </w:rPr>
        <w:t>）。现将有关情况说明如下：</w:t>
      </w:r>
    </w:p>
    <w:p>
      <w:pPr>
        <w:ind w:firstLine="640"/>
        <w:outlineLvl w:val="0"/>
        <w:rPr>
          <w:rFonts w:ascii="Times New Roman" w:hAnsi="Times New Roman" w:eastAsia="黑体" w:cs="Times New Roman"/>
          <w:szCs w:val="32"/>
          <w:highlight w:val="none"/>
        </w:rPr>
      </w:pPr>
      <w:r>
        <w:rPr>
          <w:rFonts w:ascii="Times New Roman" w:hAnsi="Times New Roman" w:eastAsia="黑体" w:cs="Times New Roman"/>
          <w:szCs w:val="32"/>
          <w:highlight w:val="none"/>
        </w:rPr>
        <w:t>一、起草背景及必要性</w:t>
      </w:r>
    </w:p>
    <w:p>
      <w:pPr>
        <w:ind w:firstLine="640"/>
        <w:rPr>
          <w:rFonts w:ascii="Times New Roman" w:hAnsi="Times New Roman" w:cs="Times New Roman"/>
          <w:color w:val="000000"/>
          <w:szCs w:val="32"/>
          <w:highlight w:val="none"/>
        </w:rPr>
      </w:pPr>
      <w:r>
        <w:rPr>
          <w:rFonts w:ascii="Times New Roman" w:hAnsi="Times New Roman" w:cs="Times New Roman"/>
          <w:color w:val="000000"/>
          <w:szCs w:val="32"/>
          <w:highlight w:val="none"/>
        </w:rPr>
        <w:t>为推动</w:t>
      </w:r>
      <w:r>
        <w:rPr>
          <w:rFonts w:hint="eastAsia" w:ascii="Times New Roman" w:hAnsi="Times New Roman" w:cs="Times New Roman"/>
          <w:color w:val="000000"/>
          <w:szCs w:val="32"/>
          <w:highlight w:val="none"/>
        </w:rPr>
        <w:t>生物医药</w:t>
      </w:r>
      <w:r>
        <w:rPr>
          <w:rFonts w:ascii="Times New Roman" w:hAnsi="Times New Roman" w:cs="Times New Roman"/>
          <w:color w:val="000000"/>
          <w:szCs w:val="32"/>
          <w:highlight w:val="none"/>
        </w:rPr>
        <w:t>产业集聚发展，</w:t>
      </w:r>
      <w:r>
        <w:rPr>
          <w:rFonts w:hint="eastAsia" w:ascii="Times New Roman" w:hAnsi="Times New Roman" w:cs="Times New Roman"/>
          <w:color w:val="000000"/>
          <w:szCs w:val="32"/>
          <w:highlight w:val="none"/>
        </w:rPr>
        <w:t>深圳市</w:t>
      </w:r>
      <w:r>
        <w:rPr>
          <w:rFonts w:ascii="Times New Roman" w:hAnsi="Times New Roman" w:cs="Times New Roman"/>
          <w:color w:val="000000"/>
          <w:szCs w:val="32"/>
          <w:highlight w:val="none"/>
        </w:rPr>
        <w:t>制定了</w:t>
      </w:r>
      <w:r>
        <w:rPr>
          <w:rFonts w:hint="eastAsia" w:ascii="Times New Roman" w:hAnsi="Times New Roman" w:cs="Times New Roman"/>
          <w:color w:val="000000"/>
          <w:szCs w:val="32"/>
          <w:highlight w:val="none"/>
        </w:rPr>
        <w:t>《深圳市培育发展生物医药产业集群行动计划（2022-2025年）</w:t>
      </w:r>
      <w:r>
        <w:rPr>
          <w:rFonts w:ascii="Times New Roman" w:hAnsi="Times New Roman" w:cs="Times New Roman"/>
          <w:color w:val="000000"/>
          <w:szCs w:val="32"/>
          <w:highlight w:val="none"/>
        </w:rPr>
        <w:t>》等政策</w:t>
      </w:r>
      <w:r>
        <w:rPr>
          <w:rFonts w:hint="eastAsia" w:ascii="Times New Roman" w:hAnsi="Times New Roman" w:cs="Times New Roman"/>
          <w:color w:val="000000"/>
          <w:szCs w:val="32"/>
          <w:highlight w:val="none"/>
        </w:rPr>
        <w:t>措施</w:t>
      </w:r>
      <w:r>
        <w:rPr>
          <w:rFonts w:ascii="Times New Roman" w:hAnsi="Times New Roman" w:cs="Times New Roman"/>
          <w:color w:val="000000"/>
          <w:szCs w:val="32"/>
          <w:highlight w:val="none"/>
        </w:rPr>
        <w:t>，</w:t>
      </w:r>
      <w:r>
        <w:rPr>
          <w:rFonts w:hint="eastAsia"/>
          <w:szCs w:val="32"/>
          <w:highlight w:val="none"/>
        </w:rPr>
        <w:t>培育壮大生物医药产业新技术、新产业、新业态，集中资源促进生物医药产业高端化、规模化、集约化发展</w:t>
      </w:r>
      <w:r>
        <w:rPr>
          <w:rFonts w:ascii="Times New Roman" w:hAnsi="Times New Roman" w:cs="Times New Roman"/>
          <w:color w:val="000000"/>
          <w:szCs w:val="32"/>
          <w:highlight w:val="none"/>
        </w:rPr>
        <w:t>。</w:t>
      </w:r>
      <w:r>
        <w:rPr>
          <w:rFonts w:hint="eastAsia" w:ascii="Times New Roman" w:hAnsi="Times New Roman" w:cs="Times New Roman"/>
          <w:color w:val="000000"/>
          <w:szCs w:val="32"/>
          <w:highlight w:val="none"/>
        </w:rPr>
        <w:t>行动计划对光明区提出明确方向，即“光明区定位为技术创新区，依托重点企业及创新载体，重点开展生物制品研发和技术创新”。</w:t>
      </w:r>
      <w:r>
        <w:rPr>
          <w:rFonts w:hint="eastAsia" w:ascii="Times New Roman" w:hAnsi="Times New Roman" w:cs="Times New Roman"/>
          <w:color w:val="000000"/>
          <w:szCs w:val="32"/>
          <w:highlight w:val="none"/>
          <w:lang w:val="en-US" w:eastAsia="zh-CN"/>
        </w:rPr>
        <w:t>光明</w:t>
      </w:r>
      <w:r>
        <w:rPr>
          <w:rFonts w:hint="eastAsia" w:hAnsi="Times New Roman" w:cs="Times New Roman"/>
          <w:color w:val="000000"/>
          <w:szCs w:val="32"/>
          <w:highlight w:val="none"/>
        </w:rPr>
        <w:t>区深入</w:t>
      </w:r>
      <w:r>
        <w:rPr>
          <w:rFonts w:hint="eastAsia" w:hAnsi="Times New Roman" w:cs="宋体"/>
          <w:color w:val="000000"/>
          <w:szCs w:val="32"/>
          <w:highlight w:val="none"/>
        </w:rPr>
        <w:t>贯彻市委市政府促进生物医药产业发展的战略要求，积极</w:t>
      </w:r>
      <w:r>
        <w:rPr>
          <w:rFonts w:hint="eastAsia" w:hAnsi="Times New Roman" w:cs="Times New Roman"/>
          <w:color w:val="000000"/>
          <w:szCs w:val="32"/>
          <w:highlight w:val="none"/>
        </w:rPr>
        <w:t>建设国际知名、国内一流的生物制品技术创新区</w:t>
      </w:r>
      <w:r>
        <w:rPr>
          <w:rFonts w:hAnsi="Times New Roman" w:cs="Times New Roman"/>
          <w:color w:val="000000"/>
          <w:szCs w:val="32"/>
          <w:highlight w:val="none"/>
        </w:rPr>
        <w:t>。</w:t>
      </w:r>
    </w:p>
    <w:p>
      <w:pPr>
        <w:ind w:firstLine="640"/>
        <w:outlineLvl w:val="0"/>
        <w:rPr>
          <w:rFonts w:hAnsi="Times New Roman" w:cs="Times New Roman"/>
          <w:color w:val="000000"/>
          <w:szCs w:val="32"/>
          <w:highlight w:val="none"/>
        </w:rPr>
      </w:pPr>
      <w:r>
        <w:rPr>
          <w:rFonts w:hint="eastAsia" w:hAnsi="Times New Roman" w:cs="Times New Roman"/>
          <w:color w:val="000000"/>
          <w:szCs w:val="32"/>
          <w:highlight w:val="none"/>
        </w:rPr>
        <w:t>当前光明区正处于</w:t>
      </w:r>
      <w:r>
        <w:rPr>
          <w:rFonts w:hAnsi="Times New Roman" w:cs="Times New Roman"/>
          <w:color w:val="000000"/>
          <w:szCs w:val="32"/>
          <w:highlight w:val="none"/>
        </w:rPr>
        <w:t>突破创新、攻坚克难、</w:t>
      </w:r>
      <w:r>
        <w:rPr>
          <w:rFonts w:hint="eastAsia" w:hAnsi="Times New Roman" w:cs="Times New Roman"/>
          <w:color w:val="000000"/>
          <w:szCs w:val="32"/>
          <w:highlight w:val="none"/>
        </w:rPr>
        <w:t>转型升级</w:t>
      </w:r>
      <w:r>
        <w:rPr>
          <w:rFonts w:hAnsi="Times New Roman" w:cs="Times New Roman"/>
          <w:color w:val="000000"/>
          <w:szCs w:val="32"/>
          <w:highlight w:val="none"/>
        </w:rPr>
        <w:t>的关键</w:t>
      </w:r>
      <w:r>
        <w:rPr>
          <w:rFonts w:hint="eastAsia" w:hAnsi="Times New Roman" w:cs="Times New Roman"/>
          <w:color w:val="000000"/>
          <w:szCs w:val="32"/>
          <w:highlight w:val="none"/>
        </w:rPr>
        <w:t>时期</w:t>
      </w:r>
      <w:r>
        <w:rPr>
          <w:rFonts w:hAnsi="Times New Roman" w:cs="Times New Roman"/>
          <w:color w:val="000000"/>
          <w:szCs w:val="32"/>
          <w:highlight w:val="none"/>
        </w:rPr>
        <w:t>，</w:t>
      </w:r>
      <w:r>
        <w:rPr>
          <w:rFonts w:hint="eastAsia" w:hAnsi="Times New Roman" w:cs="Times New Roman"/>
          <w:color w:val="000000"/>
          <w:szCs w:val="32"/>
          <w:highlight w:val="none"/>
        </w:rPr>
        <w:t>产业</w:t>
      </w:r>
      <w:r>
        <w:rPr>
          <w:rFonts w:hAnsi="Times New Roman" w:cs="Times New Roman"/>
          <w:color w:val="000000"/>
          <w:szCs w:val="32"/>
          <w:highlight w:val="none"/>
        </w:rPr>
        <w:t>发展</w:t>
      </w:r>
      <w:r>
        <w:rPr>
          <w:rFonts w:hint="eastAsia" w:hAnsi="Times New Roman" w:cs="Times New Roman"/>
          <w:color w:val="000000"/>
          <w:szCs w:val="32"/>
          <w:highlight w:val="none"/>
        </w:rPr>
        <w:t>仍面临产业规模较小、企业体量较小、产值较低、产业链完备程度有待提高的局面。</w:t>
      </w:r>
      <w:r>
        <w:rPr>
          <w:rFonts w:hAnsi="Times New Roman" w:cs="Times New Roman"/>
          <w:color w:val="000000"/>
          <w:szCs w:val="32"/>
          <w:highlight w:val="none"/>
        </w:rPr>
        <w:t>产业发展</w:t>
      </w:r>
      <w:r>
        <w:rPr>
          <w:rFonts w:hint="eastAsia" w:hAnsi="Times New Roman" w:cs="Times New Roman"/>
          <w:color w:val="000000"/>
          <w:szCs w:val="32"/>
          <w:highlight w:val="none"/>
        </w:rPr>
        <w:t>亟需出台针对性强的专项扶持措施，</w:t>
      </w:r>
      <w:r>
        <w:rPr>
          <w:rFonts w:hAnsi="Times New Roman" w:cs="Times New Roman"/>
          <w:color w:val="000000"/>
          <w:szCs w:val="32"/>
          <w:highlight w:val="none"/>
        </w:rPr>
        <w:t>充分发挥政府引导和政策支持作用，</w:t>
      </w:r>
      <w:r>
        <w:rPr>
          <w:rFonts w:hint="eastAsia" w:hAnsi="Times New Roman" w:cs="Times New Roman"/>
          <w:color w:val="000000"/>
          <w:szCs w:val="32"/>
          <w:highlight w:val="none"/>
        </w:rPr>
        <w:t>加快重大科技基础设施建设，强化企业培育和招商引资，铸造增量，盘活存量，推动生物医药产业倍增发展</w:t>
      </w:r>
      <w:r>
        <w:rPr>
          <w:rFonts w:hAnsi="Times New Roman" w:cs="Times New Roman"/>
          <w:color w:val="000000"/>
          <w:szCs w:val="32"/>
          <w:highlight w:val="none"/>
        </w:rPr>
        <w:t>。</w:t>
      </w:r>
    </w:p>
    <w:p>
      <w:pPr>
        <w:ind w:firstLine="640"/>
        <w:outlineLvl w:val="0"/>
        <w:rPr>
          <w:rFonts w:ascii="Times New Roman" w:hAnsi="Times New Roman" w:eastAsia="黑体" w:cs="Times New Roman"/>
          <w:szCs w:val="32"/>
          <w:highlight w:val="none"/>
        </w:rPr>
      </w:pPr>
      <w:r>
        <w:rPr>
          <w:rFonts w:ascii="Times New Roman" w:hAnsi="Times New Roman" w:eastAsia="黑体" w:cs="Times New Roman"/>
          <w:szCs w:val="32"/>
          <w:highlight w:val="none"/>
        </w:rPr>
        <w:t>二、编制过程</w:t>
      </w:r>
    </w:p>
    <w:p>
      <w:pPr>
        <w:ind w:firstLine="640"/>
        <w:rPr>
          <w:highlight w:val="none"/>
        </w:rPr>
      </w:pPr>
      <w:r>
        <w:rPr>
          <w:rFonts w:hint="eastAsia"/>
          <w:highlight w:val="none"/>
        </w:rPr>
        <w:t>近几年生物医药产业重磅政策不断推出，包括《“健康中国2030”规划纲要》《“十四五”医药工业发展规划》，药品上市许可持有人制度，国家药品集中采购政策，加速创新产品医保准入，生物医药产业逐渐</w:t>
      </w:r>
      <w:r>
        <w:rPr>
          <w:highlight w:val="none"/>
        </w:rPr>
        <w:t>向创新迈进。北京、上海、苏州、合肥等全国</w:t>
      </w:r>
      <w:r>
        <w:rPr>
          <w:rFonts w:hint="eastAsia"/>
          <w:highlight w:val="none"/>
        </w:rPr>
        <w:t>生物医药</w:t>
      </w:r>
      <w:r>
        <w:rPr>
          <w:highlight w:val="none"/>
        </w:rPr>
        <w:t>强市为抢占</w:t>
      </w:r>
      <w:r>
        <w:rPr>
          <w:rFonts w:hint="eastAsia"/>
          <w:highlight w:val="none"/>
        </w:rPr>
        <w:t>生物医药</w:t>
      </w:r>
      <w:r>
        <w:rPr>
          <w:highlight w:val="none"/>
        </w:rPr>
        <w:t>产业高地，逐渐打造出以上海张江、北京中关村、</w:t>
      </w:r>
      <w:r>
        <w:rPr>
          <w:rFonts w:hint="eastAsia"/>
          <w:highlight w:val="none"/>
        </w:rPr>
        <w:t>苏州工业园区</w:t>
      </w:r>
      <w:r>
        <w:rPr>
          <w:highlight w:val="none"/>
        </w:rPr>
        <w:t>等一批高水平、有特色的</w:t>
      </w:r>
      <w:r>
        <w:rPr>
          <w:rFonts w:hint="eastAsia"/>
          <w:highlight w:val="none"/>
        </w:rPr>
        <w:t>生物医药</w:t>
      </w:r>
      <w:r>
        <w:rPr>
          <w:highlight w:val="none"/>
        </w:rPr>
        <w:t>产业聚集区，形成了</w:t>
      </w:r>
      <w:r>
        <w:rPr>
          <w:rFonts w:hint="eastAsia"/>
          <w:highlight w:val="none"/>
        </w:rPr>
        <w:t>生物医药</w:t>
      </w:r>
      <w:r>
        <w:rPr>
          <w:highlight w:val="none"/>
        </w:rPr>
        <w:t>产业快速发展的良好格局。</w:t>
      </w:r>
    </w:p>
    <w:p>
      <w:pPr>
        <w:pStyle w:val="3"/>
        <w:ind w:firstLine="640"/>
        <w:rPr>
          <w:highlight w:val="none"/>
        </w:rPr>
      </w:pPr>
      <w:r>
        <w:rPr>
          <w:rFonts w:hint="eastAsia" w:ascii="Times New Roman" w:hAnsi="Times New Roman" w:eastAsia="仿宋_GB2312"/>
          <w:color w:val="000000"/>
          <w:highlight w:val="none"/>
        </w:rPr>
        <w:t>根据市委、市政府工作部署，光明区工业和信息化局于</w:t>
      </w:r>
      <w:r>
        <w:rPr>
          <w:rFonts w:ascii="Times New Roman" w:hAnsi="Times New Roman" w:eastAsia="仿宋_GB2312"/>
          <w:color w:val="000000"/>
          <w:highlight w:val="none"/>
        </w:rPr>
        <w:t>2021年11月</w:t>
      </w:r>
      <w:r>
        <w:rPr>
          <w:rFonts w:hint="eastAsia" w:ascii="Times New Roman" w:hAnsi="Times New Roman" w:eastAsia="仿宋_GB2312"/>
          <w:color w:val="000000"/>
          <w:highlight w:val="none"/>
        </w:rPr>
        <w:t>成立若干措施编制小组，</w:t>
      </w:r>
      <w:r>
        <w:rPr>
          <w:rFonts w:ascii="Times New Roman" w:hAnsi="Times New Roman" w:eastAsia="仿宋_GB2312"/>
          <w:color w:val="000000"/>
          <w:highlight w:val="none"/>
        </w:rPr>
        <w:t>启动专题研究工作，全面梳理参考北京、上海、</w:t>
      </w:r>
      <w:r>
        <w:rPr>
          <w:rFonts w:hint="eastAsia" w:ascii="Times New Roman" w:hAnsi="Times New Roman" w:eastAsia="仿宋_GB2312"/>
          <w:color w:val="000000"/>
          <w:highlight w:val="none"/>
        </w:rPr>
        <w:t>苏州</w:t>
      </w:r>
      <w:r>
        <w:rPr>
          <w:rFonts w:ascii="Times New Roman" w:hAnsi="Times New Roman" w:eastAsia="仿宋_GB2312"/>
          <w:color w:val="000000"/>
          <w:highlight w:val="none"/>
        </w:rPr>
        <w:t>、</w:t>
      </w:r>
      <w:r>
        <w:rPr>
          <w:rFonts w:hint="eastAsia" w:ascii="Times New Roman" w:hAnsi="Times New Roman" w:eastAsia="仿宋_GB2312"/>
          <w:color w:val="000000"/>
          <w:highlight w:val="none"/>
        </w:rPr>
        <w:t>成都</w:t>
      </w:r>
      <w:r>
        <w:rPr>
          <w:rFonts w:ascii="Times New Roman" w:hAnsi="Times New Roman" w:eastAsia="仿宋_GB2312"/>
          <w:color w:val="000000"/>
          <w:highlight w:val="none"/>
        </w:rPr>
        <w:t>等省市产业发展政策，梳理</w:t>
      </w:r>
      <w:r>
        <w:rPr>
          <w:rFonts w:hint="eastAsia" w:ascii="Times New Roman" w:hAnsi="Times New Roman" w:eastAsia="仿宋_GB2312"/>
          <w:color w:val="000000"/>
          <w:highlight w:val="none"/>
        </w:rPr>
        <w:t>分析</w:t>
      </w:r>
      <w:r>
        <w:rPr>
          <w:rFonts w:ascii="Times New Roman" w:hAnsi="Times New Roman" w:eastAsia="仿宋_GB2312"/>
          <w:color w:val="000000"/>
          <w:highlight w:val="none"/>
        </w:rPr>
        <w:t>我</w:t>
      </w:r>
      <w:r>
        <w:rPr>
          <w:rFonts w:hint="eastAsia" w:ascii="Times New Roman" w:hAnsi="Times New Roman" w:eastAsia="仿宋_GB2312"/>
          <w:color w:val="000000"/>
          <w:highlight w:val="none"/>
        </w:rPr>
        <w:t>区</w:t>
      </w:r>
      <w:r>
        <w:rPr>
          <w:rFonts w:ascii="Times New Roman" w:hAnsi="Times New Roman" w:eastAsia="仿宋_GB2312"/>
          <w:color w:val="000000"/>
          <w:highlight w:val="none"/>
        </w:rPr>
        <w:t>现行政策及产业发展情况，此外先后调研了</w:t>
      </w:r>
      <w:r>
        <w:rPr>
          <w:rFonts w:hint="eastAsia" w:ascii="Times New Roman" w:hAnsi="Times New Roman" w:eastAsia="仿宋_GB2312"/>
          <w:color w:val="000000"/>
          <w:highlight w:val="none"/>
        </w:rPr>
        <w:t>康泰生物、卫光生物、新阳唯康、瑞华制药</w:t>
      </w:r>
      <w:r>
        <w:rPr>
          <w:rFonts w:ascii="Times New Roman" w:hAnsi="Times New Roman" w:eastAsia="仿宋_GB2312"/>
          <w:color w:val="000000"/>
          <w:highlight w:val="none"/>
        </w:rPr>
        <w:t>等重点龙头企业</w:t>
      </w:r>
      <w:r>
        <w:rPr>
          <w:rFonts w:hint="eastAsia" w:ascii="Times New Roman" w:hAnsi="Times New Roman" w:eastAsia="仿宋_GB2312"/>
          <w:color w:val="000000"/>
          <w:highlight w:val="none"/>
        </w:rPr>
        <w:t>，以及</w:t>
      </w:r>
      <w:r>
        <w:rPr>
          <w:rFonts w:ascii="Times New Roman" w:hAnsi="Times New Roman" w:eastAsia="仿宋_GB2312"/>
          <w:color w:val="000000"/>
          <w:highlight w:val="none"/>
        </w:rPr>
        <w:t>中山大学</w:t>
      </w:r>
      <w:r>
        <w:rPr>
          <w:rFonts w:hint="eastAsia" w:ascii="Times New Roman" w:hAnsi="Times New Roman" w:eastAsia="仿宋_GB2312"/>
          <w:color w:val="000000"/>
          <w:highlight w:val="none"/>
        </w:rPr>
        <w:t>、深圳湾实验室、重大科技基础设施等高校科研机构，</w:t>
      </w:r>
      <w:r>
        <w:rPr>
          <w:rFonts w:ascii="Times New Roman" w:hAnsi="Times New Roman" w:eastAsia="仿宋_GB2312"/>
          <w:color w:val="000000"/>
          <w:highlight w:val="none"/>
        </w:rPr>
        <w:t>全面了解企业</w:t>
      </w:r>
      <w:r>
        <w:rPr>
          <w:rFonts w:hint="eastAsia" w:ascii="Times New Roman" w:hAnsi="Times New Roman" w:eastAsia="仿宋_GB2312"/>
          <w:color w:val="000000"/>
          <w:highlight w:val="none"/>
        </w:rPr>
        <w:t>、</w:t>
      </w:r>
      <w:r>
        <w:rPr>
          <w:rFonts w:ascii="Times New Roman" w:hAnsi="Times New Roman" w:eastAsia="仿宋_GB2312"/>
          <w:color w:val="000000"/>
          <w:highlight w:val="none"/>
        </w:rPr>
        <w:t>高校发展面临的相关问题及政策诉求</w:t>
      </w:r>
      <w:r>
        <w:rPr>
          <w:rFonts w:hint="eastAsia" w:ascii="Times New Roman" w:hAnsi="Times New Roman" w:eastAsia="仿宋_GB2312"/>
          <w:color w:val="000000"/>
          <w:highlight w:val="none"/>
        </w:rPr>
        <w:t>，围绕我区产业发展痛点难点。措施</w:t>
      </w:r>
      <w:r>
        <w:rPr>
          <w:rFonts w:ascii="Times New Roman" w:hAnsi="Times New Roman" w:eastAsia="仿宋_GB2312"/>
          <w:color w:val="000000"/>
          <w:highlight w:val="none"/>
        </w:rPr>
        <w:t>从</w:t>
      </w:r>
      <w:r>
        <w:rPr>
          <w:rFonts w:hint="eastAsia" w:ascii="Times New Roman" w:hAnsi="Times New Roman" w:eastAsia="仿宋_GB2312"/>
          <w:color w:val="000000"/>
          <w:highlight w:val="none"/>
        </w:rPr>
        <w:t>打造重大创新载体和平台</w:t>
      </w:r>
      <w:r>
        <w:rPr>
          <w:rFonts w:ascii="Times New Roman" w:hAnsi="Times New Roman" w:eastAsia="仿宋_GB2312"/>
          <w:color w:val="000000"/>
          <w:highlight w:val="none"/>
        </w:rPr>
        <w:t>、</w:t>
      </w:r>
      <w:r>
        <w:rPr>
          <w:rFonts w:hint="eastAsia" w:ascii="Times New Roman" w:hAnsi="Times New Roman" w:eastAsia="仿宋_GB2312"/>
          <w:color w:val="000000"/>
          <w:highlight w:val="none"/>
        </w:rPr>
        <w:t>培育形成创新企业集群</w:t>
      </w:r>
      <w:r>
        <w:rPr>
          <w:rFonts w:ascii="Times New Roman" w:hAnsi="Times New Roman" w:eastAsia="仿宋_GB2312"/>
          <w:color w:val="000000"/>
          <w:highlight w:val="none"/>
        </w:rPr>
        <w:t>、</w:t>
      </w:r>
      <w:r>
        <w:rPr>
          <w:rFonts w:hint="eastAsia" w:ascii="Times New Roman" w:hAnsi="Times New Roman" w:eastAsia="仿宋_GB2312"/>
          <w:color w:val="000000"/>
          <w:highlight w:val="none"/>
        </w:rPr>
        <w:t>支持龙头企业做优做强、构建产业良好生态体系等四</w:t>
      </w:r>
      <w:r>
        <w:rPr>
          <w:rFonts w:ascii="Times New Roman" w:hAnsi="Times New Roman" w:eastAsia="仿宋_GB2312"/>
          <w:color w:val="000000"/>
          <w:highlight w:val="none"/>
        </w:rPr>
        <w:t>个方面</w:t>
      </w:r>
      <w:r>
        <w:rPr>
          <w:rFonts w:hint="eastAsia" w:ascii="Times New Roman" w:hAnsi="Times New Roman" w:eastAsia="仿宋_GB2312"/>
          <w:color w:val="000000"/>
          <w:highlight w:val="none"/>
        </w:rPr>
        <w:t>出发</w:t>
      </w:r>
      <w:r>
        <w:rPr>
          <w:rFonts w:ascii="Times New Roman" w:hAnsi="Times New Roman" w:eastAsia="仿宋_GB2312"/>
          <w:color w:val="000000"/>
          <w:highlight w:val="none"/>
        </w:rPr>
        <w:t>，重点</w:t>
      </w:r>
      <w:r>
        <w:rPr>
          <w:rFonts w:hint="eastAsia" w:ascii="Times New Roman" w:hAnsi="Times New Roman" w:eastAsia="仿宋_GB2312"/>
          <w:color w:val="000000"/>
          <w:highlight w:val="none"/>
        </w:rPr>
        <w:t>针对新型疫苗、血液制品、抗体药物、细胞和基因药物、化学创新药等提出系列支持措施</w:t>
      </w:r>
      <w:r>
        <w:rPr>
          <w:rFonts w:ascii="Times New Roman" w:hAnsi="Times New Roman" w:eastAsia="仿宋_GB2312"/>
          <w:color w:val="000000"/>
          <w:highlight w:val="none"/>
        </w:rPr>
        <w:t>，</w:t>
      </w:r>
      <w:r>
        <w:rPr>
          <w:rFonts w:hint="eastAsia" w:ascii="Times New Roman" w:hAnsi="Times New Roman" w:eastAsia="仿宋_GB2312"/>
          <w:color w:val="000000"/>
          <w:highlight w:val="none"/>
        </w:rPr>
        <w:t>打造围绕生物制品发展的粤港澳大湾区生物医药产业尖端创新策源地，</w:t>
      </w:r>
      <w:r>
        <w:rPr>
          <w:rFonts w:ascii="Times New Roman" w:hAnsi="Times New Roman" w:eastAsia="仿宋_GB2312"/>
          <w:color w:val="000000"/>
          <w:highlight w:val="none"/>
        </w:rPr>
        <w:t>形成《</w:t>
      </w:r>
      <w:r>
        <w:rPr>
          <w:rFonts w:hint="eastAsia" w:ascii="Times New Roman" w:hAnsi="Times New Roman" w:eastAsia="仿宋_GB2312"/>
          <w:color w:val="000000"/>
          <w:highlight w:val="none"/>
        </w:rPr>
        <w:t>若干</w:t>
      </w:r>
      <w:r>
        <w:rPr>
          <w:rFonts w:ascii="Times New Roman" w:hAnsi="Times New Roman" w:eastAsia="仿宋_GB2312"/>
          <w:color w:val="000000"/>
          <w:highlight w:val="none"/>
        </w:rPr>
        <w:t>措</w:t>
      </w:r>
      <w:r>
        <w:rPr>
          <w:rFonts w:hint="eastAsia" w:ascii="Times New Roman" w:hAnsi="Times New Roman" w:eastAsia="仿宋_GB2312"/>
          <w:color w:val="000000"/>
          <w:highlight w:val="none"/>
        </w:rPr>
        <w:t>施》（送审稿）。</w:t>
      </w:r>
    </w:p>
    <w:p>
      <w:pPr>
        <w:pStyle w:val="3"/>
        <w:ind w:firstLine="640"/>
        <w:rPr>
          <w:highlight w:val="none"/>
        </w:rPr>
      </w:pPr>
      <w:r>
        <w:rPr>
          <w:rFonts w:hint="eastAsia"/>
          <w:highlight w:val="none"/>
        </w:rPr>
        <w:t>三、主要内容</w:t>
      </w:r>
    </w:p>
    <w:p>
      <w:pPr>
        <w:pStyle w:val="22"/>
        <w:adjustRightInd w:val="0"/>
        <w:snapToGrid w:val="0"/>
        <w:ind w:firstLine="640"/>
        <w:rPr>
          <w:rFonts w:hAnsi="Times New Roman" w:eastAsia="仿宋_GB2312"/>
          <w:color w:val="000000"/>
          <w:sz w:val="32"/>
          <w:szCs w:val="32"/>
          <w:highlight w:val="none"/>
        </w:rPr>
      </w:pPr>
      <w:r>
        <w:rPr>
          <w:rFonts w:hint="eastAsia" w:hAnsi="Times New Roman" w:eastAsia="仿宋_GB2312"/>
          <w:color w:val="000000"/>
          <w:sz w:val="32"/>
          <w:szCs w:val="32"/>
          <w:highlight w:val="none"/>
          <w:lang w:eastAsia="zh-CN"/>
        </w:rPr>
        <w:t>《若干措施》</w:t>
      </w:r>
      <w:r>
        <w:rPr>
          <w:rFonts w:hint="eastAsia" w:hAnsi="Times New Roman" w:eastAsia="仿宋_GB2312"/>
          <w:color w:val="000000"/>
          <w:sz w:val="32"/>
          <w:szCs w:val="32"/>
          <w:highlight w:val="none"/>
        </w:rPr>
        <w:t>分为六部分，共二十一条。具体说明如下：</w:t>
      </w:r>
    </w:p>
    <w:p>
      <w:pPr>
        <w:pStyle w:val="4"/>
        <w:ind w:firstLine="640"/>
        <w:rPr>
          <w:highlight w:val="none"/>
        </w:rPr>
      </w:pPr>
      <w:r>
        <w:rPr>
          <w:rFonts w:hint="eastAsia"/>
          <w:highlight w:val="none"/>
        </w:rPr>
        <w:t>（一）总则</w:t>
      </w:r>
    </w:p>
    <w:p>
      <w:pPr>
        <w:adjustRightInd w:val="0"/>
        <w:snapToGrid w:val="0"/>
        <w:ind w:firstLine="640"/>
        <w:rPr>
          <w:color w:val="000000"/>
          <w:szCs w:val="32"/>
          <w:highlight w:val="none"/>
        </w:rPr>
      </w:pPr>
      <w:r>
        <w:rPr>
          <w:rFonts w:hint="eastAsia"/>
          <w:color w:val="000000"/>
          <w:szCs w:val="32"/>
          <w:highlight w:val="none"/>
        </w:rPr>
        <w:t>本部分共提出三条内容</w:t>
      </w:r>
      <w:r>
        <w:rPr>
          <w:color w:val="000000"/>
          <w:szCs w:val="32"/>
          <w:highlight w:val="none"/>
        </w:rPr>
        <w:t>：</w:t>
      </w:r>
      <w:r>
        <w:rPr>
          <w:rFonts w:hint="eastAsia"/>
          <w:color w:val="000000"/>
          <w:szCs w:val="32"/>
          <w:highlight w:val="none"/>
        </w:rPr>
        <w:t>一是明确</w:t>
      </w:r>
      <w:r>
        <w:rPr>
          <w:rFonts w:hint="eastAsia"/>
          <w:color w:val="000000"/>
          <w:szCs w:val="32"/>
          <w:highlight w:val="none"/>
          <w:lang w:eastAsia="zh-CN"/>
        </w:rPr>
        <w:t>《若干措施》</w:t>
      </w:r>
      <w:r>
        <w:rPr>
          <w:rFonts w:hint="eastAsia"/>
          <w:color w:val="000000"/>
          <w:szCs w:val="32"/>
          <w:highlight w:val="none"/>
        </w:rPr>
        <w:t>制定目的和依托文件；二是明确</w:t>
      </w:r>
      <w:r>
        <w:rPr>
          <w:rFonts w:hint="eastAsia"/>
          <w:color w:val="000000"/>
          <w:szCs w:val="32"/>
          <w:highlight w:val="none"/>
          <w:lang w:eastAsia="zh-CN"/>
        </w:rPr>
        <w:t>《若干措施》</w:t>
      </w:r>
      <w:r>
        <w:rPr>
          <w:rFonts w:hint="eastAsia"/>
          <w:color w:val="000000"/>
          <w:szCs w:val="32"/>
          <w:highlight w:val="none"/>
        </w:rPr>
        <w:t>适用</w:t>
      </w:r>
      <w:r>
        <w:rPr>
          <w:color w:val="000000"/>
          <w:szCs w:val="32"/>
          <w:highlight w:val="none"/>
        </w:rPr>
        <w:t>对象范围</w:t>
      </w:r>
      <w:r>
        <w:rPr>
          <w:rFonts w:hint="eastAsia"/>
          <w:color w:val="000000"/>
          <w:szCs w:val="32"/>
          <w:highlight w:val="none"/>
        </w:rPr>
        <w:t>；三</w:t>
      </w:r>
      <w:r>
        <w:rPr>
          <w:color w:val="000000"/>
          <w:szCs w:val="32"/>
          <w:highlight w:val="none"/>
        </w:rPr>
        <w:t>是</w:t>
      </w:r>
      <w:r>
        <w:rPr>
          <w:rFonts w:hint="eastAsia"/>
          <w:color w:val="000000"/>
          <w:szCs w:val="32"/>
          <w:highlight w:val="none"/>
        </w:rPr>
        <w:t>聚焦行业堵点痛点难点，落实深圳市对光明区的战略布局与任务部署，明确重点支持包括新型疫苗、新型血液制剂、抗体药物、细胞和基因治疗等在内的高端生物制品领域、化学创新药领域，以及合同研发机构(简称“CRO”)、合同定制研发生产机构(简称“CDMO”)等，和其他技术含量高、应用前景好、示范带动作用强的重点领域，全力打造生物医药技术创新区，并对经区相关部门认定的用于家畜、家禽及其他人工饲养动物等兽用生物制品领域项目予以支持。</w:t>
      </w:r>
    </w:p>
    <w:p>
      <w:pPr>
        <w:pStyle w:val="4"/>
        <w:ind w:firstLine="640"/>
        <w:rPr>
          <w:highlight w:val="none"/>
        </w:rPr>
      </w:pPr>
      <w:r>
        <w:rPr>
          <w:rFonts w:hint="eastAsia"/>
          <w:highlight w:val="none"/>
        </w:rPr>
        <w:t>（二）打造重大创新载体和平台</w:t>
      </w:r>
    </w:p>
    <w:p>
      <w:pPr>
        <w:ind w:firstLine="643"/>
        <w:rPr>
          <w:b/>
          <w:bCs/>
          <w:highlight w:val="none"/>
        </w:rPr>
      </w:pPr>
      <w:r>
        <w:rPr>
          <w:rFonts w:hint="eastAsia"/>
          <w:b/>
          <w:bCs/>
          <w:highlight w:val="none"/>
        </w:rPr>
        <w:t>1、政策内容</w:t>
      </w:r>
    </w:p>
    <w:p>
      <w:pPr>
        <w:adjustRightInd w:val="0"/>
        <w:snapToGrid w:val="0"/>
        <w:ind w:firstLine="640"/>
        <w:rPr>
          <w:color w:val="000000"/>
          <w:szCs w:val="32"/>
          <w:highlight w:val="none"/>
        </w:rPr>
      </w:pPr>
      <w:r>
        <w:rPr>
          <w:rFonts w:hint="eastAsia"/>
          <w:color w:val="000000"/>
          <w:szCs w:val="32"/>
          <w:highlight w:val="none"/>
        </w:rPr>
        <w:t>本部分共提出3</w:t>
      </w:r>
      <w:r>
        <w:rPr>
          <w:color w:val="000000"/>
          <w:szCs w:val="32"/>
          <w:highlight w:val="none"/>
        </w:rPr>
        <w:t>条内容</w:t>
      </w:r>
      <w:r>
        <w:rPr>
          <w:rFonts w:hint="eastAsia"/>
          <w:color w:val="000000"/>
          <w:szCs w:val="32"/>
          <w:highlight w:val="none"/>
        </w:rPr>
        <w:t>。</w:t>
      </w:r>
    </w:p>
    <w:p>
      <w:pPr>
        <w:adjustRightInd w:val="0"/>
        <w:snapToGrid w:val="0"/>
        <w:ind w:firstLine="643"/>
        <w:rPr>
          <w:rFonts w:hint="eastAsia"/>
          <w:color w:val="000000"/>
          <w:szCs w:val="32"/>
          <w:highlight w:val="none"/>
        </w:rPr>
      </w:pPr>
      <w:r>
        <w:rPr>
          <w:rFonts w:hint="eastAsia"/>
          <w:b/>
          <w:bCs/>
          <w:color w:val="000000"/>
          <w:szCs w:val="32"/>
          <w:highlight w:val="none"/>
        </w:rPr>
        <w:t>鼓励加强公共服务平台建设。</w:t>
      </w:r>
      <w:r>
        <w:rPr>
          <w:rFonts w:hint="eastAsia"/>
          <w:color w:val="000000"/>
          <w:szCs w:val="32"/>
          <w:highlight w:val="none"/>
        </w:rPr>
        <w:t>光明区乃至我市均极度缺乏C</w:t>
      </w:r>
      <w:r>
        <w:rPr>
          <w:color w:val="000000"/>
          <w:szCs w:val="32"/>
          <w:highlight w:val="none"/>
        </w:rPr>
        <w:t>RO/CDMO</w:t>
      </w:r>
      <w:r>
        <w:rPr>
          <w:rFonts w:hint="eastAsia"/>
          <w:color w:val="000000"/>
          <w:szCs w:val="32"/>
          <w:highlight w:val="none"/>
        </w:rPr>
        <w:t>平台。加快引进行业龙头合同研发机构（CRO）、合同定制研发生产机构（CDMO）,</w:t>
      </w:r>
      <w:r>
        <w:rPr>
          <w:rFonts w:hint="eastAsia"/>
          <w:highlight w:val="none"/>
        </w:rPr>
        <w:t>加快建设</w:t>
      </w:r>
      <w:r>
        <w:rPr>
          <w:rFonts w:hint="eastAsia" w:hAnsi="仿宋_GB2312" w:cs="仿宋_GB2312"/>
          <w:highlight w:val="none"/>
        </w:rPr>
        <w:t>生物试剂快速通关</w:t>
      </w:r>
      <w:r>
        <w:rPr>
          <w:rFonts w:hint="eastAsia" w:hAnsi="仿宋_GB2312" w:cs="仿宋_GB2312"/>
          <w:highlight w:val="none"/>
          <w:lang w:val="en-US" w:eastAsia="zh-CN"/>
        </w:rPr>
        <w:t>平台</w:t>
      </w:r>
      <w:r>
        <w:rPr>
          <w:rFonts w:hint="eastAsia" w:hAnsi="仿宋_GB2312" w:cs="仿宋_GB2312"/>
          <w:highlight w:val="none"/>
        </w:rPr>
        <w:t>、深圳市临床医学研究中心等</w:t>
      </w:r>
      <w:r>
        <w:rPr>
          <w:rFonts w:hint="eastAsia" w:hAnsi="仿宋_GB2312" w:cs="仿宋_GB2312"/>
          <w:highlight w:val="none"/>
          <w:lang w:val="en-US" w:eastAsia="zh-CN"/>
        </w:rPr>
        <w:t>公共服务</w:t>
      </w:r>
      <w:r>
        <w:rPr>
          <w:rFonts w:hAnsi="仿宋_GB2312" w:cs="仿宋_GB2312"/>
          <w:highlight w:val="none"/>
        </w:rPr>
        <w:t>平台</w:t>
      </w:r>
      <w:r>
        <w:rPr>
          <w:rFonts w:hint="eastAsia" w:hAnsi="仿宋_GB2312" w:cs="仿宋_GB2312"/>
          <w:highlight w:val="none"/>
        </w:rPr>
        <w:t>,</w:t>
      </w:r>
      <w:r>
        <w:rPr>
          <w:rFonts w:hint="eastAsia"/>
          <w:color w:val="000000"/>
          <w:szCs w:val="32"/>
          <w:highlight w:val="none"/>
        </w:rPr>
        <w:t>特制定本条措施。</w:t>
      </w:r>
    </w:p>
    <w:p>
      <w:pPr>
        <w:adjustRightInd w:val="0"/>
        <w:snapToGrid w:val="0"/>
        <w:ind w:firstLine="643"/>
        <w:rPr>
          <w:rFonts w:hint="eastAsia"/>
          <w:color w:val="000000"/>
          <w:szCs w:val="32"/>
          <w:highlight w:val="none"/>
        </w:rPr>
      </w:pPr>
      <w:r>
        <w:rPr>
          <w:rFonts w:hint="eastAsia"/>
          <w:b/>
          <w:bCs/>
          <w:color w:val="000000"/>
          <w:szCs w:val="32"/>
          <w:highlight w:val="none"/>
        </w:rPr>
        <w:t>支持前沿研究平台建设。</w:t>
      </w:r>
      <w:r>
        <w:rPr>
          <w:rFonts w:hint="eastAsia"/>
          <w:color w:val="000000"/>
          <w:szCs w:val="32"/>
          <w:highlight w:val="none"/>
        </w:rPr>
        <w:t>面向产业重大创新发展需求，发挥光明区重大科技基础设施集群优势，加强对颠覆性技术研发攻关</w:t>
      </w:r>
      <w:r>
        <w:rPr>
          <w:color w:val="000000"/>
          <w:szCs w:val="32"/>
          <w:highlight w:val="none"/>
        </w:rPr>
        <w:t>。</w:t>
      </w:r>
    </w:p>
    <w:p>
      <w:pPr>
        <w:adjustRightInd w:val="0"/>
        <w:snapToGrid w:val="0"/>
        <w:ind w:firstLine="643"/>
        <w:rPr>
          <w:color w:val="000000"/>
          <w:szCs w:val="32"/>
          <w:highlight w:val="none"/>
        </w:rPr>
      </w:pPr>
      <w:r>
        <w:rPr>
          <w:rFonts w:hint="eastAsia"/>
          <w:b/>
          <w:bCs/>
          <w:color w:val="000000"/>
          <w:szCs w:val="32"/>
          <w:highlight w:val="none"/>
        </w:rPr>
        <w:t>支持建设高等级生物安全实验室</w:t>
      </w:r>
      <w:r>
        <w:rPr>
          <w:rFonts w:hint="eastAsia"/>
          <w:color w:val="000000"/>
          <w:szCs w:val="32"/>
          <w:highlight w:val="none"/>
        </w:rPr>
        <w:t>。高等级生物安全实验室在医疗卫生防控、科学研究、产业转化等多方面具有较大作用，而目前深圳市</w:t>
      </w:r>
      <w:r>
        <w:rPr>
          <w:rFonts w:hint="eastAsia"/>
          <w:bCs/>
          <w:szCs w:val="32"/>
          <w:highlight w:val="none"/>
        </w:rPr>
        <w:t>实验室数量规模严重不足</w:t>
      </w:r>
      <w:r>
        <w:rPr>
          <w:rFonts w:hint="eastAsia"/>
          <w:color w:val="000000"/>
          <w:szCs w:val="32"/>
          <w:highlight w:val="none"/>
        </w:rPr>
        <w:t>。为落实深圳市对高等级生物安全实验室相关布局，针对大湾区传染病防控和生物医药科技攻关发展需求，支持龙头企业、高校、科研机构建设高级别生物安全实验室，特制定本条措施。</w:t>
      </w:r>
    </w:p>
    <w:p>
      <w:pPr>
        <w:ind w:firstLine="643"/>
        <w:rPr>
          <w:b/>
          <w:bCs/>
          <w:highlight w:val="none"/>
        </w:rPr>
      </w:pPr>
      <w:r>
        <w:rPr>
          <w:rFonts w:hint="eastAsia"/>
          <w:b/>
          <w:bCs/>
          <w:highlight w:val="none"/>
        </w:rPr>
        <w:t>2、拟解决光明区主要产业发展短板</w:t>
      </w:r>
    </w:p>
    <w:p>
      <w:pPr>
        <w:adjustRightInd w:val="0"/>
        <w:snapToGrid w:val="0"/>
        <w:ind w:firstLine="640"/>
        <w:rPr>
          <w:color w:val="000000"/>
          <w:szCs w:val="32"/>
          <w:highlight w:val="none"/>
        </w:rPr>
      </w:pPr>
      <w:r>
        <w:rPr>
          <w:rFonts w:hint="eastAsia"/>
          <w:color w:val="000000"/>
          <w:szCs w:val="32"/>
          <w:highlight w:val="none"/>
        </w:rPr>
        <w:t>主要解决光明区成果转化水平亟需加强，产业配套仍不完善等问题。</w:t>
      </w:r>
    </w:p>
    <w:p>
      <w:pPr>
        <w:adjustRightInd w:val="0"/>
        <w:snapToGrid w:val="0"/>
        <w:ind w:firstLine="643"/>
        <w:rPr>
          <w:color w:val="000000"/>
          <w:szCs w:val="32"/>
          <w:highlight w:val="none"/>
        </w:rPr>
      </w:pPr>
      <w:r>
        <w:rPr>
          <w:rFonts w:hint="eastAsia"/>
          <w:b/>
          <w:bCs/>
          <w:color w:val="000000"/>
          <w:szCs w:val="32"/>
          <w:highlight w:val="none"/>
        </w:rPr>
        <w:t>光明区成果转化水平亟需加强。</w:t>
      </w:r>
      <w:r>
        <w:rPr>
          <w:rFonts w:hint="eastAsia"/>
          <w:color w:val="000000"/>
          <w:szCs w:val="32"/>
          <w:highlight w:val="none"/>
        </w:rPr>
        <w:t>合成生物学、脑解析与脑模拟等重大科技基础设施的创新引擎作用仍待激活，C</w:t>
      </w:r>
      <w:r>
        <w:rPr>
          <w:color w:val="000000"/>
          <w:szCs w:val="32"/>
          <w:highlight w:val="none"/>
        </w:rPr>
        <w:t>RO/CDMO</w:t>
      </w:r>
      <w:r>
        <w:rPr>
          <w:rFonts w:hint="eastAsia"/>
          <w:color w:val="000000"/>
          <w:szCs w:val="32"/>
          <w:highlight w:val="none"/>
        </w:rPr>
        <w:t>平台几乎为空白，光明区产学研成果转化水平仍有待提高。</w:t>
      </w:r>
    </w:p>
    <w:p>
      <w:pPr>
        <w:adjustRightInd w:val="0"/>
        <w:snapToGrid w:val="0"/>
        <w:ind w:firstLine="643"/>
        <w:rPr>
          <w:color w:val="000000"/>
          <w:szCs w:val="32"/>
          <w:highlight w:val="none"/>
        </w:rPr>
      </w:pPr>
      <w:r>
        <w:rPr>
          <w:rFonts w:hint="eastAsia"/>
          <w:b/>
          <w:bCs/>
          <w:color w:val="000000"/>
          <w:szCs w:val="32"/>
          <w:highlight w:val="none"/>
        </w:rPr>
        <w:t>高等级生物安全实验室配套仍不完善。</w:t>
      </w:r>
      <w:r>
        <w:rPr>
          <w:rFonts w:hint="eastAsia"/>
          <w:color w:val="000000"/>
          <w:szCs w:val="32"/>
          <w:highlight w:val="none"/>
        </w:rPr>
        <w:t>据调研深圳市高等级生物安全实验室数量有限，大量光明区企业和科研机构拥有高等级生物安全实验室使用需求，需加快布局。</w:t>
      </w:r>
    </w:p>
    <w:p>
      <w:pPr>
        <w:pStyle w:val="4"/>
        <w:ind w:firstLine="640"/>
        <w:rPr>
          <w:highlight w:val="none"/>
        </w:rPr>
      </w:pPr>
      <w:r>
        <w:rPr>
          <w:rFonts w:hint="eastAsia"/>
          <w:highlight w:val="none"/>
        </w:rPr>
        <w:t>（三）全力打造光明科学城国际生物医药创新中心</w:t>
      </w:r>
    </w:p>
    <w:p>
      <w:pPr>
        <w:ind w:firstLine="643"/>
        <w:rPr>
          <w:b/>
          <w:bCs/>
          <w:highlight w:val="none"/>
        </w:rPr>
      </w:pPr>
      <w:r>
        <w:rPr>
          <w:rFonts w:hint="eastAsia"/>
          <w:b/>
          <w:bCs/>
          <w:highlight w:val="none"/>
        </w:rPr>
        <w:t>1、政策内容</w:t>
      </w:r>
    </w:p>
    <w:p>
      <w:pPr>
        <w:adjustRightInd w:val="0"/>
        <w:snapToGrid w:val="0"/>
        <w:ind w:firstLine="640"/>
        <w:rPr>
          <w:color w:val="000000"/>
          <w:szCs w:val="32"/>
          <w:highlight w:val="none"/>
        </w:rPr>
      </w:pPr>
      <w:r>
        <w:rPr>
          <w:rFonts w:hint="eastAsia"/>
          <w:color w:val="000000"/>
          <w:szCs w:val="32"/>
          <w:highlight w:val="none"/>
        </w:rPr>
        <w:t>本部分共提出4</w:t>
      </w:r>
      <w:r>
        <w:rPr>
          <w:color w:val="000000"/>
          <w:szCs w:val="32"/>
          <w:highlight w:val="none"/>
        </w:rPr>
        <w:t>条内容</w:t>
      </w:r>
      <w:r>
        <w:rPr>
          <w:rFonts w:hint="eastAsia"/>
          <w:color w:val="000000"/>
          <w:szCs w:val="32"/>
          <w:highlight w:val="none"/>
        </w:rPr>
        <w:t>。</w:t>
      </w:r>
    </w:p>
    <w:p>
      <w:pPr>
        <w:ind w:firstLine="643"/>
        <w:rPr>
          <w:highlight w:val="none"/>
        </w:rPr>
      </w:pPr>
      <w:r>
        <w:rPr>
          <w:rFonts w:hint="eastAsia"/>
          <w:b/>
          <w:bCs/>
          <w:highlight w:val="none"/>
        </w:rPr>
        <w:t>支持生物医药产业空间建设专业化配套设施。</w:t>
      </w:r>
      <w:r>
        <w:rPr>
          <w:rFonts w:hint="eastAsia"/>
          <w:highlight w:val="none"/>
        </w:rPr>
        <w:t>支持生物医药领域新建孵化器和产业园区，</w:t>
      </w:r>
      <w:r>
        <w:rPr>
          <w:rFonts w:hint="eastAsia"/>
          <w:szCs w:val="32"/>
          <w:highlight w:val="none"/>
        </w:rPr>
        <w:t>对</w:t>
      </w:r>
      <w:r>
        <w:rPr>
          <w:rFonts w:hint="eastAsia"/>
          <w:highlight w:val="none"/>
        </w:rPr>
        <w:t>建设</w:t>
      </w:r>
      <w:r>
        <w:rPr>
          <w:rFonts w:hint="eastAsia"/>
          <w:szCs w:val="32"/>
          <w:highlight w:val="none"/>
        </w:rPr>
        <w:t>孵化器和产业园区的</w:t>
      </w:r>
      <w:r>
        <w:rPr>
          <w:rFonts w:hint="eastAsia"/>
          <w:highlight w:val="none"/>
        </w:rPr>
        <w:t>专业化配套设施予以支持，特制定本条措施。</w:t>
      </w:r>
    </w:p>
    <w:p>
      <w:pPr>
        <w:ind w:firstLine="643"/>
        <w:rPr>
          <w:highlight w:val="none"/>
        </w:rPr>
      </w:pPr>
      <w:r>
        <w:rPr>
          <w:rFonts w:hint="eastAsia"/>
          <w:b/>
          <w:bCs/>
          <w:highlight w:val="none"/>
        </w:rPr>
        <w:t>保障优质生物医药产业空间需求。</w:t>
      </w:r>
      <w:r>
        <w:rPr>
          <w:rFonts w:hint="eastAsia" w:hAnsi="仿宋_GB2312" w:cs="仿宋_GB2312"/>
          <w:highlight w:val="none"/>
        </w:rPr>
        <w:t>对入驻孵化器和产业园区的</w:t>
      </w:r>
      <w:r>
        <w:rPr>
          <w:rFonts w:hAnsi="仿宋_GB2312" w:cs="仿宋_GB2312"/>
          <w:highlight w:val="none"/>
        </w:rPr>
        <w:t>创新</w:t>
      </w:r>
      <w:r>
        <w:rPr>
          <w:rFonts w:hint="eastAsia" w:hAnsi="仿宋_GB2312" w:cs="仿宋_GB2312"/>
          <w:highlight w:val="none"/>
        </w:rPr>
        <w:t>型</w:t>
      </w:r>
      <w:r>
        <w:rPr>
          <w:rFonts w:hAnsi="仿宋_GB2312" w:cs="仿宋_GB2312"/>
          <w:highlight w:val="none"/>
        </w:rPr>
        <w:t>企业</w:t>
      </w:r>
      <w:r>
        <w:rPr>
          <w:rFonts w:hint="eastAsia" w:hAnsi="仿宋_GB2312" w:cs="仿宋_GB2312"/>
          <w:highlight w:val="none"/>
        </w:rPr>
        <w:t>、孵化器和产业园区运营机构等单位予以租金补贴，</w:t>
      </w:r>
      <w:r>
        <w:rPr>
          <w:rFonts w:hint="eastAsia"/>
          <w:color w:val="000000"/>
          <w:szCs w:val="32"/>
          <w:highlight w:val="none"/>
        </w:rPr>
        <w:t>特制定本条措施</w:t>
      </w:r>
      <w:r>
        <w:rPr>
          <w:color w:val="000000"/>
          <w:szCs w:val="32"/>
          <w:highlight w:val="none"/>
        </w:rPr>
        <w:t>。</w:t>
      </w:r>
    </w:p>
    <w:p>
      <w:pPr>
        <w:ind w:firstLine="643"/>
        <w:rPr>
          <w:b/>
          <w:bCs/>
          <w:highlight w:val="none"/>
        </w:rPr>
      </w:pPr>
      <w:r>
        <w:rPr>
          <w:rFonts w:hint="eastAsia"/>
          <w:b/>
          <w:bCs/>
          <w:highlight w:val="none"/>
        </w:rPr>
        <w:t>鼓励示范性龙头企业引进。</w:t>
      </w:r>
      <w:r>
        <w:rPr>
          <w:rFonts w:hint="eastAsia"/>
          <w:highlight w:val="none"/>
        </w:rPr>
        <w:t>针对产业集聚发展需求，积极引进</w:t>
      </w:r>
      <w:r>
        <w:rPr>
          <w:rFonts w:hint="eastAsia" w:hAnsi="黑体"/>
          <w:highlight w:val="none"/>
        </w:rPr>
        <w:t>具有较强引领性、带动性、示范性的龙头企业，优化完善产业结构</w:t>
      </w:r>
      <w:r>
        <w:rPr>
          <w:rFonts w:hint="eastAsia" w:hAnsi="仿宋_GB2312" w:cs="仿宋_GB2312"/>
          <w:highlight w:val="none"/>
        </w:rPr>
        <w:t>。</w:t>
      </w:r>
      <w:r>
        <w:rPr>
          <w:rFonts w:hint="eastAsia"/>
          <w:highlight w:val="none"/>
        </w:rPr>
        <w:t>支持中国医药工业百强企业、境内外上市生物医药企业、细分领域国际龙头</w:t>
      </w:r>
      <w:r>
        <w:rPr>
          <w:rFonts w:hint="eastAsia" w:hAnsi="仿宋_GB2312" w:cs="仿宋_GB2312"/>
          <w:highlight w:val="none"/>
        </w:rPr>
        <w:t>企业、国内外C</w:t>
      </w:r>
      <w:r>
        <w:rPr>
          <w:rFonts w:hAnsi="仿宋_GB2312" w:cs="仿宋_GB2312"/>
          <w:highlight w:val="none"/>
        </w:rPr>
        <w:t>RO/CDMO</w:t>
      </w:r>
      <w:r>
        <w:rPr>
          <w:rFonts w:hint="eastAsia" w:hAnsi="仿宋_GB2312" w:cs="仿宋_GB2312"/>
          <w:highlight w:val="none"/>
        </w:rPr>
        <w:t>龙头企业在区内设立区域总部、研发中心、生产基地，</w:t>
      </w:r>
      <w:r>
        <w:rPr>
          <w:rFonts w:hint="eastAsia"/>
          <w:color w:val="000000"/>
          <w:szCs w:val="32"/>
          <w:highlight w:val="none"/>
        </w:rPr>
        <w:t>特制定本条措施</w:t>
      </w:r>
      <w:r>
        <w:rPr>
          <w:rFonts w:hint="eastAsia" w:hAnsi="仿宋_GB2312" w:cs="仿宋_GB2312"/>
          <w:highlight w:val="none"/>
        </w:rPr>
        <w:t>。</w:t>
      </w:r>
    </w:p>
    <w:p>
      <w:pPr>
        <w:ind w:firstLine="643"/>
        <w:rPr>
          <w:color w:val="000000"/>
          <w:szCs w:val="32"/>
          <w:highlight w:val="none"/>
        </w:rPr>
      </w:pPr>
      <w:r>
        <w:rPr>
          <w:rFonts w:hint="eastAsia"/>
          <w:b/>
          <w:bCs/>
          <w:highlight w:val="none"/>
        </w:rPr>
        <w:t>支持创新团队落户发展。</w:t>
      </w:r>
      <w:r>
        <w:rPr>
          <w:rFonts w:hint="eastAsia"/>
          <w:color w:val="000000"/>
          <w:szCs w:val="32"/>
          <w:highlight w:val="none"/>
        </w:rPr>
        <w:t>支持</w:t>
      </w:r>
      <w:r>
        <w:rPr>
          <w:rFonts w:hint="eastAsia" w:hAnsi="Times New Roman" w:cs="宋体"/>
          <w:color w:val="000000"/>
          <w:szCs w:val="32"/>
          <w:highlight w:val="none"/>
        </w:rPr>
        <w:t>符合条件的创新药物、新型疫苗、</w:t>
      </w:r>
      <w:r>
        <w:rPr>
          <w:rFonts w:hint="eastAsia" w:hAnsi="KBCDEE+FZFSK--GBK1-0"/>
          <w:szCs w:val="32"/>
          <w:highlight w:val="none"/>
        </w:rPr>
        <w:t>细胞和基因</w:t>
      </w:r>
      <w:r>
        <w:rPr>
          <w:rFonts w:hint="eastAsia" w:hAnsi="Times New Roman" w:cs="宋体"/>
          <w:color w:val="000000"/>
          <w:szCs w:val="32"/>
          <w:highlight w:val="none"/>
        </w:rPr>
        <w:t>等领域创新型企业或团队带项目落</w:t>
      </w:r>
      <w:r>
        <w:rPr>
          <w:rFonts w:hint="eastAsia" w:hAnsi="仿宋_GB2312" w:cs="仿宋_GB2312"/>
          <w:highlight w:val="none"/>
        </w:rPr>
        <w:t>户光明区，</w:t>
      </w:r>
      <w:r>
        <w:rPr>
          <w:rFonts w:hint="eastAsia"/>
          <w:color w:val="000000"/>
          <w:szCs w:val="32"/>
          <w:highlight w:val="none"/>
        </w:rPr>
        <w:t>特制定本条措施</w:t>
      </w:r>
      <w:r>
        <w:rPr>
          <w:color w:val="000000"/>
          <w:szCs w:val="32"/>
          <w:highlight w:val="none"/>
        </w:rPr>
        <w:t>。</w:t>
      </w:r>
    </w:p>
    <w:p>
      <w:pPr>
        <w:ind w:firstLine="643"/>
        <w:rPr>
          <w:b/>
          <w:bCs/>
          <w:highlight w:val="none"/>
        </w:rPr>
      </w:pPr>
      <w:r>
        <w:rPr>
          <w:rFonts w:hint="eastAsia"/>
          <w:b/>
          <w:bCs/>
          <w:highlight w:val="none"/>
        </w:rPr>
        <w:t>2、拟解决光明区主要产业发展短板</w:t>
      </w:r>
    </w:p>
    <w:p>
      <w:pPr>
        <w:ind w:firstLine="640"/>
        <w:rPr>
          <w:highlight w:val="none"/>
        </w:rPr>
      </w:pPr>
      <w:r>
        <w:rPr>
          <w:rFonts w:hint="eastAsia"/>
          <w:szCs w:val="32"/>
          <w:highlight w:val="none"/>
        </w:rPr>
        <w:t>光明主要解决</w:t>
      </w:r>
      <w:r>
        <w:rPr>
          <w:rFonts w:hint="eastAsia"/>
          <w:highlight w:val="none"/>
        </w:rPr>
        <w:t>产业空间有限、产业规模小、产业链结构亟待升级等问题。</w:t>
      </w:r>
    </w:p>
    <w:p>
      <w:pPr>
        <w:ind w:firstLine="643"/>
        <w:rPr>
          <w:color w:val="000000"/>
          <w:szCs w:val="32"/>
          <w:highlight w:val="none"/>
        </w:rPr>
      </w:pPr>
      <w:r>
        <w:rPr>
          <w:rFonts w:hint="eastAsia"/>
          <w:b/>
          <w:bCs/>
          <w:color w:val="000000"/>
          <w:szCs w:val="32"/>
          <w:highlight w:val="none"/>
        </w:rPr>
        <w:t>专业载体供给有限。</w:t>
      </w:r>
      <w:r>
        <w:rPr>
          <w:rFonts w:hint="eastAsia"/>
          <w:color w:val="000000"/>
          <w:szCs w:val="32"/>
          <w:highlight w:val="none"/>
        </w:rPr>
        <w:t>据调研，企业普遍反馈增资扩产过程中产业空间是主要瓶颈，导致产品扩产速度缓慢，建议进一步提升专业载体能力。</w:t>
      </w:r>
    </w:p>
    <w:p>
      <w:pPr>
        <w:ind w:firstLine="643"/>
        <w:rPr>
          <w:color w:val="000000"/>
          <w:szCs w:val="32"/>
          <w:highlight w:val="none"/>
        </w:rPr>
      </w:pPr>
      <w:r>
        <w:rPr>
          <w:rFonts w:hint="eastAsia"/>
          <w:b/>
          <w:bCs/>
          <w:color w:val="000000"/>
          <w:szCs w:val="32"/>
          <w:highlight w:val="none"/>
        </w:rPr>
        <w:t>生物医药产业规模小问题。</w:t>
      </w:r>
      <w:r>
        <w:rPr>
          <w:rFonts w:hint="eastAsia"/>
          <w:color w:val="000000"/>
          <w:szCs w:val="32"/>
          <w:highlight w:val="none"/>
        </w:rPr>
        <w:t>目前光明区在生物医药领域面临产业规模较小、企业体量较小、产值较低的局面。</w:t>
      </w:r>
    </w:p>
    <w:p>
      <w:pPr>
        <w:pStyle w:val="4"/>
        <w:ind w:firstLine="640"/>
        <w:rPr>
          <w:highlight w:val="none"/>
        </w:rPr>
      </w:pPr>
      <w:r>
        <w:rPr>
          <w:rFonts w:hint="eastAsia"/>
          <w:highlight w:val="none"/>
        </w:rPr>
        <w:t>（四）培育形成创新企业集群</w:t>
      </w:r>
    </w:p>
    <w:p>
      <w:pPr>
        <w:ind w:firstLine="643"/>
        <w:rPr>
          <w:b/>
          <w:bCs/>
          <w:highlight w:val="none"/>
        </w:rPr>
      </w:pPr>
      <w:r>
        <w:rPr>
          <w:rFonts w:hint="eastAsia"/>
          <w:b/>
          <w:bCs/>
          <w:highlight w:val="none"/>
        </w:rPr>
        <w:t>1、政策内容</w:t>
      </w:r>
    </w:p>
    <w:p>
      <w:pPr>
        <w:adjustRightInd w:val="0"/>
        <w:snapToGrid w:val="0"/>
        <w:ind w:firstLine="640"/>
        <w:rPr>
          <w:color w:val="000000"/>
          <w:szCs w:val="32"/>
          <w:highlight w:val="none"/>
        </w:rPr>
      </w:pPr>
      <w:r>
        <w:rPr>
          <w:rFonts w:hint="eastAsia"/>
          <w:color w:val="000000"/>
          <w:szCs w:val="32"/>
          <w:highlight w:val="none"/>
        </w:rPr>
        <w:t>本部分共提出6</w:t>
      </w:r>
      <w:r>
        <w:rPr>
          <w:color w:val="000000"/>
          <w:szCs w:val="32"/>
          <w:highlight w:val="none"/>
        </w:rPr>
        <w:t>条内容</w:t>
      </w:r>
      <w:r>
        <w:rPr>
          <w:rFonts w:hint="eastAsia"/>
          <w:color w:val="000000"/>
          <w:szCs w:val="32"/>
          <w:highlight w:val="none"/>
        </w:rPr>
        <w:t>。</w:t>
      </w:r>
    </w:p>
    <w:p>
      <w:pPr>
        <w:ind w:firstLine="643"/>
        <w:rPr>
          <w:highlight w:val="none"/>
        </w:rPr>
      </w:pPr>
      <w:r>
        <w:rPr>
          <w:rFonts w:hint="eastAsia"/>
          <w:b/>
          <w:bCs/>
          <w:highlight w:val="none"/>
        </w:rPr>
        <w:t>支持创新药和仿制药研发。</w:t>
      </w:r>
      <w:r>
        <w:rPr>
          <w:rFonts w:hint="eastAsia"/>
          <w:highlight w:val="none"/>
        </w:rPr>
        <w:t>支持企业开展药物临床试验，推动一批创新成果产业化，</w:t>
      </w:r>
      <w:r>
        <w:rPr>
          <w:rFonts w:hint="eastAsia"/>
          <w:color w:val="000000"/>
          <w:szCs w:val="32"/>
          <w:highlight w:val="none"/>
        </w:rPr>
        <w:t>特制定本条措施</w:t>
      </w:r>
      <w:r>
        <w:rPr>
          <w:color w:val="000000"/>
          <w:szCs w:val="32"/>
          <w:highlight w:val="none"/>
        </w:rPr>
        <w:t>。</w:t>
      </w:r>
    </w:p>
    <w:p>
      <w:pPr>
        <w:ind w:firstLine="643"/>
        <w:rPr>
          <w:highlight w:val="none"/>
        </w:rPr>
      </w:pPr>
      <w:r>
        <w:rPr>
          <w:rFonts w:hint="eastAsia"/>
          <w:b/>
          <w:bCs/>
          <w:color w:val="000000"/>
          <w:szCs w:val="32"/>
          <w:highlight w:val="none"/>
        </w:rPr>
        <w:t>加速药品生产批件转化。</w:t>
      </w:r>
      <w:r>
        <w:rPr>
          <w:rFonts w:hint="eastAsia"/>
          <w:highlight w:val="none"/>
        </w:rPr>
        <w:t>为</w:t>
      </w:r>
      <w:r>
        <w:rPr>
          <w:rFonts w:hint="eastAsia"/>
          <w:bCs/>
          <w:highlight w:val="none"/>
        </w:rPr>
        <w:t>支持企业加快转化进程，促进一批</w:t>
      </w:r>
      <w:r>
        <w:rPr>
          <w:rFonts w:hint="eastAsia" w:hAnsiTheme="majorHAnsi"/>
          <w:bCs/>
          <w:highlight w:val="none"/>
        </w:rPr>
        <w:t>具有技术突破性、全局带动性和重大引领性作用的</w:t>
      </w:r>
      <w:r>
        <w:rPr>
          <w:rFonts w:hint="eastAsia"/>
          <w:bCs/>
          <w:highlight w:val="none"/>
        </w:rPr>
        <w:t>成果落地，</w:t>
      </w:r>
      <w:r>
        <w:rPr>
          <w:rFonts w:hint="eastAsia"/>
          <w:color w:val="000000"/>
          <w:szCs w:val="32"/>
          <w:highlight w:val="none"/>
        </w:rPr>
        <w:t>特制定本条措施</w:t>
      </w:r>
      <w:r>
        <w:rPr>
          <w:color w:val="000000"/>
          <w:szCs w:val="32"/>
          <w:highlight w:val="none"/>
        </w:rPr>
        <w:t>。</w:t>
      </w:r>
    </w:p>
    <w:p>
      <w:pPr>
        <w:ind w:firstLine="643"/>
        <w:rPr>
          <w:color w:val="000000"/>
          <w:szCs w:val="32"/>
          <w:highlight w:val="none"/>
        </w:rPr>
      </w:pPr>
      <w:r>
        <w:rPr>
          <w:rFonts w:hint="eastAsia"/>
          <w:b/>
          <w:bCs/>
          <w:color w:val="000000"/>
          <w:szCs w:val="32"/>
          <w:highlight w:val="none"/>
        </w:rPr>
        <w:t>设立重大成果转化专项。</w:t>
      </w:r>
      <w:r>
        <w:rPr>
          <w:rFonts w:hint="eastAsia"/>
          <w:color w:val="000000"/>
          <w:szCs w:val="32"/>
          <w:highlight w:val="none"/>
        </w:rPr>
        <w:t>围绕新型疫苗、抗体药物、细胞和基因治疗、化学创新药等领域，支持企业、高校、科研院所、临床机构、CRO/CDMO服务平台，共同开展原创性成果转化项目研究</w:t>
      </w:r>
      <w:r>
        <w:rPr>
          <w:rFonts w:hint="eastAsia"/>
          <w:bCs/>
          <w:highlight w:val="none"/>
        </w:rPr>
        <w:t>，</w:t>
      </w:r>
      <w:r>
        <w:rPr>
          <w:rFonts w:hint="eastAsia"/>
          <w:color w:val="000000"/>
          <w:szCs w:val="32"/>
          <w:highlight w:val="none"/>
        </w:rPr>
        <w:t>特制定本条措施</w:t>
      </w:r>
      <w:r>
        <w:rPr>
          <w:color w:val="000000"/>
          <w:szCs w:val="32"/>
          <w:highlight w:val="none"/>
        </w:rPr>
        <w:t>。</w:t>
      </w:r>
    </w:p>
    <w:p>
      <w:pPr>
        <w:ind w:firstLine="643"/>
        <w:rPr>
          <w:rFonts w:hAnsi="仿宋_GB2312" w:cs="仿宋_GB2312"/>
          <w:highlight w:val="none"/>
        </w:rPr>
      </w:pPr>
      <w:r>
        <w:rPr>
          <w:rFonts w:hint="eastAsia"/>
          <w:b/>
          <w:bCs/>
          <w:color w:val="000000"/>
          <w:szCs w:val="32"/>
          <w:highlight w:val="none"/>
        </w:rPr>
        <w:t>支持重大创新药项目落地。</w:t>
      </w:r>
      <w:r>
        <w:rPr>
          <w:rFonts w:hint="eastAsia"/>
          <w:highlight w:val="none"/>
        </w:rPr>
        <w:t>针对重大项目建设</w:t>
      </w:r>
      <w:r>
        <w:rPr>
          <w:rFonts w:hint="eastAsia" w:hAnsi="仿宋_GB2312" w:cs="仿宋_GB2312"/>
          <w:highlight w:val="none"/>
        </w:rPr>
        <w:t>资金需求，遴选推动一批已经完成I期临床试验、即将进入产业化的1、2类药物研发项目落地，为加快项目落地提供支持。</w:t>
      </w:r>
    </w:p>
    <w:p>
      <w:pPr>
        <w:ind w:firstLine="643"/>
        <w:rPr>
          <w:rFonts w:hAnsi="仿宋_GB2312" w:cs="仿宋_GB2312"/>
          <w:highlight w:val="none"/>
        </w:rPr>
      </w:pPr>
      <w:r>
        <w:rPr>
          <w:rFonts w:hint="eastAsia"/>
          <w:b/>
          <w:bCs/>
          <w:color w:val="000000"/>
          <w:szCs w:val="32"/>
          <w:highlight w:val="none"/>
        </w:rPr>
        <w:t>支持企业规模化发展。</w:t>
      </w:r>
      <w:r>
        <w:rPr>
          <w:rFonts w:hint="eastAsia"/>
          <w:highlight w:val="none"/>
        </w:rPr>
        <w:t>鼓励企业开展资本运作和兼并收购，对企业进行的境内外非关联并购重组项目，支持企业进入中国医药工业百强，</w:t>
      </w:r>
      <w:r>
        <w:rPr>
          <w:rFonts w:hint="eastAsia"/>
          <w:color w:val="000000"/>
          <w:szCs w:val="32"/>
          <w:highlight w:val="none"/>
        </w:rPr>
        <w:t>特制定本条措施</w:t>
      </w:r>
      <w:r>
        <w:rPr>
          <w:rFonts w:hint="eastAsia" w:hAnsi="仿宋_GB2312" w:cs="仿宋_GB2312"/>
          <w:highlight w:val="none"/>
        </w:rPr>
        <w:t>。</w:t>
      </w:r>
    </w:p>
    <w:p>
      <w:pPr>
        <w:ind w:firstLine="643"/>
        <w:rPr>
          <w:b/>
          <w:bCs/>
          <w:color w:val="000000"/>
          <w:szCs w:val="32"/>
          <w:highlight w:val="none"/>
        </w:rPr>
      </w:pPr>
      <w:r>
        <w:rPr>
          <w:rFonts w:hint="eastAsia"/>
          <w:b/>
          <w:bCs/>
          <w:color w:val="000000"/>
          <w:szCs w:val="32"/>
          <w:highlight w:val="none"/>
        </w:rPr>
        <w:t>推广生物医药产品应用。</w:t>
      </w:r>
      <w:r>
        <w:rPr>
          <w:rFonts w:hint="eastAsia"/>
          <w:highlight w:val="none"/>
        </w:rPr>
        <w:t>为鼓励市场主体加大产品研发与制造，鼓励企业积极参加国家药品集中带量采购，特</w:t>
      </w:r>
      <w:r>
        <w:rPr>
          <w:rFonts w:hint="eastAsia"/>
          <w:color w:val="000000"/>
          <w:szCs w:val="32"/>
          <w:highlight w:val="none"/>
        </w:rPr>
        <w:t>制定本条措施</w:t>
      </w:r>
      <w:r>
        <w:rPr>
          <w:rFonts w:hint="eastAsia" w:hAnsi="仿宋_GB2312" w:cs="仿宋_GB2312"/>
          <w:highlight w:val="none"/>
        </w:rPr>
        <w:t>。</w:t>
      </w:r>
    </w:p>
    <w:p>
      <w:pPr>
        <w:ind w:firstLine="643"/>
        <w:rPr>
          <w:b/>
          <w:bCs/>
          <w:highlight w:val="none"/>
        </w:rPr>
      </w:pPr>
      <w:r>
        <w:rPr>
          <w:rFonts w:hint="eastAsia"/>
          <w:b/>
          <w:bCs/>
          <w:highlight w:val="none"/>
        </w:rPr>
        <w:t>2、拟解决光明区主要产业发展短板</w:t>
      </w:r>
    </w:p>
    <w:p>
      <w:pPr>
        <w:adjustRightInd w:val="0"/>
        <w:snapToGrid w:val="0"/>
        <w:ind w:firstLine="640"/>
        <w:rPr>
          <w:color w:val="000000"/>
          <w:szCs w:val="32"/>
          <w:highlight w:val="none"/>
        </w:rPr>
      </w:pPr>
      <w:r>
        <w:rPr>
          <w:rFonts w:hint="eastAsia"/>
          <w:color w:val="000000"/>
          <w:szCs w:val="32"/>
          <w:highlight w:val="none"/>
        </w:rPr>
        <w:t>光明主要解决存量资源联动性不足，研发投入较低，在研药物和上市药物数量少等问题。</w:t>
      </w:r>
    </w:p>
    <w:p>
      <w:pPr>
        <w:adjustRightInd w:val="0"/>
        <w:snapToGrid w:val="0"/>
        <w:ind w:firstLine="643"/>
        <w:rPr>
          <w:color w:val="000000"/>
          <w:szCs w:val="32"/>
          <w:highlight w:val="none"/>
        </w:rPr>
      </w:pPr>
      <w:r>
        <w:rPr>
          <w:rFonts w:hint="eastAsia"/>
          <w:b/>
          <w:bCs/>
          <w:color w:val="000000"/>
          <w:szCs w:val="32"/>
          <w:highlight w:val="none"/>
        </w:rPr>
        <w:t>在研药物和上市药物数量少。</w:t>
      </w:r>
      <w:r>
        <w:rPr>
          <w:rFonts w:hint="eastAsia"/>
          <w:color w:val="000000"/>
          <w:szCs w:val="32"/>
          <w:highlight w:val="none"/>
        </w:rPr>
        <w:t>光明区企业的在研药物和上市药物数量较少，在研药物仅有2个品种处于临床阶段，亟需加大对在研临床药物研发的扶持力度，提升产业创新化水平，引导企业专精特新发展。</w:t>
      </w:r>
    </w:p>
    <w:p>
      <w:pPr>
        <w:ind w:firstLine="643"/>
        <w:rPr>
          <w:b/>
          <w:bCs/>
          <w:color w:val="000000"/>
          <w:szCs w:val="32"/>
          <w:highlight w:val="none"/>
        </w:rPr>
      </w:pPr>
      <w:r>
        <w:rPr>
          <w:rFonts w:hint="eastAsia"/>
          <w:b/>
          <w:bCs/>
          <w:color w:val="000000"/>
          <w:szCs w:val="32"/>
          <w:highlight w:val="none"/>
        </w:rPr>
        <w:t>产业链结构亟待升级。</w:t>
      </w:r>
      <w:r>
        <w:rPr>
          <w:rFonts w:hint="eastAsia"/>
          <w:color w:val="000000"/>
          <w:szCs w:val="32"/>
          <w:highlight w:val="none"/>
        </w:rPr>
        <w:t>光明区生物医药企业创新能力较弱，仅卫光、康泰、万和等企业具备较强研发、生产能力，且产业结构以仿制药产业为主，创新能力有待加强</w:t>
      </w:r>
      <w:r>
        <w:rPr>
          <w:rFonts w:hint="eastAsia"/>
          <w:b/>
          <w:bCs/>
          <w:color w:val="000000"/>
          <w:szCs w:val="32"/>
          <w:highlight w:val="none"/>
        </w:rPr>
        <w:t>。</w:t>
      </w:r>
    </w:p>
    <w:p>
      <w:pPr>
        <w:pStyle w:val="4"/>
        <w:ind w:firstLine="640"/>
        <w:rPr>
          <w:highlight w:val="none"/>
        </w:rPr>
      </w:pPr>
      <w:r>
        <w:rPr>
          <w:rFonts w:hint="eastAsia"/>
          <w:highlight w:val="none"/>
        </w:rPr>
        <w:t>（五）构建产业良好生态体系</w:t>
      </w:r>
    </w:p>
    <w:p>
      <w:pPr>
        <w:ind w:firstLine="643"/>
        <w:rPr>
          <w:b/>
          <w:bCs/>
          <w:highlight w:val="none"/>
        </w:rPr>
      </w:pPr>
      <w:r>
        <w:rPr>
          <w:rFonts w:hint="eastAsia"/>
          <w:b/>
          <w:bCs/>
          <w:highlight w:val="none"/>
        </w:rPr>
        <w:t>1、政策内容</w:t>
      </w:r>
    </w:p>
    <w:p>
      <w:pPr>
        <w:adjustRightInd w:val="0"/>
        <w:snapToGrid w:val="0"/>
        <w:ind w:firstLine="640"/>
        <w:rPr>
          <w:color w:val="000000"/>
          <w:szCs w:val="32"/>
          <w:highlight w:val="none"/>
        </w:rPr>
      </w:pPr>
      <w:r>
        <w:rPr>
          <w:rFonts w:hint="eastAsia"/>
          <w:color w:val="000000"/>
          <w:szCs w:val="32"/>
          <w:highlight w:val="none"/>
        </w:rPr>
        <w:t>本部分共提出2</w:t>
      </w:r>
      <w:r>
        <w:rPr>
          <w:color w:val="000000"/>
          <w:szCs w:val="32"/>
          <w:highlight w:val="none"/>
        </w:rPr>
        <w:t>条内容</w:t>
      </w:r>
      <w:r>
        <w:rPr>
          <w:rFonts w:hint="eastAsia"/>
          <w:color w:val="000000"/>
          <w:szCs w:val="32"/>
          <w:highlight w:val="none"/>
        </w:rPr>
        <w:t>。</w:t>
      </w:r>
    </w:p>
    <w:p>
      <w:pPr>
        <w:ind w:firstLine="643"/>
        <w:rPr>
          <w:highlight w:val="none"/>
        </w:rPr>
      </w:pPr>
      <w:r>
        <w:rPr>
          <w:rFonts w:hint="eastAsia"/>
          <w:b/>
          <w:bCs/>
          <w:color w:val="000000"/>
          <w:szCs w:val="32"/>
          <w:highlight w:val="none"/>
        </w:rPr>
        <w:t>强化金融资本支撑。</w:t>
      </w:r>
      <w:r>
        <w:rPr>
          <w:rFonts w:hint="eastAsia"/>
          <w:highlight w:val="none"/>
        </w:rPr>
        <w:t>设立政府生物医药产业集群专项基金，强化资本对生物医药企业落户光明的推动作用，支持重大项目和优质企业的引进培育，基金以直接投资、产业园战略合作基金等多元化模式，针对区内生物医药重点项目进行专项投资，引导被投企业落户光明发展。</w:t>
      </w:r>
    </w:p>
    <w:p>
      <w:pPr>
        <w:ind w:firstLine="643"/>
        <w:rPr>
          <w:rFonts w:hAnsi="仿宋_GB2312" w:cs="仿宋_GB2312"/>
          <w:highlight w:val="none"/>
        </w:rPr>
      </w:pPr>
      <w:r>
        <w:rPr>
          <w:rFonts w:hint="eastAsia"/>
          <w:b/>
          <w:bCs/>
          <w:color w:val="000000"/>
          <w:szCs w:val="32"/>
          <w:highlight w:val="none"/>
        </w:rPr>
        <w:t>打造生物医药良好发展氛围</w:t>
      </w:r>
      <w:r>
        <w:rPr>
          <w:b/>
          <w:bCs/>
          <w:color w:val="000000"/>
          <w:szCs w:val="32"/>
          <w:highlight w:val="none"/>
        </w:rPr>
        <w:t>。</w:t>
      </w:r>
      <w:r>
        <w:rPr>
          <w:rFonts w:hint="eastAsia"/>
          <w:highlight w:val="none"/>
        </w:rPr>
        <w:t>打造全球知名峰会品牌，加强生物医药领域全球人才、技术、项目等交流与合作，打造产业交流国际品牌。</w:t>
      </w:r>
    </w:p>
    <w:p>
      <w:pPr>
        <w:ind w:firstLine="643"/>
        <w:rPr>
          <w:b/>
          <w:bCs/>
          <w:highlight w:val="none"/>
        </w:rPr>
      </w:pPr>
      <w:r>
        <w:rPr>
          <w:rFonts w:hint="eastAsia"/>
          <w:b/>
          <w:bCs/>
          <w:highlight w:val="none"/>
        </w:rPr>
        <w:t>2、拟解决光明区主要产业发展短板</w:t>
      </w:r>
    </w:p>
    <w:p>
      <w:pPr>
        <w:adjustRightInd w:val="0"/>
        <w:snapToGrid w:val="0"/>
        <w:ind w:firstLine="640"/>
        <w:rPr>
          <w:color w:val="000000"/>
          <w:szCs w:val="32"/>
          <w:highlight w:val="none"/>
        </w:rPr>
      </w:pPr>
      <w:r>
        <w:rPr>
          <w:rFonts w:hint="eastAsia"/>
          <w:color w:val="000000"/>
          <w:szCs w:val="32"/>
          <w:highlight w:val="none"/>
        </w:rPr>
        <w:t>主要解决光明区存量资源联动性不足，专业载体供给有限，人才供给能力不足以及全球宣传影响力较弱的问题。</w:t>
      </w:r>
    </w:p>
    <w:p>
      <w:pPr>
        <w:adjustRightInd w:val="0"/>
        <w:snapToGrid w:val="0"/>
        <w:ind w:firstLine="643"/>
        <w:rPr>
          <w:color w:val="000000"/>
          <w:szCs w:val="32"/>
          <w:highlight w:val="none"/>
        </w:rPr>
      </w:pPr>
      <w:r>
        <w:rPr>
          <w:rFonts w:hint="eastAsia"/>
          <w:b/>
          <w:bCs/>
          <w:color w:val="000000"/>
          <w:szCs w:val="32"/>
          <w:highlight w:val="none"/>
        </w:rPr>
        <w:t>金融服务供给不足。</w:t>
      </w:r>
      <w:r>
        <w:rPr>
          <w:rFonts w:hint="eastAsia"/>
          <w:color w:val="000000"/>
          <w:szCs w:val="32"/>
          <w:highlight w:val="none"/>
        </w:rPr>
        <w:t>产业发展对金融需求较高，目前光明区金融供给能力相对较弱，未来应进一步鼓励产投、创投机构在光明区落户，提升光明区金融供给能力。</w:t>
      </w:r>
    </w:p>
    <w:p>
      <w:pPr>
        <w:adjustRightInd w:val="0"/>
        <w:snapToGrid w:val="0"/>
        <w:ind w:firstLine="643"/>
        <w:rPr>
          <w:color w:val="000000"/>
          <w:szCs w:val="32"/>
          <w:highlight w:val="none"/>
        </w:rPr>
      </w:pPr>
      <w:r>
        <w:rPr>
          <w:rFonts w:hint="eastAsia"/>
          <w:b/>
          <w:bCs/>
          <w:color w:val="000000"/>
          <w:szCs w:val="32"/>
          <w:highlight w:val="none"/>
        </w:rPr>
        <w:t>全球宣传影响力较弱。</w:t>
      </w:r>
      <w:r>
        <w:rPr>
          <w:rFonts w:hint="eastAsia"/>
          <w:color w:val="000000"/>
          <w:szCs w:val="32"/>
          <w:highlight w:val="none"/>
        </w:rPr>
        <w:t>光明区起步发展较晚，全球知名度较弱，未来应当依托峰会、论坛等加强宣传工作，向全世界介绍光明科学城，并进一步集聚一批企业。</w:t>
      </w:r>
    </w:p>
    <w:p>
      <w:pPr>
        <w:pStyle w:val="4"/>
        <w:ind w:firstLine="640"/>
        <w:rPr>
          <w:highlight w:val="none"/>
        </w:rPr>
      </w:pPr>
      <w:r>
        <w:rPr>
          <w:rFonts w:hint="eastAsia"/>
          <w:highlight w:val="none"/>
        </w:rPr>
        <w:t>（六）附则</w:t>
      </w:r>
    </w:p>
    <w:p>
      <w:pPr>
        <w:ind w:firstLine="640"/>
        <w:rPr>
          <w:highlight w:val="none"/>
        </w:rPr>
      </w:pPr>
      <w:r>
        <w:rPr>
          <w:rFonts w:hint="eastAsia"/>
          <w:color w:val="000000"/>
          <w:szCs w:val="32"/>
          <w:highlight w:val="none"/>
        </w:rPr>
        <w:t>《若干措施》提出三条</w:t>
      </w:r>
      <w:r>
        <w:rPr>
          <w:color w:val="000000"/>
          <w:szCs w:val="32"/>
          <w:highlight w:val="none"/>
        </w:rPr>
        <w:t>内容</w:t>
      </w:r>
      <w:r>
        <w:rPr>
          <w:rFonts w:hint="eastAsia"/>
          <w:color w:val="000000"/>
          <w:szCs w:val="32"/>
          <w:highlight w:val="none"/>
        </w:rPr>
        <w:t>：</w:t>
      </w:r>
      <w:r>
        <w:rPr>
          <w:rFonts w:hint="eastAsia"/>
          <w:highlight w:val="none"/>
        </w:rPr>
        <w:t>一是关于措施适用范围的补充，二是关于重复资助</w:t>
      </w:r>
      <w:r>
        <w:rPr>
          <w:highlight w:val="none"/>
        </w:rPr>
        <w:t>情况说明</w:t>
      </w:r>
      <w:r>
        <w:rPr>
          <w:rFonts w:hint="eastAsia"/>
          <w:highlight w:val="none"/>
        </w:rPr>
        <w:t>，三是明确措施执行时间和措施解释权说明。</w:t>
      </w:r>
    </w:p>
    <w:p>
      <w:pPr>
        <w:ind w:firstLine="640"/>
        <w:rPr>
          <w:highlight w:val="none"/>
        </w:rPr>
      </w:pPr>
      <w:r>
        <w:rPr>
          <w:rFonts w:hint="eastAsia" w:hAnsi="黑体" w:cs="黑体"/>
          <w:highlight w:val="none"/>
        </w:rPr>
        <w:t>四、</w:t>
      </w:r>
      <w:r>
        <w:rPr>
          <w:rFonts w:hint="eastAsia"/>
          <w:highlight w:val="none"/>
        </w:rPr>
        <w:t>关于《若干措施》中企业、项目和园区认定条件等未明确事宜，后续将通过部门级规范性文件的方式予以进一步规定。</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KBCDEE+FZFSK--GBK1-0">
    <w:altName w:val="URW Bookman"/>
    <w:panose1 w:val="00000000000000000000"/>
    <w:charset w:val="00"/>
    <w:family w:val="roman"/>
    <w:pitch w:val="default"/>
    <w:sig w:usb0="00000000" w:usb1="00000000" w:usb2="00000000" w:usb3="00000000" w:csb0="00000000" w:csb1="00000000"/>
  </w:font>
  <w:font w:name="Calibri Light">
    <w:altName w:val="DejaVu Sans"/>
    <w:panose1 w:val="020F0302020204030204"/>
    <w:charset w:val="00"/>
    <w:family w:val="swiss"/>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613325"/>
    </w:sdtPr>
    <w:sdtEndPr>
      <w:rPr>
        <w:rFonts w:hint="eastAsia" w:eastAsia="仿宋_GB2312"/>
      </w:rPr>
    </w:sdtEndPr>
    <w:sdtContent>
      <w:p>
        <w:pPr>
          <w:pStyle w:val="7"/>
          <w:ind w:firstLine="0" w:firstLineChars="0"/>
          <w:jc w:val="center"/>
          <w:rPr>
            <w:rFonts w:eastAsia="仿宋_GB2312"/>
          </w:rPr>
        </w:pPr>
        <w:r>
          <w:rPr>
            <w:rFonts w:hint="eastAsia" w:eastAsia="仿宋_GB2312"/>
          </w:rPr>
          <w:fldChar w:fldCharType="begin"/>
        </w:r>
        <w:r>
          <w:rPr>
            <w:rFonts w:hint="eastAsia" w:eastAsia="仿宋_GB2312"/>
          </w:rPr>
          <w:instrText xml:space="preserve">PAGE   \* MERGEFORMAT</w:instrText>
        </w:r>
        <w:r>
          <w:rPr>
            <w:rFonts w:hint="eastAsia" w:eastAsia="仿宋_GB2312"/>
          </w:rPr>
          <w:fldChar w:fldCharType="separate"/>
        </w:r>
        <w:r>
          <w:rPr>
            <w:rFonts w:eastAsia="仿宋_GB2312"/>
            <w:lang w:val="zh-CN"/>
          </w:rPr>
          <w:t>20</w:t>
        </w:r>
        <w:r>
          <w:rPr>
            <w:rFonts w:hint="eastAsia" w:eastAsia="仿宋_GB231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false"/>
  <w:bordersDoNotSurroundFooter w:val="false"/>
  <w:documentProtection w:enforcement="0"/>
  <w:defaultTabStop w:val="420"/>
  <w:drawingGridHorizontalSpacing w:val="160"/>
  <w:drawingGridVerticalSpacing w:val="435"/>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FB"/>
    <w:rsid w:val="000015F0"/>
    <w:rsid w:val="000215B1"/>
    <w:rsid w:val="00044CA1"/>
    <w:rsid w:val="000477AF"/>
    <w:rsid w:val="00056F00"/>
    <w:rsid w:val="000642B7"/>
    <w:rsid w:val="00065722"/>
    <w:rsid w:val="000751C6"/>
    <w:rsid w:val="00085261"/>
    <w:rsid w:val="00085818"/>
    <w:rsid w:val="000B01F9"/>
    <w:rsid w:val="000B3380"/>
    <w:rsid w:val="000C25EE"/>
    <w:rsid w:val="000D3039"/>
    <w:rsid w:val="00100F2B"/>
    <w:rsid w:val="00103145"/>
    <w:rsid w:val="001052F6"/>
    <w:rsid w:val="00110E70"/>
    <w:rsid w:val="001142DA"/>
    <w:rsid w:val="00120476"/>
    <w:rsid w:val="0012422A"/>
    <w:rsid w:val="00134C53"/>
    <w:rsid w:val="00145766"/>
    <w:rsid w:val="00154508"/>
    <w:rsid w:val="00157F67"/>
    <w:rsid w:val="00163DE3"/>
    <w:rsid w:val="00164F07"/>
    <w:rsid w:val="00177B07"/>
    <w:rsid w:val="00180BA9"/>
    <w:rsid w:val="00185005"/>
    <w:rsid w:val="00193017"/>
    <w:rsid w:val="00197537"/>
    <w:rsid w:val="001A52A3"/>
    <w:rsid w:val="001A62E1"/>
    <w:rsid w:val="001D634F"/>
    <w:rsid w:val="001E5749"/>
    <w:rsid w:val="001F450D"/>
    <w:rsid w:val="00233F93"/>
    <w:rsid w:val="00270E86"/>
    <w:rsid w:val="00274D87"/>
    <w:rsid w:val="002826C5"/>
    <w:rsid w:val="00282C5B"/>
    <w:rsid w:val="002979DF"/>
    <w:rsid w:val="002A2F7A"/>
    <w:rsid w:val="002A5EAD"/>
    <w:rsid w:val="002B3BB7"/>
    <w:rsid w:val="002B64A7"/>
    <w:rsid w:val="002B6BB0"/>
    <w:rsid w:val="002C0AF8"/>
    <w:rsid w:val="002D5098"/>
    <w:rsid w:val="002D78CE"/>
    <w:rsid w:val="002E1749"/>
    <w:rsid w:val="002F5ED5"/>
    <w:rsid w:val="00305DBA"/>
    <w:rsid w:val="00307A5C"/>
    <w:rsid w:val="0032673D"/>
    <w:rsid w:val="00327FA1"/>
    <w:rsid w:val="00332422"/>
    <w:rsid w:val="00341AA2"/>
    <w:rsid w:val="00376B6E"/>
    <w:rsid w:val="00380CC4"/>
    <w:rsid w:val="003A23E1"/>
    <w:rsid w:val="003C57F2"/>
    <w:rsid w:val="003D73D0"/>
    <w:rsid w:val="003F54B4"/>
    <w:rsid w:val="0040161F"/>
    <w:rsid w:val="00412905"/>
    <w:rsid w:val="00415715"/>
    <w:rsid w:val="0041687B"/>
    <w:rsid w:val="00423928"/>
    <w:rsid w:val="004322A6"/>
    <w:rsid w:val="00437CBA"/>
    <w:rsid w:val="00451526"/>
    <w:rsid w:val="004555EB"/>
    <w:rsid w:val="004774ED"/>
    <w:rsid w:val="0048061E"/>
    <w:rsid w:val="00492138"/>
    <w:rsid w:val="004A2F09"/>
    <w:rsid w:val="004B2014"/>
    <w:rsid w:val="004B3DAF"/>
    <w:rsid w:val="004C5807"/>
    <w:rsid w:val="004D467A"/>
    <w:rsid w:val="004F1A29"/>
    <w:rsid w:val="004F2F65"/>
    <w:rsid w:val="005042C0"/>
    <w:rsid w:val="0052313B"/>
    <w:rsid w:val="005252A1"/>
    <w:rsid w:val="00527B9B"/>
    <w:rsid w:val="005332BF"/>
    <w:rsid w:val="005424AE"/>
    <w:rsid w:val="00555F21"/>
    <w:rsid w:val="005571DB"/>
    <w:rsid w:val="0056201A"/>
    <w:rsid w:val="00567C3B"/>
    <w:rsid w:val="00580FA9"/>
    <w:rsid w:val="00586B3E"/>
    <w:rsid w:val="00594415"/>
    <w:rsid w:val="005B5239"/>
    <w:rsid w:val="005E4BBF"/>
    <w:rsid w:val="005F3A2F"/>
    <w:rsid w:val="005F4A18"/>
    <w:rsid w:val="005F6BB5"/>
    <w:rsid w:val="006024F8"/>
    <w:rsid w:val="00604FAF"/>
    <w:rsid w:val="0061261B"/>
    <w:rsid w:val="00615F7C"/>
    <w:rsid w:val="00616D55"/>
    <w:rsid w:val="00621D3E"/>
    <w:rsid w:val="006261C9"/>
    <w:rsid w:val="00645B40"/>
    <w:rsid w:val="00657CF9"/>
    <w:rsid w:val="00684341"/>
    <w:rsid w:val="00691CB6"/>
    <w:rsid w:val="00696F5F"/>
    <w:rsid w:val="006A00EA"/>
    <w:rsid w:val="006A2B0E"/>
    <w:rsid w:val="006A4956"/>
    <w:rsid w:val="006A4FDE"/>
    <w:rsid w:val="006B096E"/>
    <w:rsid w:val="006B2639"/>
    <w:rsid w:val="006B3EF8"/>
    <w:rsid w:val="006C4C53"/>
    <w:rsid w:val="006D0462"/>
    <w:rsid w:val="006E6725"/>
    <w:rsid w:val="006F77DF"/>
    <w:rsid w:val="007050F0"/>
    <w:rsid w:val="00733393"/>
    <w:rsid w:val="007454EE"/>
    <w:rsid w:val="007465BA"/>
    <w:rsid w:val="007517E9"/>
    <w:rsid w:val="00755B0B"/>
    <w:rsid w:val="00766513"/>
    <w:rsid w:val="0078350B"/>
    <w:rsid w:val="007913C8"/>
    <w:rsid w:val="00794A97"/>
    <w:rsid w:val="007A406A"/>
    <w:rsid w:val="007A47B7"/>
    <w:rsid w:val="007B13D5"/>
    <w:rsid w:val="007C432B"/>
    <w:rsid w:val="007D2CD1"/>
    <w:rsid w:val="007D3D20"/>
    <w:rsid w:val="007E25BB"/>
    <w:rsid w:val="007E7021"/>
    <w:rsid w:val="007E75A1"/>
    <w:rsid w:val="007F0BDF"/>
    <w:rsid w:val="008014C5"/>
    <w:rsid w:val="00801D2E"/>
    <w:rsid w:val="00803A49"/>
    <w:rsid w:val="00813BC6"/>
    <w:rsid w:val="008706A9"/>
    <w:rsid w:val="008730C6"/>
    <w:rsid w:val="00882AC0"/>
    <w:rsid w:val="00887781"/>
    <w:rsid w:val="008B78A4"/>
    <w:rsid w:val="008C334F"/>
    <w:rsid w:val="008D44F9"/>
    <w:rsid w:val="008D49B3"/>
    <w:rsid w:val="008D559C"/>
    <w:rsid w:val="00907FC4"/>
    <w:rsid w:val="00925013"/>
    <w:rsid w:val="009303C6"/>
    <w:rsid w:val="00931C99"/>
    <w:rsid w:val="00935875"/>
    <w:rsid w:val="00955B28"/>
    <w:rsid w:val="00962CFB"/>
    <w:rsid w:val="00966E5F"/>
    <w:rsid w:val="00984DC9"/>
    <w:rsid w:val="00993273"/>
    <w:rsid w:val="00993BEA"/>
    <w:rsid w:val="009A5A6F"/>
    <w:rsid w:val="009A75B5"/>
    <w:rsid w:val="009B14DB"/>
    <w:rsid w:val="009B2C41"/>
    <w:rsid w:val="009B2ED9"/>
    <w:rsid w:val="009D7659"/>
    <w:rsid w:val="00A04AAC"/>
    <w:rsid w:val="00A2096C"/>
    <w:rsid w:val="00A33C2C"/>
    <w:rsid w:val="00A40915"/>
    <w:rsid w:val="00A421D8"/>
    <w:rsid w:val="00A4257B"/>
    <w:rsid w:val="00A44010"/>
    <w:rsid w:val="00A56E70"/>
    <w:rsid w:val="00A62385"/>
    <w:rsid w:val="00A96C84"/>
    <w:rsid w:val="00AC4268"/>
    <w:rsid w:val="00AF080C"/>
    <w:rsid w:val="00AF1042"/>
    <w:rsid w:val="00B01EFB"/>
    <w:rsid w:val="00B13D63"/>
    <w:rsid w:val="00B158B0"/>
    <w:rsid w:val="00B5193F"/>
    <w:rsid w:val="00B55F63"/>
    <w:rsid w:val="00B66768"/>
    <w:rsid w:val="00B66D30"/>
    <w:rsid w:val="00B71AD4"/>
    <w:rsid w:val="00B773D4"/>
    <w:rsid w:val="00B91A06"/>
    <w:rsid w:val="00B92AB0"/>
    <w:rsid w:val="00BA33AF"/>
    <w:rsid w:val="00BA58C4"/>
    <w:rsid w:val="00BB172C"/>
    <w:rsid w:val="00BE79B4"/>
    <w:rsid w:val="00C03D8C"/>
    <w:rsid w:val="00C04B9B"/>
    <w:rsid w:val="00C351FD"/>
    <w:rsid w:val="00C45F3E"/>
    <w:rsid w:val="00C5069B"/>
    <w:rsid w:val="00C7115B"/>
    <w:rsid w:val="00C735B3"/>
    <w:rsid w:val="00C748F6"/>
    <w:rsid w:val="00C86D71"/>
    <w:rsid w:val="00CD11C4"/>
    <w:rsid w:val="00CE0CD0"/>
    <w:rsid w:val="00D10AF0"/>
    <w:rsid w:val="00D263BF"/>
    <w:rsid w:val="00D67052"/>
    <w:rsid w:val="00D73031"/>
    <w:rsid w:val="00D84361"/>
    <w:rsid w:val="00D85D07"/>
    <w:rsid w:val="00DB618C"/>
    <w:rsid w:val="00DD1937"/>
    <w:rsid w:val="00DE646C"/>
    <w:rsid w:val="00DF1217"/>
    <w:rsid w:val="00DF1D21"/>
    <w:rsid w:val="00E01A4F"/>
    <w:rsid w:val="00E04215"/>
    <w:rsid w:val="00E169E8"/>
    <w:rsid w:val="00E254C8"/>
    <w:rsid w:val="00E35135"/>
    <w:rsid w:val="00E90BBC"/>
    <w:rsid w:val="00EA4AB4"/>
    <w:rsid w:val="00EB61DE"/>
    <w:rsid w:val="00EB676A"/>
    <w:rsid w:val="00ED51D0"/>
    <w:rsid w:val="00EE01A8"/>
    <w:rsid w:val="00EE58CA"/>
    <w:rsid w:val="00EE76B6"/>
    <w:rsid w:val="00F16978"/>
    <w:rsid w:val="00F43543"/>
    <w:rsid w:val="00F52AEB"/>
    <w:rsid w:val="00F549C9"/>
    <w:rsid w:val="00F61754"/>
    <w:rsid w:val="00F74EB7"/>
    <w:rsid w:val="00F84E07"/>
    <w:rsid w:val="00F96564"/>
    <w:rsid w:val="00FA6466"/>
    <w:rsid w:val="00FC34B3"/>
    <w:rsid w:val="00FC4202"/>
    <w:rsid w:val="00FC4B36"/>
    <w:rsid w:val="00FC607D"/>
    <w:rsid w:val="00FF0C74"/>
    <w:rsid w:val="00FF2A29"/>
    <w:rsid w:val="0A0A124C"/>
    <w:rsid w:val="0E272EC6"/>
    <w:rsid w:val="17684241"/>
    <w:rsid w:val="18925A0D"/>
    <w:rsid w:val="1FEF3160"/>
    <w:rsid w:val="221D6484"/>
    <w:rsid w:val="24475571"/>
    <w:rsid w:val="393947EE"/>
    <w:rsid w:val="3A8E7D68"/>
    <w:rsid w:val="4303655E"/>
    <w:rsid w:val="4D117C87"/>
    <w:rsid w:val="65795FB2"/>
    <w:rsid w:val="6FDFFE99"/>
    <w:rsid w:val="A8DD4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仿宋_GB2312" w:eastAsia="仿宋_GB2312" w:hAnsiTheme="minorHAnsi" w:cstheme="minorBidi"/>
      <w:kern w:val="2"/>
      <w:sz w:val="32"/>
      <w:szCs w:val="22"/>
      <w:lang w:val="en-US" w:eastAsia="zh-CN" w:bidi="ar-SA"/>
    </w:rPr>
  </w:style>
  <w:style w:type="paragraph" w:styleId="3">
    <w:name w:val="heading 1"/>
    <w:basedOn w:val="1"/>
    <w:next w:val="1"/>
    <w:link w:val="19"/>
    <w:qFormat/>
    <w:uiPriority w:val="9"/>
    <w:pPr>
      <w:outlineLvl w:val="0"/>
    </w:pPr>
    <w:rPr>
      <w:rFonts w:ascii="黑体" w:hAnsi="黑体" w:eastAsia="黑体" w:cs="Times New Roman"/>
      <w:szCs w:val="32"/>
    </w:rPr>
  </w:style>
  <w:style w:type="paragraph" w:styleId="4">
    <w:name w:val="heading 2"/>
    <w:basedOn w:val="1"/>
    <w:next w:val="1"/>
    <w:link w:val="20"/>
    <w:unhideWhenUsed/>
    <w:qFormat/>
    <w:uiPriority w:val="9"/>
    <w:pPr>
      <w:ind w:firstLine="562"/>
      <w:outlineLvl w:val="1"/>
    </w:pPr>
    <w:rPr>
      <w:rFonts w:ascii="楷体_GB2312" w:hAnsi="仿宋" w:eastAsia="楷体_GB2312" w:cs="Times New Roman"/>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404" w:lineRule="exact"/>
      <w:ind w:left="40"/>
    </w:pPr>
    <w:rPr>
      <w:rFonts w:hint="eastAsia" w:ascii="Times New Roman" w:hAnsi="Times New Roman" w:eastAsia="宋体" w:cs="Times New Roman"/>
      <w:sz w:val="32"/>
    </w:rPr>
  </w:style>
  <w:style w:type="paragraph" w:styleId="5">
    <w:name w:val="annotation text"/>
    <w:basedOn w:val="1"/>
    <w:link w:val="25"/>
    <w:semiHidden/>
    <w:unhideWhenUsed/>
    <w:qFormat/>
    <w:uiPriority w:val="99"/>
    <w:pPr>
      <w:jc w:val="left"/>
    </w:pPr>
  </w:style>
  <w:style w:type="paragraph" w:styleId="6">
    <w:name w:val="Balloon Text"/>
    <w:basedOn w:val="1"/>
    <w:link w:val="24"/>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rFonts w:eastAsiaTheme="minorEastAsia"/>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paragraph" w:styleId="9">
    <w:name w:val="footnote text"/>
    <w:basedOn w:val="1"/>
    <w:link w:val="21"/>
    <w:qFormat/>
    <w:uiPriority w:val="0"/>
    <w:pPr>
      <w:widowControl/>
      <w:snapToGrid w:val="0"/>
      <w:jc w:val="left"/>
    </w:pPr>
    <w:rPr>
      <w:rFonts w:cs="Times New Roman" w:eastAsiaTheme="minorEastAsia"/>
      <w:kern w:val="0"/>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6"/>
    <w:semiHidden/>
    <w:unhideWhenUsed/>
    <w:qFormat/>
    <w:uiPriority w:val="99"/>
    <w:rPr>
      <w:b/>
      <w:bCs/>
    </w:rPr>
  </w:style>
  <w:style w:type="table" w:styleId="13">
    <w:name w:val="Table Grid"/>
    <w:basedOn w:val="1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styleId="16">
    <w:name w:val="footnote reference"/>
    <w:qFormat/>
    <w:uiPriority w:val="0"/>
    <w:rPr>
      <w:vertAlign w:val="superscript"/>
    </w:rPr>
  </w:style>
  <w:style w:type="character" w:customStyle="1" w:styleId="17">
    <w:name w:val="页眉 字符"/>
    <w:basedOn w:val="14"/>
    <w:link w:val="8"/>
    <w:qFormat/>
    <w:uiPriority w:val="99"/>
    <w:rPr>
      <w:sz w:val="18"/>
      <w:szCs w:val="18"/>
    </w:rPr>
  </w:style>
  <w:style w:type="character" w:customStyle="1" w:styleId="18">
    <w:name w:val="页脚 字符"/>
    <w:basedOn w:val="14"/>
    <w:link w:val="7"/>
    <w:qFormat/>
    <w:uiPriority w:val="99"/>
    <w:rPr>
      <w:sz w:val="18"/>
      <w:szCs w:val="18"/>
    </w:rPr>
  </w:style>
  <w:style w:type="character" w:customStyle="1" w:styleId="19">
    <w:name w:val="标题 1 字符"/>
    <w:basedOn w:val="14"/>
    <w:link w:val="3"/>
    <w:qFormat/>
    <w:uiPriority w:val="9"/>
    <w:rPr>
      <w:rFonts w:ascii="黑体" w:hAnsi="黑体" w:eastAsia="黑体" w:cs="Times New Roman"/>
      <w:sz w:val="32"/>
      <w:szCs w:val="32"/>
    </w:rPr>
  </w:style>
  <w:style w:type="character" w:customStyle="1" w:styleId="20">
    <w:name w:val="标题 2 字符"/>
    <w:basedOn w:val="14"/>
    <w:link w:val="4"/>
    <w:qFormat/>
    <w:uiPriority w:val="9"/>
    <w:rPr>
      <w:rFonts w:ascii="楷体_GB2312" w:hAnsi="仿宋" w:eastAsia="楷体_GB2312" w:cs="Times New Roman"/>
      <w:sz w:val="32"/>
      <w:szCs w:val="32"/>
    </w:rPr>
  </w:style>
  <w:style w:type="character" w:customStyle="1" w:styleId="21">
    <w:name w:val="脚注文本 字符"/>
    <w:basedOn w:val="14"/>
    <w:link w:val="9"/>
    <w:qFormat/>
    <w:uiPriority w:val="0"/>
    <w:rPr>
      <w:rFonts w:cs="Times New Roman"/>
      <w:kern w:val="0"/>
      <w:sz w:val="18"/>
      <w:szCs w:val="18"/>
    </w:rPr>
  </w:style>
  <w:style w:type="paragraph" w:customStyle="1" w:styleId="22">
    <w:name w:val="列出段落1"/>
    <w:basedOn w:val="1"/>
    <w:qFormat/>
    <w:uiPriority w:val="34"/>
    <w:pPr>
      <w:ind w:firstLine="420"/>
    </w:pPr>
    <w:rPr>
      <w:rFonts w:eastAsiaTheme="minorEastAsia"/>
      <w:sz w:val="21"/>
    </w:rPr>
  </w:style>
  <w:style w:type="paragraph" w:styleId="23">
    <w:name w:val="List Paragraph"/>
    <w:basedOn w:val="1"/>
    <w:qFormat/>
    <w:uiPriority w:val="34"/>
    <w:pPr>
      <w:ind w:firstLine="420"/>
    </w:pPr>
    <w:rPr>
      <w:rFonts w:eastAsiaTheme="minorEastAsia"/>
      <w:sz w:val="21"/>
    </w:rPr>
  </w:style>
  <w:style w:type="character" w:customStyle="1" w:styleId="24">
    <w:name w:val="批注框文本 字符"/>
    <w:basedOn w:val="14"/>
    <w:link w:val="6"/>
    <w:semiHidden/>
    <w:qFormat/>
    <w:uiPriority w:val="99"/>
    <w:rPr>
      <w:rFonts w:eastAsia="仿宋_GB2312"/>
      <w:sz w:val="18"/>
      <w:szCs w:val="18"/>
    </w:rPr>
  </w:style>
  <w:style w:type="character" w:customStyle="1" w:styleId="25">
    <w:name w:val="批注文字 字符"/>
    <w:basedOn w:val="14"/>
    <w:link w:val="5"/>
    <w:semiHidden/>
    <w:qFormat/>
    <w:uiPriority w:val="99"/>
    <w:rPr>
      <w:rFonts w:eastAsia="仿宋_GB2312"/>
      <w:sz w:val="32"/>
    </w:rPr>
  </w:style>
  <w:style w:type="character" w:customStyle="1" w:styleId="26">
    <w:name w:val="批注主题 字符"/>
    <w:basedOn w:val="25"/>
    <w:link w:val="11"/>
    <w:semiHidden/>
    <w:qFormat/>
    <w:uiPriority w:val="99"/>
    <w:rPr>
      <w:rFonts w:eastAsia="仿宋_GB2312"/>
      <w:b/>
      <w:bCs/>
      <w:sz w:val="32"/>
    </w:rPr>
  </w:style>
  <w:style w:type="paragraph" w:customStyle="1" w:styleId="27">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28">
    <w:name w:val="修订1"/>
    <w:hidden/>
    <w:semiHidden/>
    <w:qFormat/>
    <w:uiPriority w:val="99"/>
    <w:rPr>
      <w:rFonts w:ascii="仿宋_GB2312" w:eastAsia="仿宋_GB2312" w:hAnsiTheme="minorHAnsi" w:cstheme="minorBidi"/>
      <w:kern w:val="2"/>
      <w:sz w:val="32"/>
      <w:szCs w:val="22"/>
      <w:lang w:val="en-US" w:eastAsia="zh-CN" w:bidi="ar-SA"/>
    </w:rPr>
  </w:style>
  <w:style w:type="character" w:customStyle="1" w:styleId="29">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600</Words>
  <Characters>3425</Characters>
  <Lines>28</Lines>
  <Paragraphs>8</Paragraphs>
  <TotalTime>6</TotalTime>
  <ScaleCrop>false</ScaleCrop>
  <LinksUpToDate>false</LinksUpToDate>
  <CharactersWithSpaces>4017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2022-12-05T10:19:00Z</dcterms:created>
  <dc:creator>xuyj-pc</dc:creator>
  <cp:lastModifiedBy>huawei</cp:lastModifiedBy>
  <cp:lastPrinted>2022-08-10T23:09:00Z</cp:lastPrinted>
  <dcterms:modified xsi:type="dcterms:W3CDTF">2023-07-04T09:09:53Z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A849D69B5A764C3FB4F005951F39FC1F</vt:lpwstr>
  </property>
</Properties>
</file>