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 w:firstLineChars="0"/>
        <w:jc w:val="center"/>
        <w:textAlignment w:val="baseline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"/>
          <w:sz w:val="44"/>
          <w:szCs w:val="44"/>
          <w:highlight w:val="none"/>
          <w:lang w:val="en-US" w:eastAsia="zh-CN"/>
        </w:rPr>
        <w:t>光明区</w:t>
      </w:r>
      <w:r>
        <w:rPr>
          <w:rFonts w:hint="default" w:ascii="Times New Roman" w:hAnsi="Times New Roman" w:eastAsia="方正小标宋简体" w:cs="Times New Roman"/>
          <w:spacing w:val="-1"/>
          <w:sz w:val="44"/>
          <w:szCs w:val="44"/>
          <w:highlight w:val="none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促进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影视产业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发展的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若干措施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jc w:val="center"/>
        <w:textAlignment w:val="baseline"/>
        <w:rPr>
          <w:rFonts w:hint="default" w:ascii="Times New Roman" w:hAnsi="Times New Roman" w:cs="Times New Roman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highlight w:val="none"/>
          <w:lang w:val="en-US" w:eastAsia="zh-CN"/>
        </w:rPr>
        <w:t>（</w:t>
      </w:r>
      <w:r>
        <w:rPr>
          <w:rFonts w:hint="eastAsia" w:cs="Times New Roman"/>
          <w:color w:val="auto"/>
          <w:sz w:val="36"/>
          <w:szCs w:val="36"/>
          <w:highlight w:val="none"/>
          <w:lang w:val="en-US" w:eastAsia="zh-CN"/>
        </w:rPr>
        <w:t>征求意见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  <w:lang w:val="en-US" w:eastAsia="zh-CN"/>
        </w:rPr>
        <w:t>稿</w:t>
      </w:r>
      <w:r>
        <w:rPr>
          <w:rFonts w:hint="default" w:ascii="Times New Roman" w:hAnsi="Times New Roman" w:cs="Times New Roman"/>
          <w:sz w:val="36"/>
          <w:szCs w:val="36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 w:firstLineChars="0"/>
        <w:jc w:val="center"/>
        <w:textAlignment w:val="baseline"/>
        <w:outlineLvl w:val="0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eastAsia="黑体" w:cs="Times New Roman"/>
          <w:spacing w:val="-4"/>
          <w:positio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position w:val="2"/>
          <w:sz w:val="32"/>
          <w:szCs w:val="32"/>
          <w:highlight w:val="none"/>
          <w:lang w:val="en-US" w:eastAsia="zh-CN"/>
        </w:rPr>
        <w:t>第一章 总则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eastAsia="仿宋_GB2312" w:cs="Times New Roman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 xml:space="preserve">第一条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为抓住中国特色社会主义先行示范区和粤港澳大湾区建设重大机遇，</w:t>
      </w:r>
      <w:r>
        <w:rPr>
          <w:rFonts w:hint="default" w:ascii="Times New Roman" w:hAnsi="Times New Roman" w:cs="Times New Roman"/>
          <w:highlight w:val="none"/>
        </w:rPr>
        <w:t>进一步优化我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区</w:t>
      </w:r>
      <w:r>
        <w:rPr>
          <w:rFonts w:hint="default" w:ascii="Times New Roman" w:hAnsi="Times New Roman" w:cs="Times New Roman"/>
          <w:highlight w:val="none"/>
        </w:rPr>
        <w:t>影视文化产业发展环境，促进影视文化产业高质量发展，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根据《光明区经济发展专项资金管理办法》，结合光明区实际，</w:t>
      </w:r>
      <w:r>
        <w:rPr>
          <w:rFonts w:hint="default" w:ascii="Times New Roman" w:hAnsi="Times New Roman" w:cs="Times New Roman"/>
          <w:highlight w:val="none"/>
        </w:rPr>
        <w:t>制定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本措施</w:t>
      </w:r>
      <w:r>
        <w:rPr>
          <w:rFonts w:hint="default" w:ascii="Times New Roman" w:hAnsi="Times New Roman" w:cs="Times New Roman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第二条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本措施适用于在光明区辖区内依法经营，具有独立法人资格并从事影视及相关产业的企业、社会组织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eastAsia="楷体_GB2312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第二章 推动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产业链条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集聚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发展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第三条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支持中小微影视企业发展，对入驻区级文化产业园区（基地）从事影视及相关产业的企业或社会组织给予不超过年租金50%、每年最高30万元的房租补贴，每家单位最多支持三年。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第四条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扶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持配套企业完善影视产业链条，</w:t>
      </w:r>
      <w:r>
        <w:rPr>
          <w:rFonts w:hint="eastAsia" w:ascii="仿宋_GB2312" w:hAnsi="仿宋_GB2312" w:eastAsia="仿宋_GB2312" w:cs="仿宋_GB2312"/>
          <w:highlight w:val="none"/>
        </w:rPr>
        <w:t>对为剧组提供影视道具、服装、摄影器材等租赁业务的影视文化企业，按照实际支付租金的40％，给予最高不超过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highlight w:val="none"/>
        </w:rPr>
        <w:t>万元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highlight w:val="none"/>
        </w:rPr>
        <w:t>仓储成本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补助。每家单位最多支持三年。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 xml:space="preserve">第五条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鼓励影视后期制作产业发展，为境内外影视制片公司或后期制作公司提供影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视后期制作技术支持的企业，按其技术服务金额给予每年最高不超过300万元的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奖励。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第三章 鼓励原创内容生产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 xml:space="preserve">第六条 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支持原创影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视和动漫创作生产，对在相关频道黄金时段播出的原创影视和动漫项目，给予最高100万元奖励。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 xml:space="preserve">第七条 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奖励优秀原创影视和动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漫作品，对获得国际国内重大奖项的原创影视和动漫项目，给予最高500万元奖励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highlight w:val="none"/>
          <w:lang w:val="en-US" w:eastAsia="zh-CN"/>
        </w:rPr>
        <w:t>第八条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 xml:space="preserve"> 支持本土题材创作，</w:t>
      </w:r>
      <w:r>
        <w:rPr>
          <w:rFonts w:hint="default" w:ascii="Times New Roman" w:hAnsi="Times New Roman" w:cs="Times New Roman"/>
          <w:color w:val="auto"/>
          <w:highlight w:val="none"/>
        </w:rPr>
        <w:t>对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在光明区取景且正面展现光明城市形象镜头、</w:t>
      </w:r>
      <w:r>
        <w:rPr>
          <w:rFonts w:hint="default" w:ascii="Times New Roman" w:hAnsi="Times New Roman" w:cs="Times New Roman"/>
          <w:color w:val="auto"/>
          <w:highlight w:val="none"/>
        </w:rPr>
        <w:t>创作反映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光明</w:t>
      </w:r>
      <w:r>
        <w:rPr>
          <w:rFonts w:hint="default" w:ascii="Times New Roman" w:hAnsi="Times New Roman" w:cs="Times New Roman"/>
          <w:color w:val="auto"/>
          <w:highlight w:val="none"/>
        </w:rPr>
        <w:t>本土题材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讲述光明人物故事</w:t>
      </w:r>
      <w:r>
        <w:rPr>
          <w:rFonts w:hint="default" w:ascii="Times New Roman" w:hAnsi="Times New Roman" w:cs="Times New Roman"/>
          <w:color w:val="auto"/>
          <w:highlight w:val="none"/>
        </w:rPr>
        <w:t>的影视作品，进入院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线上映或在央视各频道、省级重点卫视播出的，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给予最高100万的奖励。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第四章 支持拓展国内外市场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第九条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持影视作品走出去，按</w:t>
      </w:r>
      <w:r>
        <w:rPr>
          <w:rFonts w:hint="eastAsia" w:ascii="仿宋_GB2312" w:hAnsi="仿宋_GB2312" w:eastAsia="仿宋_GB2312" w:cs="仿宋_GB2312"/>
          <w:highlight w:val="none"/>
        </w:rPr>
        <w:t>影视作品海外版权销售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额</w:t>
      </w:r>
      <w:r>
        <w:rPr>
          <w:rFonts w:hint="eastAsia" w:ascii="仿宋_GB2312" w:hAnsi="仿宋_GB2312" w:eastAsia="仿宋_GB2312" w:cs="仿宋_GB2312"/>
          <w:highlight w:val="none"/>
        </w:rPr>
        <w:t>的10％给予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最高10</w:t>
      </w:r>
      <w:r>
        <w:rPr>
          <w:rFonts w:hint="eastAsia" w:ascii="仿宋_GB2312" w:hAnsi="仿宋_GB2312" w:eastAsia="仿宋_GB2312" w:cs="仿宋_GB2312"/>
          <w:highlight w:val="none"/>
        </w:rPr>
        <w:t>0万元奖励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第十条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支持参加国内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外影视文化交流活动，按参加境内外重点综合性、专业性展会而产生的展位费用的50%给予最高20万元的事后资助。对受托组展的单位，按照每个国内展会5万元、国外展会10万元的标准给予组展费用资助。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第五章 加强数字技术研发应用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 xml:space="preserve">第十一条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鼓励数字影视拍摄基地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建设，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对达到一定条件的虚拟拍摄数字化影棚建设，经评审认定，给予每年不超过30万元的房租补贴，最多支持五年。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第十二条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 xml:space="preserve"> 拓展数字技术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在影视产业领域的应用，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对符合条件的元宇宙、数字演艺等数字技术研发和应用项目给予最高200万元资助。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 xml:space="preserve">第十三条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推进影视内容生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产的数字化发展，对符合条件的内容生产数字化项目给予最高200万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元资助。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第六章 完善影视人才培养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第十四条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鼓励与国内外影视类院校合作，在区内开展影视专业人才培训，每期培训给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予最高10万元的资助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Lines="0" w:after="0" w:afterLines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pacing w:val="-5"/>
          <w:sz w:val="32"/>
          <w:szCs w:val="32"/>
          <w:highlight w:val="none"/>
          <w:lang w:val="en-US" w:eastAsia="zh-CN"/>
        </w:rPr>
        <w:t xml:space="preserve">第七章 </w:t>
      </w:r>
      <w:r>
        <w:rPr>
          <w:rFonts w:hint="default" w:ascii="Times New Roman" w:hAnsi="Times New Roman" w:eastAsia="黑体" w:cs="Times New Roman"/>
          <w:spacing w:val="-3"/>
          <w:sz w:val="32"/>
          <w:szCs w:val="32"/>
          <w:highlight w:val="none"/>
        </w:rPr>
        <w:t>附则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第十五条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本措施与光明区其他同类优惠措施，由企业自主选择申报，不重复资助。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highlight w:val="none"/>
          <w:lang w:val="en-US" w:eastAsia="zh-CN"/>
        </w:rPr>
        <w:t>第十六条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本措施的资助与奖励资金在光明区经济发展专项资金中列支。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highlight w:val="none"/>
          <w:lang w:val="en-US" w:eastAsia="zh-CN"/>
        </w:rPr>
        <w:t>第十七条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本措施自</w:t>
      </w:r>
      <w:r>
        <w:rPr>
          <w:rFonts w:hint="eastAsia" w:ascii="仿宋_GB2312" w:hAnsi="仿宋_GB2312" w:cs="仿宋_GB2312"/>
          <w:highlight w:val="none"/>
          <w:lang w:val="en-US" w:eastAsia="zh-CN"/>
        </w:rPr>
        <w:t>XXXX年XX月XX日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起施行，有效期 3 年。由深圳市光明区文化广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电旅游体育局负责解释</w:t>
      </w:r>
      <w:r>
        <w:rPr>
          <w:rFonts w:hint="default" w:ascii="Times New Roman" w:hAnsi="Times New Roman" w:cs="Times New Roman"/>
          <w:highlight w:val="none"/>
        </w:rPr>
        <w:t>。</w:t>
      </w:r>
    </w:p>
    <w:sectPr>
      <w:footerReference r:id="rId5" w:type="default"/>
      <w:pgSz w:w="11906" w:h="16839"/>
      <w:pgMar w:top="2098" w:right="1474" w:bottom="1984" w:left="1587" w:header="850" w:footer="992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99701A-54F9-4914-A1DF-49DD9E5457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5265B6F-E721-407E-BA4F-AC76968DFD1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E223DED-FB0B-4BD1-A621-B3B1A4908F4F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9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WIwMTg0MThlZmVkM2U2YzRhZTVlYzY4N2Y5ZGMifQ=="/>
  </w:docVars>
  <w:rsids>
    <w:rsidRoot w:val="50114D7A"/>
    <w:rsid w:val="00656641"/>
    <w:rsid w:val="01277748"/>
    <w:rsid w:val="02A91DA6"/>
    <w:rsid w:val="030D4AC8"/>
    <w:rsid w:val="0321400D"/>
    <w:rsid w:val="03496B61"/>
    <w:rsid w:val="05C1367C"/>
    <w:rsid w:val="064E126A"/>
    <w:rsid w:val="06506E5A"/>
    <w:rsid w:val="0AC460B7"/>
    <w:rsid w:val="0CBF6838"/>
    <w:rsid w:val="0F0E2CB0"/>
    <w:rsid w:val="0FFC3BC0"/>
    <w:rsid w:val="14883E57"/>
    <w:rsid w:val="15FF8D26"/>
    <w:rsid w:val="17DF5568"/>
    <w:rsid w:val="17F23A82"/>
    <w:rsid w:val="187410C9"/>
    <w:rsid w:val="194C4CA0"/>
    <w:rsid w:val="19CD1E14"/>
    <w:rsid w:val="1C0F3C96"/>
    <w:rsid w:val="1D185750"/>
    <w:rsid w:val="1E7C4D29"/>
    <w:rsid w:val="1EC37822"/>
    <w:rsid w:val="1F951D22"/>
    <w:rsid w:val="1FAB46F7"/>
    <w:rsid w:val="20577E1E"/>
    <w:rsid w:val="20837D28"/>
    <w:rsid w:val="22311C64"/>
    <w:rsid w:val="22CA041E"/>
    <w:rsid w:val="237138FF"/>
    <w:rsid w:val="23B86930"/>
    <w:rsid w:val="2445710C"/>
    <w:rsid w:val="25827825"/>
    <w:rsid w:val="26852BE0"/>
    <w:rsid w:val="27155FD0"/>
    <w:rsid w:val="2A5E108E"/>
    <w:rsid w:val="2AE73410"/>
    <w:rsid w:val="2CAF6831"/>
    <w:rsid w:val="2EA77FA9"/>
    <w:rsid w:val="2FD34873"/>
    <w:rsid w:val="30501746"/>
    <w:rsid w:val="328D45E6"/>
    <w:rsid w:val="34C2713A"/>
    <w:rsid w:val="355B22D0"/>
    <w:rsid w:val="38647ADA"/>
    <w:rsid w:val="3AFB7D0E"/>
    <w:rsid w:val="3B840CB4"/>
    <w:rsid w:val="3C7D481B"/>
    <w:rsid w:val="3F9E2286"/>
    <w:rsid w:val="3FD6672A"/>
    <w:rsid w:val="3FDFA9C7"/>
    <w:rsid w:val="410276BA"/>
    <w:rsid w:val="41B95348"/>
    <w:rsid w:val="44D5127D"/>
    <w:rsid w:val="464E0A98"/>
    <w:rsid w:val="470B61DD"/>
    <w:rsid w:val="478979FD"/>
    <w:rsid w:val="4808780F"/>
    <w:rsid w:val="50114D7A"/>
    <w:rsid w:val="504B1ED2"/>
    <w:rsid w:val="54082F69"/>
    <w:rsid w:val="557D7DDB"/>
    <w:rsid w:val="562341D8"/>
    <w:rsid w:val="56784D42"/>
    <w:rsid w:val="579334BA"/>
    <w:rsid w:val="58813143"/>
    <w:rsid w:val="59792AEC"/>
    <w:rsid w:val="5A6460E5"/>
    <w:rsid w:val="5C626954"/>
    <w:rsid w:val="5CAF05F7"/>
    <w:rsid w:val="5DDF06BF"/>
    <w:rsid w:val="63961BE0"/>
    <w:rsid w:val="650B2C61"/>
    <w:rsid w:val="658A2F16"/>
    <w:rsid w:val="65CC5D02"/>
    <w:rsid w:val="67BE1FEE"/>
    <w:rsid w:val="69F632C8"/>
    <w:rsid w:val="6EF370DC"/>
    <w:rsid w:val="71791F9E"/>
    <w:rsid w:val="747F2966"/>
    <w:rsid w:val="75625BED"/>
    <w:rsid w:val="771C067A"/>
    <w:rsid w:val="77EF5B0F"/>
    <w:rsid w:val="7DA0505C"/>
    <w:rsid w:val="7F47795F"/>
    <w:rsid w:val="7F67E19F"/>
    <w:rsid w:val="7F965B88"/>
    <w:rsid w:val="7FD54E08"/>
    <w:rsid w:val="B75BE98F"/>
    <w:rsid w:val="FBBDF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仿宋_GB2312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link w:val="16"/>
    <w:qFormat/>
    <w:uiPriority w:val="0"/>
    <w:pPr>
      <w:spacing w:before="50" w:beforeLines="50" w:beforeAutospacing="0" w:after="50" w:afterLines="5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Cs/>
      <w:color w:val="000000" w:themeColor="text1"/>
      <w:kern w:val="44"/>
      <w:szCs w:val="48"/>
      <w:lang w:bidi="ar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50" w:beforeLines="50" w:after="50" w:afterLines="50" w:line="560" w:lineRule="exact"/>
      <w:ind w:firstLine="723" w:firstLineChars="200"/>
      <w:outlineLvl w:val="1"/>
    </w:pPr>
    <w:rPr>
      <w:rFonts w:ascii="Times New Roman" w:hAnsi="Times New Roman"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spacing w:line="560" w:lineRule="exact"/>
      <w:outlineLvl w:val="2"/>
    </w:pPr>
    <w:rPr>
      <w:b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方正仿宋_GB2312"/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spacing w:afterLines="0" w:afterAutospacing="0"/>
    </w:p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link w:val="15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360" w:lineRule="exact"/>
      <w:ind w:left="0" w:right="0" w:firstLine="420" w:firstLineChars="200"/>
      <w:jc w:val="left"/>
    </w:pPr>
    <w:rPr>
      <w:rFonts w:ascii="Times New Roman" w:hAnsi="Times New Roman" w:eastAsia="仿宋_GB2312" w:cs="Times New Roman"/>
      <w:sz w:val="18"/>
      <w:szCs w:val="18"/>
      <w:lang w:bidi="ar"/>
    </w:rPr>
  </w:style>
  <w:style w:type="paragraph" w:styleId="12">
    <w:name w:val="Body Text First Indent 2"/>
    <w:basedOn w:val="8"/>
    <w:qFormat/>
    <w:uiPriority w:val="0"/>
    <w:pPr>
      <w:ind w:left="0" w:leftChars="0" w:firstLine="420" w:firstLineChars="200"/>
    </w:pPr>
  </w:style>
  <w:style w:type="character" w:customStyle="1" w:styleId="15">
    <w:name w:val="脚注文本 字符"/>
    <w:basedOn w:val="14"/>
    <w:link w:val="11"/>
    <w:qFormat/>
    <w:uiPriority w:val="0"/>
    <w:rPr>
      <w:rFonts w:hint="default" w:ascii="Times New Roman" w:hAnsi="Times New Roman" w:eastAsia="仿宋_GB2312" w:cs="Times New Roman"/>
      <w:sz w:val="18"/>
      <w:szCs w:val="18"/>
    </w:rPr>
  </w:style>
  <w:style w:type="character" w:customStyle="1" w:styleId="16">
    <w:name w:val="标题 1 字符"/>
    <w:basedOn w:val="14"/>
    <w:link w:val="2"/>
    <w:qFormat/>
    <w:uiPriority w:val="0"/>
    <w:rPr>
      <w:rFonts w:ascii="宋体" w:hAnsi="宋体" w:eastAsia="黑体" w:cs="宋体"/>
      <w:bCs/>
      <w:color w:val="000000" w:themeColor="text1"/>
      <w:kern w:val="44"/>
      <w:sz w:val="32"/>
      <w:szCs w:val="21"/>
      <w14:textFill>
        <w14:solidFill>
          <w14:schemeClr w14:val="tx1"/>
        </w14:solidFill>
      </w14:textFill>
    </w:rPr>
  </w:style>
  <w:style w:type="character" w:customStyle="1" w:styleId="17">
    <w:name w:val="标题 2 字符"/>
    <w:basedOn w:val="14"/>
    <w:link w:val="3"/>
    <w:qFormat/>
    <w:uiPriority w:val="0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18">
    <w:name w:val="标题 3 Char"/>
    <w:link w:val="4"/>
    <w:qFormat/>
    <w:uiPriority w:val="0"/>
    <w:rPr>
      <w:rFonts w:ascii="Times New Roman" w:hAnsi="Times New Roman" w:eastAsia="仿宋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2023-08-04T22:42:00Z</dcterms:created>
  <dc:creator>李海娟</dc:creator>
  <cp:lastModifiedBy>如</cp:lastModifiedBy>
  <dcterms:modified xsi:type="dcterms:W3CDTF">2023-11-17T13:17:08Z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7E08A8AD65B24B1EA18B7B298486D086_13</vt:lpwstr>
  </property>
</Properties>
</file>