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ascii="仿宋_GB2312" w:hAnsi="仿宋" w:eastAsia="仿宋_GB2312" w:cs="Times New Roman"/>
          <w:color w:val="000000"/>
          <w:sz w:val="32"/>
          <w:szCs w:val="32"/>
        </w:rPr>
      </w:pPr>
    </w:p>
    <w:p>
      <w:pPr>
        <w:spacing w:line="560" w:lineRule="exact"/>
        <w:rPr>
          <w:rFonts w:ascii="仿宋_GB2312" w:hAnsi="仿宋" w:eastAsia="仿宋_GB2312" w:cs="Times New Roman"/>
          <w:color w:val="000000"/>
          <w:sz w:val="32"/>
          <w:szCs w:val="32"/>
        </w:rPr>
      </w:pPr>
    </w:p>
    <w:p>
      <w:pPr>
        <w:spacing w:line="360" w:lineRule="auto"/>
        <w:jc w:val="center"/>
        <w:rPr>
          <w:rFonts w:ascii="Times New Roman" w:hAnsi="Times New Roman" w:eastAsia="方正小标宋简体" w:cs="Times New Roman"/>
          <w:sz w:val="52"/>
          <w:szCs w:val="48"/>
        </w:rPr>
      </w:pPr>
    </w:p>
    <w:p>
      <w:pPr>
        <w:spacing w:line="360" w:lineRule="auto"/>
        <w:jc w:val="center"/>
        <w:rPr>
          <w:rFonts w:ascii="Times New Roman" w:hAnsi="Times New Roman" w:eastAsia="方正小标宋简体" w:cs="Times New Roman"/>
          <w:sz w:val="52"/>
          <w:szCs w:val="48"/>
        </w:rPr>
      </w:pPr>
    </w:p>
    <w:p>
      <w:pPr>
        <w:spacing w:line="360" w:lineRule="auto"/>
        <w:jc w:val="center"/>
        <w:rPr>
          <w:rFonts w:ascii="Times New Roman" w:hAnsi="Times New Roman" w:eastAsia="方正小标宋简体" w:cs="Times New Roman"/>
          <w:sz w:val="52"/>
          <w:szCs w:val="48"/>
        </w:rPr>
      </w:pPr>
    </w:p>
    <w:p>
      <w:pPr>
        <w:spacing w:line="360" w:lineRule="auto"/>
        <w:jc w:val="center"/>
        <w:rPr>
          <w:rFonts w:ascii="Times New Roman" w:hAnsi="Times New Roman" w:eastAsia="方正小标宋简体" w:cs="Times New Roman"/>
          <w:sz w:val="52"/>
          <w:szCs w:val="48"/>
        </w:rPr>
      </w:pPr>
      <w:r>
        <w:rPr>
          <w:rFonts w:ascii="Times New Roman" w:hAnsi="Times New Roman" w:eastAsia="方正小标宋简体" w:cs="Times New Roman"/>
          <w:sz w:val="52"/>
          <w:szCs w:val="48"/>
        </w:rPr>
        <w:t>光明区现代产业发展中长期规划</w:t>
      </w:r>
    </w:p>
    <w:p>
      <w:pPr>
        <w:spacing w:line="360" w:lineRule="auto"/>
        <w:jc w:val="center"/>
        <w:rPr>
          <w:rFonts w:ascii="Times New Roman" w:hAnsi="Times New Roman" w:eastAsia="方正小标宋简体" w:cs="Times New Roman"/>
          <w:sz w:val="52"/>
          <w:szCs w:val="48"/>
        </w:rPr>
      </w:pPr>
      <w:r>
        <w:rPr>
          <w:rFonts w:ascii="Times New Roman" w:hAnsi="Times New Roman" w:eastAsia="方正小标宋简体" w:cs="Times New Roman"/>
          <w:sz w:val="52"/>
          <w:szCs w:val="48"/>
        </w:rPr>
        <w:t>（2019—2035年）</w:t>
      </w:r>
    </w:p>
    <w:p>
      <w:pPr>
        <w:spacing w:line="560" w:lineRule="exact"/>
        <w:ind w:firstLine="640" w:firstLineChars="200"/>
        <w:rPr>
          <w:rFonts w:ascii="仿宋_GB2312" w:hAnsi="仿宋" w:eastAsia="仿宋_GB2312" w:cs="Times New Roman"/>
          <w:color w:val="000000"/>
          <w:sz w:val="32"/>
          <w:szCs w:val="32"/>
        </w:rPr>
      </w:pPr>
    </w:p>
    <w:p>
      <w:pPr>
        <w:spacing w:line="560" w:lineRule="exact"/>
        <w:ind w:firstLine="640" w:firstLineChars="200"/>
        <w:rPr>
          <w:rFonts w:ascii="仿宋_GB2312" w:hAnsi="仿宋" w:eastAsia="仿宋_GB2312" w:cs="Times New Roman"/>
          <w:color w:val="000000"/>
          <w:sz w:val="32"/>
          <w:szCs w:val="32"/>
        </w:rPr>
      </w:pPr>
    </w:p>
    <w:p>
      <w:pPr>
        <w:spacing w:line="560" w:lineRule="exact"/>
        <w:ind w:firstLine="640" w:firstLineChars="200"/>
        <w:rPr>
          <w:rFonts w:ascii="仿宋_GB2312" w:hAnsi="仿宋" w:eastAsia="仿宋_GB2312" w:cs="Times New Roman"/>
          <w:color w:val="000000"/>
          <w:sz w:val="32"/>
          <w:szCs w:val="32"/>
        </w:rPr>
      </w:pPr>
    </w:p>
    <w:p>
      <w:pPr>
        <w:spacing w:line="560" w:lineRule="exact"/>
        <w:ind w:firstLine="640" w:firstLineChars="200"/>
        <w:rPr>
          <w:rFonts w:ascii="仿宋_GB2312" w:hAnsi="仿宋" w:eastAsia="仿宋_GB2312" w:cs="Times New Roman"/>
          <w:color w:val="000000"/>
          <w:sz w:val="32"/>
          <w:szCs w:val="32"/>
        </w:rPr>
      </w:pPr>
    </w:p>
    <w:p>
      <w:pPr>
        <w:spacing w:line="560" w:lineRule="exact"/>
        <w:rPr>
          <w:rFonts w:ascii="仿宋_GB2312" w:hAnsi="仿宋" w:eastAsia="仿宋_GB2312" w:cs="Times New Roman"/>
          <w:color w:val="000000"/>
          <w:sz w:val="32"/>
          <w:szCs w:val="32"/>
        </w:rPr>
      </w:pPr>
    </w:p>
    <w:p>
      <w:pPr>
        <w:spacing w:line="560" w:lineRule="exact"/>
        <w:rPr>
          <w:rFonts w:ascii="仿宋_GB2312" w:hAnsi="仿宋" w:eastAsia="仿宋_GB2312" w:cs="Times New Roman"/>
          <w:color w:val="000000"/>
          <w:sz w:val="32"/>
          <w:szCs w:val="32"/>
        </w:rPr>
      </w:pPr>
    </w:p>
    <w:p>
      <w:pPr>
        <w:spacing w:line="560" w:lineRule="exact"/>
        <w:rPr>
          <w:rFonts w:ascii="仿宋_GB2312" w:hAnsi="仿宋" w:eastAsia="仿宋_GB2312" w:cs="Times New Roman"/>
          <w:color w:val="000000"/>
          <w:sz w:val="32"/>
          <w:szCs w:val="32"/>
        </w:rPr>
      </w:pPr>
    </w:p>
    <w:p>
      <w:pPr>
        <w:spacing w:line="560" w:lineRule="exact"/>
        <w:rPr>
          <w:rFonts w:ascii="仿宋_GB2312" w:hAnsi="仿宋" w:eastAsia="仿宋_GB2312" w:cs="Times New Roman"/>
          <w:color w:val="000000"/>
          <w:sz w:val="32"/>
          <w:szCs w:val="32"/>
        </w:rPr>
      </w:pPr>
    </w:p>
    <w:p>
      <w:pPr>
        <w:spacing w:line="560" w:lineRule="exact"/>
        <w:rPr>
          <w:rFonts w:ascii="仿宋_GB2312" w:hAnsi="仿宋" w:eastAsia="仿宋_GB2312" w:cs="Times New Roman"/>
          <w:color w:val="000000"/>
          <w:sz w:val="32"/>
          <w:szCs w:val="32"/>
        </w:rPr>
      </w:pPr>
    </w:p>
    <w:p>
      <w:pPr>
        <w:spacing w:line="560" w:lineRule="exact"/>
        <w:rPr>
          <w:rFonts w:ascii="仿宋_GB2312" w:hAnsi="仿宋" w:eastAsia="仿宋_GB2312" w:cs="Times New Roman"/>
          <w:color w:val="000000"/>
          <w:sz w:val="32"/>
          <w:szCs w:val="32"/>
        </w:rPr>
      </w:pPr>
    </w:p>
    <w:p>
      <w:pPr>
        <w:spacing w:line="560" w:lineRule="exact"/>
        <w:rPr>
          <w:rFonts w:ascii="仿宋_GB2312" w:hAnsi="仿宋" w:eastAsia="仿宋_GB2312" w:cs="Times New Roman"/>
          <w:color w:val="000000"/>
          <w:sz w:val="32"/>
          <w:szCs w:val="32"/>
        </w:rPr>
      </w:pPr>
    </w:p>
    <w:p>
      <w:pPr>
        <w:spacing w:line="560" w:lineRule="exact"/>
        <w:rPr>
          <w:rFonts w:ascii="仿宋_GB2312" w:hAnsi="仿宋" w:eastAsia="仿宋_GB2312" w:cs="Times New Roman"/>
          <w:color w:val="000000"/>
          <w:sz w:val="32"/>
          <w:szCs w:val="32"/>
        </w:rPr>
      </w:pPr>
    </w:p>
    <w:p>
      <w:pPr>
        <w:spacing w:line="560" w:lineRule="exact"/>
        <w:jc w:val="center"/>
        <w:rPr>
          <w:rFonts w:cs="Calibri" w:asciiTheme="minorEastAsia" w:hAnsiTheme="minorEastAsia"/>
          <w:b/>
          <w:color w:val="000000"/>
          <w:sz w:val="32"/>
          <w:szCs w:val="32"/>
        </w:rPr>
      </w:pPr>
      <w:r>
        <w:rPr>
          <w:rFonts w:cs="Calibri" w:asciiTheme="minorEastAsia" w:hAnsiTheme="minorEastAsia"/>
          <w:b/>
          <w:color w:val="000000"/>
          <w:sz w:val="32"/>
          <w:szCs w:val="32"/>
        </w:rPr>
        <w:t>深圳市光明区发展和</w:t>
      </w:r>
      <w:r>
        <w:rPr>
          <w:rFonts w:hint="eastAsia" w:cs="Calibri" w:asciiTheme="minorEastAsia" w:hAnsiTheme="minorEastAsia"/>
          <w:b/>
          <w:color w:val="000000"/>
          <w:sz w:val="32"/>
          <w:szCs w:val="32"/>
        </w:rPr>
        <w:t>改革</w:t>
      </w:r>
      <w:r>
        <w:rPr>
          <w:rFonts w:cs="Calibri" w:asciiTheme="minorEastAsia" w:hAnsiTheme="minorEastAsia"/>
          <w:b/>
          <w:color w:val="000000"/>
          <w:sz w:val="32"/>
          <w:szCs w:val="32"/>
        </w:rPr>
        <w:t>局</w:t>
      </w:r>
    </w:p>
    <w:p>
      <w:pPr>
        <w:spacing w:line="560" w:lineRule="exact"/>
        <w:jc w:val="center"/>
        <w:rPr>
          <w:rFonts w:cs="Calibri" w:asciiTheme="minorEastAsia" w:hAnsiTheme="minorEastAsia"/>
          <w:b/>
          <w:color w:val="000000"/>
          <w:sz w:val="32"/>
          <w:szCs w:val="32"/>
        </w:rPr>
      </w:pPr>
      <w:r>
        <w:rPr>
          <w:rFonts w:hint="eastAsia" w:cs="Calibri" w:asciiTheme="minorEastAsia" w:hAnsiTheme="minorEastAsia"/>
          <w:b/>
          <w:color w:val="000000"/>
          <w:sz w:val="32"/>
          <w:szCs w:val="32"/>
        </w:rPr>
        <w:t>二〇一九年十二月</w:t>
      </w:r>
    </w:p>
    <w:p>
      <w:pPr>
        <w:spacing w:line="560" w:lineRule="exact"/>
        <w:jc w:val="center"/>
        <w:rPr>
          <w:rFonts w:cs="Calibri" w:asciiTheme="minorEastAsia" w:hAnsiTheme="minorEastAsia"/>
          <w:b/>
          <w:color w:val="000000"/>
          <w:sz w:val="32"/>
          <w:szCs w:val="32"/>
        </w:rPr>
      </w:pPr>
    </w:p>
    <w:p>
      <w:pPr>
        <w:widowControl/>
        <w:jc w:val="left"/>
        <w:rPr>
          <w:rFonts w:cs="Calibri" w:asciiTheme="minorEastAsia" w:hAnsiTheme="minorEastAsia"/>
          <w:b/>
          <w:color w:val="000000"/>
          <w:sz w:val="32"/>
          <w:szCs w:val="32"/>
        </w:rPr>
      </w:pPr>
      <w:r>
        <w:rPr>
          <w:rFonts w:cs="Calibri" w:asciiTheme="minorEastAsia" w:hAnsiTheme="minorEastAsia"/>
          <w:b/>
          <w:color w:val="000000"/>
          <w:sz w:val="32"/>
          <w:szCs w:val="32"/>
        </w:rPr>
        <w:br w:type="page"/>
      </w:r>
    </w:p>
    <w:sdt>
      <w:sdtPr>
        <w:rPr>
          <w:rFonts w:asciiTheme="minorHAnsi" w:hAnsiTheme="minorHAnsi" w:eastAsiaTheme="minorEastAsia" w:cstheme="minorBidi"/>
          <w:b w:val="0"/>
          <w:color w:val="auto"/>
          <w:kern w:val="2"/>
          <w:sz w:val="21"/>
          <w:szCs w:val="22"/>
          <w:lang w:val="zh-CN"/>
        </w:rPr>
        <w:id w:val="30534992"/>
        <w:docPartObj>
          <w:docPartGallery w:val="Table of Contents"/>
          <w:docPartUnique/>
        </w:docPartObj>
      </w:sdtPr>
      <w:sdtEndPr>
        <w:rPr>
          <w:rFonts w:ascii="Times New Roman" w:hAnsi="Times New Roman" w:eastAsia="仿宋_GB2312" w:cs="Times New Roman"/>
          <w:b w:val="0"/>
          <w:bCs/>
          <w:color w:val="auto"/>
          <w:kern w:val="2"/>
          <w:sz w:val="21"/>
          <w:szCs w:val="22"/>
          <w:lang w:val="zh-CN"/>
        </w:rPr>
      </w:sdtEndPr>
      <w:sdtContent>
        <w:p>
          <w:pPr>
            <w:pStyle w:val="32"/>
            <w:ind w:firstLine="420"/>
            <w:jc w:val="center"/>
            <w:rPr>
              <w:rFonts w:ascii="黑体" w:hAnsi="黑体" w:eastAsia="黑体" w:cs="Times New Roman"/>
              <w:b w:val="0"/>
              <w:color w:val="auto"/>
              <w:sz w:val="44"/>
              <w:lang w:val="zh-CN"/>
            </w:rPr>
          </w:pPr>
          <w:r>
            <w:rPr>
              <w:rFonts w:hint="eastAsia" w:ascii="黑体" w:hAnsi="黑体" w:eastAsia="黑体" w:cs="Times New Roman"/>
              <w:b w:val="0"/>
              <w:color w:val="auto"/>
              <w:sz w:val="44"/>
              <w:lang w:val="zh-CN"/>
            </w:rPr>
            <w:t>目</w:t>
          </w:r>
          <w:r>
            <w:rPr>
              <w:rFonts w:ascii="黑体" w:hAnsi="黑体" w:eastAsia="黑体" w:cs="Times New Roman"/>
              <w:b w:val="0"/>
              <w:color w:val="auto"/>
              <w:sz w:val="44"/>
              <w:lang w:val="zh-CN"/>
            </w:rPr>
            <w:t xml:space="preserve">  </w:t>
          </w:r>
          <w:r>
            <w:rPr>
              <w:rFonts w:hint="eastAsia" w:ascii="黑体" w:hAnsi="黑体" w:eastAsia="黑体" w:cs="Times New Roman"/>
              <w:b w:val="0"/>
              <w:color w:val="auto"/>
              <w:sz w:val="44"/>
              <w:lang w:val="zh-CN"/>
            </w:rPr>
            <w:t>录</w:t>
          </w:r>
        </w:p>
        <w:p>
          <w:pPr>
            <w:tabs>
              <w:tab w:val="left" w:pos="2955"/>
            </w:tabs>
            <w:spacing w:line="281" w:lineRule="auto"/>
            <w:rPr>
              <w:lang w:val="zh-CN"/>
            </w:rPr>
          </w:pPr>
          <w:r>
            <w:rPr>
              <w:lang w:val="zh-CN"/>
            </w:rPr>
            <w:tab/>
          </w:r>
        </w:p>
        <w:p>
          <w:pPr>
            <w:pStyle w:val="12"/>
            <w:adjustRightInd w:val="0"/>
            <w:snapToGrid w:val="0"/>
            <w:spacing w:line="360" w:lineRule="auto"/>
            <w:rPr>
              <w:rFonts w:asciiTheme="minorHAnsi" w:hAnsiTheme="minorHAnsi" w:eastAsiaTheme="minorEastAsia" w:cstheme="minorBidi"/>
              <w:sz w:val="21"/>
              <w:szCs w:val="22"/>
            </w:rPr>
          </w:pPr>
          <w:r>
            <w:rPr>
              <w:rFonts w:ascii="Times New Roman" w:hAnsi="Times New Roman"/>
            </w:rPr>
            <w:fldChar w:fldCharType="begin"/>
          </w:r>
          <w:r>
            <w:rPr>
              <w:rFonts w:ascii="Times New Roman" w:hAnsi="Times New Roman"/>
            </w:rPr>
            <w:instrText xml:space="preserve"> TOC \o "1-3" \h \z \u </w:instrText>
          </w:r>
          <w:r>
            <w:rPr>
              <w:rFonts w:ascii="Times New Roman" w:hAnsi="Times New Roman"/>
            </w:rPr>
            <w:fldChar w:fldCharType="separate"/>
          </w:r>
          <w:r>
            <w:fldChar w:fldCharType="begin"/>
          </w:r>
          <w:r>
            <w:instrText xml:space="preserve"> HYPERLINK \l "_Toc3583565" </w:instrText>
          </w:r>
          <w:r>
            <w:fldChar w:fldCharType="separate"/>
          </w:r>
          <w:r>
            <w:rPr>
              <w:rStyle w:val="22"/>
              <w:rFonts w:hint="eastAsia"/>
            </w:rPr>
            <w:t>一、新形势新使命新征程</w:t>
          </w:r>
          <w:r>
            <w:tab/>
          </w:r>
          <w:r>
            <w:rPr>
              <w:rFonts w:ascii="楷体_GB2312" w:eastAsia="楷体_GB2312" w:hAnsiTheme="minorHAnsi" w:cstheme="minorBidi"/>
            </w:rPr>
            <w:fldChar w:fldCharType="begin"/>
          </w:r>
          <w:r>
            <w:rPr>
              <w:rFonts w:ascii="楷体_GB2312" w:eastAsia="楷体_GB2312" w:hAnsiTheme="minorHAnsi" w:cstheme="minorBidi"/>
            </w:rPr>
            <w:instrText xml:space="preserve"> PAGEREF _Toc3583565 \h </w:instrText>
          </w:r>
          <w:r>
            <w:rPr>
              <w:rFonts w:ascii="楷体_GB2312" w:eastAsia="楷体_GB2312" w:hAnsiTheme="minorHAnsi" w:cstheme="minorBidi"/>
            </w:rPr>
            <w:fldChar w:fldCharType="separate"/>
          </w:r>
          <w:r>
            <w:rPr>
              <w:rFonts w:ascii="楷体_GB2312" w:eastAsia="楷体_GB2312" w:hAnsiTheme="minorHAnsi" w:cstheme="minorBidi"/>
            </w:rPr>
            <w:t>1</w:t>
          </w:r>
          <w:r>
            <w:rPr>
              <w:rFonts w:ascii="楷体_GB2312" w:eastAsia="楷体_GB2312" w:hAnsiTheme="minorHAnsi" w:cstheme="minorBidi"/>
            </w:rPr>
            <w:fldChar w:fldCharType="end"/>
          </w:r>
          <w:r>
            <w:rPr>
              <w:rFonts w:ascii="楷体_GB2312" w:eastAsia="楷体_GB2312" w:hAnsiTheme="minorHAnsi" w:cstheme="minorBidi"/>
            </w:rPr>
            <w:fldChar w:fldCharType="end"/>
          </w:r>
        </w:p>
        <w:p>
          <w:pPr>
            <w:pStyle w:val="14"/>
            <w:spacing w:line="360" w:lineRule="auto"/>
            <w:rPr>
              <w:rFonts w:asciiTheme="minorHAnsi" w:eastAsiaTheme="minorEastAsia"/>
              <w:sz w:val="21"/>
              <w:szCs w:val="22"/>
            </w:rPr>
          </w:pPr>
          <w:r>
            <w:fldChar w:fldCharType="begin"/>
          </w:r>
          <w:r>
            <w:instrText xml:space="preserve"> HYPERLINK \l "_Toc3583566" </w:instrText>
          </w:r>
          <w:r>
            <w:fldChar w:fldCharType="separate"/>
          </w:r>
          <w:r>
            <w:rPr>
              <w:rStyle w:val="22"/>
              <w:rFonts w:hint="eastAsia"/>
            </w:rPr>
            <w:t>（一）战略机遇</w:t>
          </w:r>
          <w:r>
            <w:tab/>
          </w:r>
          <w:r>
            <w:fldChar w:fldCharType="begin"/>
          </w:r>
          <w:r>
            <w:instrText xml:space="preserve"> PAGEREF _Toc3583566 \h </w:instrText>
          </w:r>
          <w:r>
            <w:fldChar w:fldCharType="separate"/>
          </w:r>
          <w:r>
            <w:t>1</w:t>
          </w:r>
          <w:r>
            <w:fldChar w:fldCharType="end"/>
          </w:r>
          <w:r>
            <w:fldChar w:fldCharType="end"/>
          </w:r>
        </w:p>
        <w:p>
          <w:pPr>
            <w:pStyle w:val="6"/>
            <w:adjustRightInd w:val="0"/>
            <w:snapToGrid w:val="0"/>
            <w:rPr>
              <w:rFonts w:asciiTheme="minorHAnsi" w:hAnsiTheme="minorHAnsi" w:eastAsiaTheme="minorEastAsia" w:cstheme="minorBidi"/>
              <w:sz w:val="21"/>
              <w:szCs w:val="22"/>
            </w:rPr>
          </w:pPr>
          <w:r>
            <w:fldChar w:fldCharType="begin"/>
          </w:r>
          <w:r>
            <w:instrText xml:space="preserve"> HYPERLINK \l "_Toc3583567" </w:instrText>
          </w:r>
          <w:r>
            <w:fldChar w:fldCharType="separate"/>
          </w:r>
          <w:r>
            <w:rPr>
              <w:rStyle w:val="22"/>
              <w:rFonts w:ascii="仿宋_GB2312" w:hAnsi="仿宋" w:eastAsia="仿宋_GB2312" w:cs="Times New Roman"/>
            </w:rPr>
            <w:t>1.</w:t>
          </w:r>
          <w:r>
            <w:rPr>
              <w:rStyle w:val="22"/>
              <w:rFonts w:hint="eastAsia" w:ascii="仿宋_GB2312" w:hAnsi="仿宋" w:eastAsia="仿宋_GB2312" w:cs="Times New Roman"/>
            </w:rPr>
            <w:t>新一轮科技革命是光明实现弯道超车的时间窗口</w:t>
          </w:r>
          <w:r>
            <w:tab/>
          </w:r>
          <w:r>
            <w:fldChar w:fldCharType="begin"/>
          </w:r>
          <w:r>
            <w:instrText xml:space="preserve"> PAGEREF _Toc3583567 \h </w:instrText>
          </w:r>
          <w:r>
            <w:fldChar w:fldCharType="separate"/>
          </w:r>
          <w:r>
            <w:t>1</w:t>
          </w:r>
          <w:r>
            <w:fldChar w:fldCharType="end"/>
          </w:r>
          <w:r>
            <w:fldChar w:fldCharType="end"/>
          </w:r>
        </w:p>
        <w:p>
          <w:pPr>
            <w:pStyle w:val="6"/>
            <w:adjustRightInd w:val="0"/>
            <w:snapToGrid w:val="0"/>
            <w:rPr>
              <w:rFonts w:asciiTheme="minorHAnsi" w:hAnsiTheme="minorHAnsi" w:eastAsiaTheme="minorEastAsia" w:cstheme="minorBidi"/>
              <w:sz w:val="21"/>
              <w:szCs w:val="22"/>
            </w:rPr>
          </w:pPr>
          <w:r>
            <w:fldChar w:fldCharType="begin"/>
          </w:r>
          <w:r>
            <w:instrText xml:space="preserve"> HYPERLINK \l "_Toc3583568" </w:instrText>
          </w:r>
          <w:r>
            <w:fldChar w:fldCharType="separate"/>
          </w:r>
          <w:r>
            <w:rPr>
              <w:rStyle w:val="22"/>
              <w:rFonts w:ascii="仿宋_GB2312" w:hAnsi="仿宋" w:eastAsia="仿宋_GB2312" w:cs="Times New Roman"/>
            </w:rPr>
            <w:t>2.</w:t>
          </w:r>
          <w:r>
            <w:rPr>
              <w:rStyle w:val="22"/>
              <w:rFonts w:hint="eastAsia" w:ascii="仿宋_GB2312" w:hAnsi="仿宋" w:eastAsia="仿宋_GB2312" w:cs="Times New Roman"/>
            </w:rPr>
            <w:t>粤港澳大湾区是光明跨区域协同创新的“朋友圈”</w:t>
          </w:r>
          <w:r>
            <w:tab/>
          </w:r>
          <w:r>
            <w:fldChar w:fldCharType="begin"/>
          </w:r>
          <w:r>
            <w:instrText xml:space="preserve"> PAGEREF _Toc3583568 \h </w:instrText>
          </w:r>
          <w:r>
            <w:fldChar w:fldCharType="separate"/>
          </w:r>
          <w:r>
            <w:t>1</w:t>
          </w:r>
          <w:r>
            <w:fldChar w:fldCharType="end"/>
          </w:r>
          <w:r>
            <w:fldChar w:fldCharType="end"/>
          </w:r>
        </w:p>
        <w:p>
          <w:pPr>
            <w:pStyle w:val="6"/>
            <w:adjustRightInd w:val="0"/>
            <w:snapToGrid w:val="0"/>
            <w:rPr>
              <w:rFonts w:asciiTheme="minorHAnsi" w:hAnsiTheme="minorHAnsi" w:eastAsiaTheme="minorEastAsia" w:cstheme="minorBidi"/>
              <w:sz w:val="21"/>
              <w:szCs w:val="22"/>
            </w:rPr>
          </w:pPr>
          <w:r>
            <w:fldChar w:fldCharType="begin"/>
          </w:r>
          <w:r>
            <w:instrText xml:space="preserve"> HYPERLINK \l "_Toc3583569" </w:instrText>
          </w:r>
          <w:r>
            <w:fldChar w:fldCharType="separate"/>
          </w:r>
          <w:r>
            <w:rPr>
              <w:rStyle w:val="22"/>
              <w:rFonts w:ascii="仿宋_GB2312" w:hAnsi="仿宋" w:eastAsia="仿宋_GB2312" w:cs="Times New Roman"/>
            </w:rPr>
            <w:t>3.</w:t>
          </w:r>
          <w:r>
            <w:rPr>
              <w:rStyle w:val="22"/>
              <w:rFonts w:hint="eastAsia" w:ascii="仿宋_GB2312" w:hAnsi="仿宋" w:eastAsia="仿宋_GB2312" w:cs="Times New Roman"/>
            </w:rPr>
            <w:t>中国特色社会主义先行示范区建设助力光明提升战略地位</w:t>
          </w:r>
          <w:r>
            <w:tab/>
          </w:r>
          <w:r>
            <w:fldChar w:fldCharType="begin"/>
          </w:r>
          <w:r>
            <w:instrText xml:space="preserve"> PAGEREF _Toc3583569 \h </w:instrText>
          </w:r>
          <w:r>
            <w:fldChar w:fldCharType="separate"/>
          </w:r>
          <w:r>
            <w:t>1</w:t>
          </w:r>
          <w:r>
            <w:fldChar w:fldCharType="end"/>
          </w:r>
          <w:r>
            <w:fldChar w:fldCharType="end"/>
          </w:r>
        </w:p>
        <w:p>
          <w:pPr>
            <w:pStyle w:val="6"/>
            <w:adjustRightInd w:val="0"/>
            <w:snapToGrid w:val="0"/>
            <w:rPr>
              <w:rFonts w:asciiTheme="minorHAnsi" w:hAnsiTheme="minorHAnsi" w:eastAsiaTheme="minorEastAsia" w:cstheme="minorBidi"/>
              <w:sz w:val="21"/>
              <w:szCs w:val="22"/>
            </w:rPr>
          </w:pPr>
          <w:r>
            <w:fldChar w:fldCharType="begin"/>
          </w:r>
          <w:r>
            <w:instrText xml:space="preserve"> HYPERLINK \l "_Toc3583570" </w:instrText>
          </w:r>
          <w:r>
            <w:fldChar w:fldCharType="separate"/>
          </w:r>
          <w:r>
            <w:rPr>
              <w:rStyle w:val="22"/>
              <w:rFonts w:ascii="仿宋_GB2312" w:hAnsi="仿宋" w:eastAsia="仿宋_GB2312" w:cs="Times New Roman"/>
            </w:rPr>
            <w:t>4.</w:t>
          </w:r>
          <w:r>
            <w:rPr>
              <w:rStyle w:val="22"/>
              <w:rFonts w:hint="eastAsia" w:ascii="仿宋_GB2312" w:hAnsi="仿宋" w:eastAsia="仿宋_GB2312" w:cs="Times New Roman"/>
            </w:rPr>
            <w:t>批复设立行政区是光明迎来再次腾飞的重大契机</w:t>
          </w:r>
          <w:r>
            <w:tab/>
          </w:r>
          <w:r>
            <w:fldChar w:fldCharType="begin"/>
          </w:r>
          <w:r>
            <w:instrText xml:space="preserve"> PAGEREF _Toc3583570 \h </w:instrText>
          </w:r>
          <w:r>
            <w:fldChar w:fldCharType="separate"/>
          </w:r>
          <w:r>
            <w:t>2</w:t>
          </w:r>
          <w:r>
            <w:fldChar w:fldCharType="end"/>
          </w:r>
          <w:r>
            <w:fldChar w:fldCharType="end"/>
          </w:r>
        </w:p>
        <w:p>
          <w:pPr>
            <w:pStyle w:val="14"/>
            <w:spacing w:line="360" w:lineRule="auto"/>
            <w:rPr>
              <w:rFonts w:asciiTheme="minorHAnsi" w:eastAsiaTheme="minorEastAsia"/>
              <w:sz w:val="21"/>
              <w:szCs w:val="22"/>
            </w:rPr>
          </w:pPr>
          <w:r>
            <w:fldChar w:fldCharType="begin"/>
          </w:r>
          <w:r>
            <w:instrText xml:space="preserve"> HYPERLINK \l "_Toc3583571" </w:instrText>
          </w:r>
          <w:r>
            <w:fldChar w:fldCharType="separate"/>
          </w:r>
          <w:r>
            <w:rPr>
              <w:rStyle w:val="22"/>
              <w:rFonts w:hint="eastAsia"/>
            </w:rPr>
            <w:t>（二）发展基础</w:t>
          </w:r>
          <w:r>
            <w:tab/>
          </w:r>
          <w:r>
            <w:fldChar w:fldCharType="begin"/>
          </w:r>
          <w:r>
            <w:instrText xml:space="preserve"> PAGEREF _Toc3583571 \h </w:instrText>
          </w:r>
          <w:r>
            <w:fldChar w:fldCharType="separate"/>
          </w:r>
          <w:r>
            <w:t>2</w:t>
          </w:r>
          <w:r>
            <w:fldChar w:fldCharType="end"/>
          </w:r>
          <w:r>
            <w:fldChar w:fldCharType="end"/>
          </w:r>
        </w:p>
        <w:p>
          <w:pPr>
            <w:pStyle w:val="6"/>
            <w:adjustRightInd w:val="0"/>
            <w:snapToGrid w:val="0"/>
            <w:rPr>
              <w:rFonts w:asciiTheme="minorHAnsi" w:hAnsiTheme="minorHAnsi" w:eastAsiaTheme="minorEastAsia" w:cstheme="minorBidi"/>
              <w:sz w:val="21"/>
              <w:szCs w:val="22"/>
            </w:rPr>
          </w:pPr>
          <w:r>
            <w:fldChar w:fldCharType="begin"/>
          </w:r>
          <w:r>
            <w:instrText xml:space="preserve"> HYPERLINK \l "_Toc3583572" </w:instrText>
          </w:r>
          <w:r>
            <w:fldChar w:fldCharType="separate"/>
          </w:r>
          <w:r>
            <w:rPr>
              <w:rStyle w:val="22"/>
              <w:rFonts w:ascii="仿宋_GB2312" w:hAnsi="仿宋" w:eastAsia="仿宋_GB2312" w:cs="Times New Roman"/>
            </w:rPr>
            <w:t>1.</w:t>
          </w:r>
          <w:r>
            <w:rPr>
              <w:rStyle w:val="22"/>
              <w:rFonts w:hint="eastAsia" w:ascii="仿宋_GB2312" w:hAnsi="仿宋" w:eastAsia="仿宋_GB2312" w:cs="Times New Roman"/>
            </w:rPr>
            <w:t>经济综合实力迈上新台阶</w:t>
          </w:r>
          <w:r>
            <w:tab/>
          </w:r>
          <w:r>
            <w:fldChar w:fldCharType="begin"/>
          </w:r>
          <w:r>
            <w:instrText xml:space="preserve"> PAGEREF _Toc3583572 \h </w:instrText>
          </w:r>
          <w:r>
            <w:fldChar w:fldCharType="separate"/>
          </w:r>
          <w:r>
            <w:t>2</w:t>
          </w:r>
          <w:r>
            <w:fldChar w:fldCharType="end"/>
          </w:r>
          <w:r>
            <w:fldChar w:fldCharType="end"/>
          </w:r>
        </w:p>
        <w:p>
          <w:pPr>
            <w:pStyle w:val="6"/>
            <w:adjustRightInd w:val="0"/>
            <w:snapToGrid w:val="0"/>
            <w:rPr>
              <w:rFonts w:asciiTheme="minorHAnsi" w:hAnsiTheme="minorHAnsi" w:eastAsiaTheme="minorEastAsia" w:cstheme="minorBidi"/>
              <w:sz w:val="21"/>
              <w:szCs w:val="22"/>
            </w:rPr>
          </w:pPr>
          <w:r>
            <w:fldChar w:fldCharType="begin"/>
          </w:r>
          <w:r>
            <w:instrText xml:space="preserve"> HYPERLINK \l "_Toc3583573" </w:instrText>
          </w:r>
          <w:r>
            <w:fldChar w:fldCharType="separate"/>
          </w:r>
          <w:r>
            <w:rPr>
              <w:rStyle w:val="22"/>
              <w:rFonts w:ascii="仿宋_GB2312" w:hAnsi="仿宋" w:eastAsia="仿宋_GB2312" w:cs="Times New Roman"/>
            </w:rPr>
            <w:t>2.</w:t>
          </w:r>
          <w:r>
            <w:rPr>
              <w:rStyle w:val="22"/>
              <w:rFonts w:hint="eastAsia" w:ascii="仿宋_GB2312" w:hAnsi="仿宋" w:eastAsia="仿宋_GB2312" w:cs="Times New Roman"/>
            </w:rPr>
            <w:t>新兴产业主导地位逐渐凸显</w:t>
          </w:r>
          <w:r>
            <w:tab/>
          </w:r>
          <w:r>
            <w:fldChar w:fldCharType="begin"/>
          </w:r>
          <w:r>
            <w:instrText xml:space="preserve"> PAGEREF _Toc3583573 \h </w:instrText>
          </w:r>
          <w:r>
            <w:fldChar w:fldCharType="separate"/>
          </w:r>
          <w:r>
            <w:t>3</w:t>
          </w:r>
          <w:r>
            <w:fldChar w:fldCharType="end"/>
          </w:r>
          <w:r>
            <w:fldChar w:fldCharType="end"/>
          </w:r>
        </w:p>
        <w:p>
          <w:pPr>
            <w:pStyle w:val="6"/>
            <w:adjustRightInd w:val="0"/>
            <w:snapToGrid w:val="0"/>
            <w:rPr>
              <w:rFonts w:asciiTheme="minorHAnsi" w:hAnsiTheme="minorHAnsi" w:eastAsiaTheme="minorEastAsia" w:cstheme="minorBidi"/>
              <w:sz w:val="21"/>
              <w:szCs w:val="22"/>
            </w:rPr>
          </w:pPr>
          <w:r>
            <w:fldChar w:fldCharType="begin"/>
          </w:r>
          <w:r>
            <w:instrText xml:space="preserve"> HYPERLINK \l "_Toc3583574" </w:instrText>
          </w:r>
          <w:r>
            <w:fldChar w:fldCharType="separate"/>
          </w:r>
          <w:r>
            <w:rPr>
              <w:rStyle w:val="22"/>
              <w:rFonts w:ascii="仿宋_GB2312" w:hAnsi="仿宋" w:eastAsia="仿宋_GB2312" w:cs="Times New Roman"/>
            </w:rPr>
            <w:t>3.</w:t>
          </w:r>
          <w:r>
            <w:rPr>
              <w:rStyle w:val="22"/>
              <w:rFonts w:hint="eastAsia" w:ascii="仿宋_GB2312" w:hAnsi="仿宋" w:eastAsia="仿宋_GB2312" w:cs="Times New Roman"/>
            </w:rPr>
            <w:t>创新发展优势不断巩固</w:t>
          </w:r>
          <w:r>
            <w:tab/>
          </w:r>
          <w:r>
            <w:fldChar w:fldCharType="begin"/>
          </w:r>
          <w:r>
            <w:instrText xml:space="preserve"> PAGEREF _Toc3583574 \h </w:instrText>
          </w:r>
          <w:r>
            <w:fldChar w:fldCharType="separate"/>
          </w:r>
          <w:r>
            <w:t>3</w:t>
          </w:r>
          <w:r>
            <w:fldChar w:fldCharType="end"/>
          </w:r>
          <w:r>
            <w:fldChar w:fldCharType="end"/>
          </w:r>
        </w:p>
        <w:p>
          <w:pPr>
            <w:pStyle w:val="6"/>
            <w:adjustRightInd w:val="0"/>
            <w:snapToGrid w:val="0"/>
            <w:rPr>
              <w:rFonts w:asciiTheme="minorHAnsi" w:hAnsiTheme="minorHAnsi" w:eastAsiaTheme="minorEastAsia" w:cstheme="minorBidi"/>
              <w:sz w:val="21"/>
              <w:szCs w:val="22"/>
            </w:rPr>
          </w:pPr>
          <w:r>
            <w:fldChar w:fldCharType="begin"/>
          </w:r>
          <w:r>
            <w:instrText xml:space="preserve"> HYPERLINK \l "_Toc3583575" </w:instrText>
          </w:r>
          <w:r>
            <w:fldChar w:fldCharType="separate"/>
          </w:r>
          <w:r>
            <w:rPr>
              <w:rStyle w:val="22"/>
              <w:rFonts w:ascii="仿宋_GB2312" w:hAnsi="仿宋" w:eastAsia="仿宋_GB2312" w:cs="Times New Roman"/>
            </w:rPr>
            <w:t>4.</w:t>
          </w:r>
          <w:r>
            <w:rPr>
              <w:rStyle w:val="22"/>
              <w:rFonts w:hint="eastAsia" w:ascii="仿宋_GB2312" w:hAnsi="仿宋" w:eastAsia="仿宋_GB2312" w:cs="Times New Roman"/>
            </w:rPr>
            <w:t>区位生态优势得天独厚</w:t>
          </w:r>
          <w:r>
            <w:tab/>
          </w:r>
          <w:r>
            <w:fldChar w:fldCharType="begin"/>
          </w:r>
          <w:r>
            <w:instrText xml:space="preserve"> PAGEREF _Toc3583575 \h </w:instrText>
          </w:r>
          <w:r>
            <w:fldChar w:fldCharType="separate"/>
          </w:r>
          <w:r>
            <w:t>3</w:t>
          </w:r>
          <w:r>
            <w:fldChar w:fldCharType="end"/>
          </w:r>
          <w:r>
            <w:fldChar w:fldCharType="end"/>
          </w:r>
        </w:p>
        <w:p>
          <w:pPr>
            <w:pStyle w:val="14"/>
            <w:spacing w:line="360" w:lineRule="auto"/>
            <w:rPr>
              <w:rFonts w:asciiTheme="minorHAnsi" w:eastAsiaTheme="minorEastAsia"/>
              <w:sz w:val="21"/>
              <w:szCs w:val="22"/>
            </w:rPr>
          </w:pPr>
          <w:r>
            <w:fldChar w:fldCharType="begin"/>
          </w:r>
          <w:r>
            <w:instrText xml:space="preserve"> HYPERLINK \l "_Toc3583576" </w:instrText>
          </w:r>
          <w:r>
            <w:fldChar w:fldCharType="separate"/>
          </w:r>
          <w:r>
            <w:rPr>
              <w:rStyle w:val="22"/>
              <w:rFonts w:hint="eastAsia"/>
            </w:rPr>
            <w:t>（三）问题与挑战</w:t>
          </w:r>
          <w:r>
            <w:tab/>
          </w:r>
          <w:r>
            <w:fldChar w:fldCharType="begin"/>
          </w:r>
          <w:r>
            <w:instrText xml:space="preserve"> PAGEREF _Toc3583576 \h </w:instrText>
          </w:r>
          <w:r>
            <w:fldChar w:fldCharType="separate"/>
          </w:r>
          <w:r>
            <w:t>4</w:t>
          </w:r>
          <w:r>
            <w:fldChar w:fldCharType="end"/>
          </w:r>
          <w:r>
            <w:fldChar w:fldCharType="end"/>
          </w:r>
        </w:p>
        <w:p>
          <w:pPr>
            <w:pStyle w:val="6"/>
            <w:adjustRightInd w:val="0"/>
            <w:snapToGrid w:val="0"/>
            <w:rPr>
              <w:rFonts w:asciiTheme="minorHAnsi" w:hAnsiTheme="minorHAnsi" w:eastAsiaTheme="minorEastAsia" w:cstheme="minorBidi"/>
              <w:sz w:val="21"/>
              <w:szCs w:val="22"/>
            </w:rPr>
          </w:pPr>
          <w:r>
            <w:fldChar w:fldCharType="begin"/>
          </w:r>
          <w:r>
            <w:instrText xml:space="preserve"> HYPERLINK \l "_Toc3583577" </w:instrText>
          </w:r>
          <w:r>
            <w:fldChar w:fldCharType="separate"/>
          </w:r>
          <w:r>
            <w:rPr>
              <w:rStyle w:val="22"/>
              <w:rFonts w:ascii="仿宋_GB2312" w:eastAsia="仿宋_GB2312"/>
            </w:rPr>
            <w:t>1.</w:t>
          </w:r>
          <w:r>
            <w:rPr>
              <w:rStyle w:val="22"/>
              <w:rFonts w:hint="eastAsia" w:ascii="仿宋_GB2312" w:eastAsia="仿宋_GB2312"/>
            </w:rPr>
            <w:t>现有的产业体系与赋予光明的新使命新定位不匹配</w:t>
          </w:r>
          <w:r>
            <w:tab/>
          </w:r>
          <w:r>
            <w:fldChar w:fldCharType="begin"/>
          </w:r>
          <w:r>
            <w:instrText xml:space="preserve"> PAGEREF _Toc3583577 \h </w:instrText>
          </w:r>
          <w:r>
            <w:fldChar w:fldCharType="separate"/>
          </w:r>
          <w:r>
            <w:t>4</w:t>
          </w:r>
          <w:r>
            <w:fldChar w:fldCharType="end"/>
          </w:r>
          <w:r>
            <w:fldChar w:fldCharType="end"/>
          </w:r>
        </w:p>
        <w:p>
          <w:pPr>
            <w:pStyle w:val="6"/>
            <w:adjustRightInd w:val="0"/>
            <w:snapToGrid w:val="0"/>
            <w:rPr>
              <w:rFonts w:asciiTheme="minorHAnsi" w:hAnsiTheme="minorHAnsi" w:eastAsiaTheme="minorEastAsia" w:cstheme="minorBidi"/>
              <w:sz w:val="21"/>
              <w:szCs w:val="22"/>
            </w:rPr>
          </w:pPr>
          <w:r>
            <w:fldChar w:fldCharType="begin"/>
          </w:r>
          <w:r>
            <w:instrText xml:space="preserve"> HYPERLINK \l "_Toc3583578" </w:instrText>
          </w:r>
          <w:r>
            <w:fldChar w:fldCharType="separate"/>
          </w:r>
          <w:r>
            <w:rPr>
              <w:rStyle w:val="22"/>
              <w:rFonts w:ascii="仿宋_GB2312" w:eastAsia="仿宋_GB2312"/>
            </w:rPr>
            <w:t>2.</w:t>
          </w:r>
          <w:r>
            <w:rPr>
              <w:rStyle w:val="22"/>
              <w:rFonts w:hint="eastAsia" w:ascii="仿宋_GB2312" w:eastAsia="仿宋_GB2312"/>
            </w:rPr>
            <w:t>创新生态体系不健全与世界一流科学城建设不匹配</w:t>
          </w:r>
          <w:r>
            <w:tab/>
          </w:r>
          <w:r>
            <w:fldChar w:fldCharType="begin"/>
          </w:r>
          <w:r>
            <w:instrText xml:space="preserve"> PAGEREF _Toc3583578 \h </w:instrText>
          </w:r>
          <w:r>
            <w:fldChar w:fldCharType="separate"/>
          </w:r>
          <w:r>
            <w:t>4</w:t>
          </w:r>
          <w:r>
            <w:fldChar w:fldCharType="end"/>
          </w:r>
          <w:r>
            <w:fldChar w:fldCharType="end"/>
          </w:r>
        </w:p>
        <w:p>
          <w:pPr>
            <w:pStyle w:val="6"/>
            <w:adjustRightInd w:val="0"/>
            <w:snapToGrid w:val="0"/>
            <w:rPr>
              <w:rFonts w:asciiTheme="minorHAnsi" w:hAnsiTheme="minorHAnsi" w:eastAsiaTheme="minorEastAsia" w:cstheme="minorBidi"/>
              <w:sz w:val="21"/>
              <w:szCs w:val="22"/>
            </w:rPr>
          </w:pPr>
          <w:r>
            <w:fldChar w:fldCharType="begin"/>
          </w:r>
          <w:r>
            <w:instrText xml:space="preserve"> HYPERLINK \l "_Toc3583579" </w:instrText>
          </w:r>
          <w:r>
            <w:fldChar w:fldCharType="separate"/>
          </w:r>
          <w:r>
            <w:rPr>
              <w:rStyle w:val="22"/>
              <w:rFonts w:ascii="仿宋_GB2312" w:eastAsia="仿宋_GB2312"/>
            </w:rPr>
            <w:t>3.</w:t>
          </w:r>
          <w:r>
            <w:rPr>
              <w:rStyle w:val="22"/>
              <w:rFonts w:hint="eastAsia" w:ascii="仿宋_GB2312" w:eastAsia="仿宋_GB2312"/>
            </w:rPr>
            <w:t>低效产业空间供给与经济高质量发展的需求不匹配</w:t>
          </w:r>
          <w:r>
            <w:tab/>
          </w:r>
          <w:r>
            <w:fldChar w:fldCharType="begin"/>
          </w:r>
          <w:r>
            <w:instrText xml:space="preserve"> PAGEREF _Toc3583579 \h </w:instrText>
          </w:r>
          <w:r>
            <w:fldChar w:fldCharType="separate"/>
          </w:r>
          <w:r>
            <w:t>4</w:t>
          </w:r>
          <w:r>
            <w:fldChar w:fldCharType="end"/>
          </w:r>
          <w:r>
            <w:fldChar w:fldCharType="end"/>
          </w:r>
        </w:p>
        <w:p>
          <w:pPr>
            <w:pStyle w:val="12"/>
            <w:adjustRightInd w:val="0"/>
            <w:snapToGrid w:val="0"/>
            <w:spacing w:line="360" w:lineRule="auto"/>
            <w:rPr>
              <w:rFonts w:asciiTheme="minorHAnsi" w:hAnsiTheme="minorHAnsi" w:eastAsiaTheme="minorEastAsia" w:cstheme="minorBidi"/>
              <w:sz w:val="21"/>
              <w:szCs w:val="22"/>
            </w:rPr>
          </w:pPr>
          <w:r>
            <w:fldChar w:fldCharType="begin"/>
          </w:r>
          <w:r>
            <w:instrText xml:space="preserve"> HYPERLINK \l "_Toc3583580" </w:instrText>
          </w:r>
          <w:r>
            <w:fldChar w:fldCharType="separate"/>
          </w:r>
          <w:r>
            <w:rPr>
              <w:rStyle w:val="22"/>
              <w:rFonts w:hint="eastAsia"/>
            </w:rPr>
            <w:t>二、构筑现代产业体系的总体思路</w:t>
          </w:r>
          <w:r>
            <w:tab/>
          </w:r>
          <w:r>
            <w:rPr>
              <w:rFonts w:ascii="仿宋_GB2312" w:eastAsia="仿宋_GB2312"/>
            </w:rPr>
            <w:fldChar w:fldCharType="begin"/>
          </w:r>
          <w:r>
            <w:rPr>
              <w:rFonts w:ascii="仿宋_GB2312" w:eastAsia="仿宋_GB2312"/>
            </w:rPr>
            <w:instrText xml:space="preserve"> PAGEREF _Toc3583580 \h </w:instrText>
          </w:r>
          <w:r>
            <w:rPr>
              <w:rFonts w:ascii="仿宋_GB2312" w:eastAsia="仿宋_GB2312"/>
            </w:rPr>
            <w:fldChar w:fldCharType="separate"/>
          </w:r>
          <w:r>
            <w:rPr>
              <w:rFonts w:ascii="仿宋_GB2312" w:eastAsia="仿宋_GB2312"/>
            </w:rPr>
            <w:t>5</w:t>
          </w:r>
          <w:r>
            <w:rPr>
              <w:rFonts w:ascii="仿宋_GB2312" w:eastAsia="仿宋_GB2312"/>
            </w:rPr>
            <w:fldChar w:fldCharType="end"/>
          </w:r>
          <w:r>
            <w:rPr>
              <w:rFonts w:ascii="仿宋_GB2312" w:eastAsia="仿宋_GB2312"/>
            </w:rPr>
            <w:fldChar w:fldCharType="end"/>
          </w:r>
        </w:p>
        <w:p>
          <w:pPr>
            <w:pStyle w:val="14"/>
            <w:spacing w:line="360" w:lineRule="auto"/>
            <w:rPr>
              <w:rFonts w:asciiTheme="minorHAnsi" w:eastAsiaTheme="minorEastAsia"/>
              <w:sz w:val="21"/>
              <w:szCs w:val="22"/>
            </w:rPr>
          </w:pPr>
          <w:r>
            <w:fldChar w:fldCharType="begin"/>
          </w:r>
          <w:r>
            <w:instrText xml:space="preserve"> HYPERLINK \l "_Toc3583581" </w:instrText>
          </w:r>
          <w:r>
            <w:fldChar w:fldCharType="separate"/>
          </w:r>
          <w:r>
            <w:rPr>
              <w:rStyle w:val="22"/>
              <w:rFonts w:hint="eastAsia"/>
            </w:rPr>
            <w:t>（一）指导思想</w:t>
          </w:r>
          <w:r>
            <w:tab/>
          </w:r>
          <w:r>
            <w:fldChar w:fldCharType="begin"/>
          </w:r>
          <w:r>
            <w:instrText xml:space="preserve"> PAGEREF _Toc3583581 \h </w:instrText>
          </w:r>
          <w:r>
            <w:fldChar w:fldCharType="separate"/>
          </w:r>
          <w:r>
            <w:t>5</w:t>
          </w:r>
          <w:r>
            <w:fldChar w:fldCharType="end"/>
          </w:r>
          <w:r>
            <w:fldChar w:fldCharType="end"/>
          </w:r>
        </w:p>
        <w:p>
          <w:pPr>
            <w:pStyle w:val="14"/>
            <w:spacing w:line="360" w:lineRule="auto"/>
            <w:rPr>
              <w:rFonts w:asciiTheme="minorHAnsi" w:eastAsiaTheme="minorEastAsia"/>
              <w:sz w:val="21"/>
              <w:szCs w:val="22"/>
            </w:rPr>
          </w:pPr>
          <w:r>
            <w:fldChar w:fldCharType="begin"/>
          </w:r>
          <w:r>
            <w:instrText xml:space="preserve"> HYPERLINK \l "_Toc3583582" </w:instrText>
          </w:r>
          <w:r>
            <w:fldChar w:fldCharType="separate"/>
          </w:r>
          <w:r>
            <w:rPr>
              <w:rStyle w:val="22"/>
              <w:rFonts w:hint="eastAsia"/>
            </w:rPr>
            <w:t>（二）战略路径</w:t>
          </w:r>
          <w:r>
            <w:tab/>
          </w:r>
          <w:r>
            <w:fldChar w:fldCharType="begin"/>
          </w:r>
          <w:r>
            <w:instrText xml:space="preserve"> PAGEREF _Toc3583582 \h </w:instrText>
          </w:r>
          <w:r>
            <w:fldChar w:fldCharType="separate"/>
          </w:r>
          <w:r>
            <w:t>5</w:t>
          </w:r>
          <w:r>
            <w:fldChar w:fldCharType="end"/>
          </w:r>
          <w:r>
            <w:fldChar w:fldCharType="end"/>
          </w:r>
        </w:p>
        <w:p>
          <w:pPr>
            <w:pStyle w:val="14"/>
            <w:spacing w:line="360" w:lineRule="auto"/>
            <w:rPr>
              <w:rFonts w:asciiTheme="minorHAnsi" w:eastAsiaTheme="minorEastAsia"/>
              <w:sz w:val="21"/>
              <w:szCs w:val="22"/>
            </w:rPr>
          </w:pPr>
          <w:r>
            <w:fldChar w:fldCharType="begin"/>
          </w:r>
          <w:r>
            <w:instrText xml:space="preserve"> HYPERLINK \l "_Toc3583583" </w:instrText>
          </w:r>
          <w:r>
            <w:fldChar w:fldCharType="separate"/>
          </w:r>
          <w:r>
            <w:rPr>
              <w:rStyle w:val="22"/>
              <w:rFonts w:hint="eastAsia"/>
            </w:rPr>
            <w:t>（三）发展目标</w:t>
          </w:r>
          <w:r>
            <w:tab/>
          </w:r>
          <w:r>
            <w:fldChar w:fldCharType="begin"/>
          </w:r>
          <w:r>
            <w:instrText xml:space="preserve"> PAGEREF _Toc3583583 \h </w:instrText>
          </w:r>
          <w:r>
            <w:fldChar w:fldCharType="separate"/>
          </w:r>
          <w:r>
            <w:t>6</w:t>
          </w:r>
          <w:r>
            <w:fldChar w:fldCharType="end"/>
          </w:r>
          <w:r>
            <w:fldChar w:fldCharType="end"/>
          </w:r>
        </w:p>
        <w:p>
          <w:pPr>
            <w:pStyle w:val="12"/>
            <w:adjustRightInd w:val="0"/>
            <w:snapToGrid w:val="0"/>
            <w:spacing w:line="360" w:lineRule="auto"/>
            <w:rPr>
              <w:rFonts w:asciiTheme="minorHAnsi" w:hAnsiTheme="minorHAnsi" w:eastAsiaTheme="minorEastAsia" w:cstheme="minorBidi"/>
              <w:sz w:val="21"/>
              <w:szCs w:val="22"/>
            </w:rPr>
          </w:pPr>
          <w:r>
            <w:fldChar w:fldCharType="begin"/>
          </w:r>
          <w:r>
            <w:instrText xml:space="preserve"> HYPERLINK \l "_Toc3583584" </w:instrText>
          </w:r>
          <w:r>
            <w:fldChar w:fldCharType="separate"/>
          </w:r>
          <w:r>
            <w:rPr>
              <w:rStyle w:val="22"/>
              <w:rFonts w:hint="eastAsia"/>
            </w:rPr>
            <w:t>三、打造具有国际竞争力的新兴产业集群</w:t>
          </w:r>
          <w:r>
            <w:tab/>
          </w:r>
          <w:r>
            <w:rPr>
              <w:rFonts w:ascii="仿宋_GB2312" w:eastAsia="仿宋_GB2312"/>
            </w:rPr>
            <w:fldChar w:fldCharType="begin"/>
          </w:r>
          <w:r>
            <w:rPr>
              <w:rFonts w:ascii="仿宋_GB2312" w:eastAsia="仿宋_GB2312"/>
            </w:rPr>
            <w:instrText xml:space="preserve"> PAGEREF _Toc3583584 \h </w:instrText>
          </w:r>
          <w:r>
            <w:rPr>
              <w:rFonts w:ascii="仿宋_GB2312" w:eastAsia="仿宋_GB2312"/>
            </w:rPr>
            <w:fldChar w:fldCharType="separate"/>
          </w:r>
          <w:r>
            <w:rPr>
              <w:rFonts w:ascii="仿宋_GB2312" w:eastAsia="仿宋_GB2312"/>
            </w:rPr>
            <w:t>9</w:t>
          </w:r>
          <w:r>
            <w:rPr>
              <w:rFonts w:ascii="仿宋_GB2312" w:eastAsia="仿宋_GB2312"/>
            </w:rPr>
            <w:fldChar w:fldCharType="end"/>
          </w:r>
          <w:r>
            <w:rPr>
              <w:rFonts w:ascii="仿宋_GB2312" w:eastAsia="仿宋_GB2312"/>
            </w:rPr>
            <w:fldChar w:fldCharType="end"/>
          </w:r>
        </w:p>
        <w:p>
          <w:pPr>
            <w:pStyle w:val="14"/>
            <w:spacing w:line="360" w:lineRule="auto"/>
            <w:rPr>
              <w:rFonts w:asciiTheme="minorHAnsi" w:eastAsiaTheme="minorEastAsia"/>
              <w:sz w:val="21"/>
              <w:szCs w:val="22"/>
            </w:rPr>
          </w:pPr>
          <w:r>
            <w:fldChar w:fldCharType="begin"/>
          </w:r>
          <w:r>
            <w:instrText xml:space="preserve"> HYPERLINK \l "_Toc3583585" </w:instrText>
          </w:r>
          <w:r>
            <w:fldChar w:fldCharType="separate"/>
          </w:r>
          <w:r>
            <w:rPr>
              <w:rStyle w:val="22"/>
              <w:rFonts w:hint="eastAsia" w:ascii="楷体" w:hAnsi="楷体" w:eastAsia="楷体" w:cs="黑体"/>
              <w:bCs/>
            </w:rPr>
            <w:t>（一）智能产业</w:t>
          </w:r>
          <w:r>
            <w:tab/>
          </w:r>
          <w:r>
            <w:fldChar w:fldCharType="end"/>
          </w:r>
          <w:r>
            <w:t>9</w:t>
          </w:r>
        </w:p>
        <w:p>
          <w:pPr>
            <w:pStyle w:val="6"/>
            <w:adjustRightInd w:val="0"/>
            <w:snapToGrid w:val="0"/>
            <w:rPr>
              <w:rFonts w:asciiTheme="minorHAnsi" w:hAnsiTheme="minorHAnsi" w:eastAsiaTheme="minorEastAsia" w:cstheme="minorBidi"/>
              <w:sz w:val="21"/>
              <w:szCs w:val="22"/>
            </w:rPr>
          </w:pPr>
          <w:r>
            <w:fldChar w:fldCharType="begin"/>
          </w:r>
          <w:r>
            <w:instrText xml:space="preserve"> HYPERLINK \l "_Toc3583586" </w:instrText>
          </w:r>
          <w:r>
            <w:fldChar w:fldCharType="separate"/>
          </w:r>
          <w:r>
            <w:rPr>
              <w:rStyle w:val="22"/>
              <w:rFonts w:ascii="仿宋_GB2312" w:hAnsi="仿宋" w:eastAsia="仿宋_GB2312"/>
            </w:rPr>
            <w:t>1.</w:t>
          </w:r>
          <w:r>
            <w:rPr>
              <w:rFonts w:asciiTheme="minorHAnsi" w:hAnsiTheme="minorHAnsi" w:eastAsiaTheme="minorEastAsia" w:cstheme="minorBidi"/>
              <w:sz w:val="21"/>
              <w:szCs w:val="22"/>
            </w:rPr>
            <w:tab/>
          </w:r>
          <w:r>
            <w:rPr>
              <w:rStyle w:val="22"/>
              <w:rFonts w:hint="eastAsia" w:ascii="仿宋_GB2312" w:hAnsi="仿宋" w:eastAsia="仿宋_GB2312"/>
            </w:rPr>
            <w:t>人工智能</w:t>
          </w:r>
          <w:r>
            <w:tab/>
          </w:r>
          <w:r>
            <w:fldChar w:fldCharType="begin"/>
          </w:r>
          <w:r>
            <w:instrText xml:space="preserve"> PAGEREF _Toc3583586 \h </w:instrText>
          </w:r>
          <w:r>
            <w:fldChar w:fldCharType="separate"/>
          </w:r>
          <w:r>
            <w:t>9</w:t>
          </w:r>
          <w:r>
            <w:fldChar w:fldCharType="end"/>
          </w:r>
          <w:r>
            <w:fldChar w:fldCharType="end"/>
          </w:r>
        </w:p>
        <w:p>
          <w:pPr>
            <w:pStyle w:val="6"/>
            <w:adjustRightInd w:val="0"/>
            <w:snapToGrid w:val="0"/>
            <w:rPr>
              <w:rFonts w:asciiTheme="minorHAnsi" w:hAnsiTheme="minorHAnsi" w:eastAsiaTheme="minorEastAsia" w:cstheme="minorBidi"/>
              <w:sz w:val="21"/>
              <w:szCs w:val="22"/>
            </w:rPr>
          </w:pPr>
          <w:r>
            <w:fldChar w:fldCharType="begin"/>
          </w:r>
          <w:r>
            <w:instrText xml:space="preserve"> HYPERLINK \l "_Toc3583587" </w:instrText>
          </w:r>
          <w:r>
            <w:fldChar w:fldCharType="separate"/>
          </w:r>
          <w:r>
            <w:rPr>
              <w:rStyle w:val="22"/>
              <w:rFonts w:ascii="仿宋_GB2312" w:hAnsi="Arial" w:eastAsia="仿宋_GB2312" w:cs="Arial"/>
              <w:kern w:val="0"/>
            </w:rPr>
            <w:t>2.</w:t>
          </w:r>
          <w:r>
            <w:rPr>
              <w:rFonts w:asciiTheme="minorHAnsi" w:hAnsiTheme="minorHAnsi" w:eastAsiaTheme="minorEastAsia" w:cstheme="minorBidi"/>
              <w:sz w:val="21"/>
              <w:szCs w:val="22"/>
            </w:rPr>
            <w:tab/>
          </w:r>
          <w:r>
            <w:rPr>
              <w:rStyle w:val="22"/>
              <w:rFonts w:hint="eastAsia" w:ascii="仿宋_GB2312" w:hAnsi="宋体" w:eastAsia="仿宋_GB2312" w:cs="黑体"/>
              <w:bCs/>
            </w:rPr>
            <w:t>下一代移动通信</w:t>
          </w:r>
          <w:r>
            <w:tab/>
          </w:r>
          <w:r>
            <w:fldChar w:fldCharType="begin"/>
          </w:r>
          <w:r>
            <w:instrText xml:space="preserve"> PAGEREF _Toc3583587 \h </w:instrText>
          </w:r>
          <w:r>
            <w:fldChar w:fldCharType="separate"/>
          </w:r>
          <w:r>
            <w:t>10</w:t>
          </w:r>
          <w:r>
            <w:fldChar w:fldCharType="end"/>
          </w:r>
          <w:r>
            <w:fldChar w:fldCharType="end"/>
          </w:r>
        </w:p>
        <w:p>
          <w:pPr>
            <w:pStyle w:val="6"/>
            <w:adjustRightInd w:val="0"/>
            <w:snapToGrid w:val="0"/>
            <w:rPr>
              <w:rFonts w:asciiTheme="minorHAnsi" w:hAnsiTheme="minorHAnsi" w:eastAsiaTheme="minorEastAsia" w:cstheme="minorBidi"/>
              <w:sz w:val="21"/>
              <w:szCs w:val="22"/>
            </w:rPr>
          </w:pPr>
          <w:r>
            <w:fldChar w:fldCharType="begin"/>
          </w:r>
          <w:r>
            <w:instrText xml:space="preserve"> HYPERLINK \l "_Toc3583588" </w:instrText>
          </w:r>
          <w:r>
            <w:fldChar w:fldCharType="separate"/>
          </w:r>
          <w:r>
            <w:rPr>
              <w:rStyle w:val="22"/>
              <w:rFonts w:ascii="仿宋_GB2312" w:hAnsi="Arial" w:eastAsia="仿宋_GB2312" w:cs="Arial"/>
              <w:kern w:val="0"/>
            </w:rPr>
            <w:t>3.</w:t>
          </w:r>
          <w:r>
            <w:rPr>
              <w:rFonts w:asciiTheme="minorHAnsi" w:hAnsiTheme="minorHAnsi" w:eastAsiaTheme="minorEastAsia" w:cstheme="minorBidi"/>
              <w:sz w:val="21"/>
              <w:szCs w:val="22"/>
            </w:rPr>
            <w:tab/>
          </w:r>
          <w:r>
            <w:rPr>
              <w:rStyle w:val="22"/>
              <w:rFonts w:hint="eastAsia" w:ascii="仿宋_GB2312" w:hAnsi="宋体" w:eastAsia="仿宋_GB2312" w:cs="黑体"/>
              <w:bCs/>
            </w:rPr>
            <w:t>柔性电子</w:t>
          </w:r>
          <w:r>
            <w:tab/>
          </w:r>
          <w:r>
            <w:fldChar w:fldCharType="begin"/>
          </w:r>
          <w:r>
            <w:instrText xml:space="preserve"> PAGEREF _Toc3583588 \h </w:instrText>
          </w:r>
          <w:r>
            <w:fldChar w:fldCharType="separate"/>
          </w:r>
          <w:r>
            <w:t>10</w:t>
          </w:r>
          <w:r>
            <w:fldChar w:fldCharType="end"/>
          </w:r>
          <w:r>
            <w:fldChar w:fldCharType="end"/>
          </w:r>
        </w:p>
        <w:p>
          <w:pPr>
            <w:pStyle w:val="6"/>
            <w:adjustRightInd w:val="0"/>
            <w:snapToGrid w:val="0"/>
            <w:rPr>
              <w:rFonts w:asciiTheme="minorHAnsi" w:hAnsiTheme="minorHAnsi" w:eastAsiaTheme="minorEastAsia" w:cstheme="minorBidi"/>
              <w:sz w:val="21"/>
              <w:szCs w:val="22"/>
            </w:rPr>
          </w:pPr>
          <w:r>
            <w:fldChar w:fldCharType="begin"/>
          </w:r>
          <w:r>
            <w:instrText xml:space="preserve"> HYPERLINK \l "_Toc3583589" </w:instrText>
          </w:r>
          <w:r>
            <w:fldChar w:fldCharType="separate"/>
          </w:r>
          <w:r>
            <w:rPr>
              <w:rStyle w:val="22"/>
              <w:rFonts w:ascii="仿宋_GB2312" w:hAnsi="Arial" w:eastAsia="仿宋_GB2312" w:cs="Arial"/>
              <w:kern w:val="0"/>
            </w:rPr>
            <w:t>4.</w:t>
          </w:r>
          <w:r>
            <w:rPr>
              <w:rFonts w:asciiTheme="minorHAnsi" w:hAnsiTheme="minorHAnsi" w:eastAsiaTheme="minorEastAsia" w:cstheme="minorBidi"/>
              <w:sz w:val="21"/>
              <w:szCs w:val="22"/>
            </w:rPr>
            <w:tab/>
          </w:r>
          <w:r>
            <w:rPr>
              <w:rStyle w:val="22"/>
              <w:rFonts w:hint="eastAsia" w:ascii="仿宋_GB2312" w:hAnsi="宋体" w:eastAsia="仿宋_GB2312" w:cs="黑体"/>
              <w:bCs/>
            </w:rPr>
            <w:t>新型显示</w:t>
          </w:r>
          <w:r>
            <w:tab/>
          </w:r>
          <w:r>
            <w:fldChar w:fldCharType="begin"/>
          </w:r>
          <w:r>
            <w:instrText xml:space="preserve"> PAGEREF _Toc3583589 \h </w:instrText>
          </w:r>
          <w:r>
            <w:fldChar w:fldCharType="separate"/>
          </w:r>
          <w:r>
            <w:t>10</w:t>
          </w:r>
          <w:r>
            <w:fldChar w:fldCharType="end"/>
          </w:r>
          <w:r>
            <w:fldChar w:fldCharType="end"/>
          </w:r>
        </w:p>
        <w:p>
          <w:pPr>
            <w:pStyle w:val="6"/>
            <w:adjustRightInd w:val="0"/>
            <w:snapToGrid w:val="0"/>
            <w:rPr>
              <w:rFonts w:asciiTheme="minorHAnsi" w:hAnsiTheme="minorHAnsi" w:eastAsiaTheme="minorEastAsia" w:cstheme="minorBidi"/>
              <w:sz w:val="21"/>
              <w:szCs w:val="22"/>
            </w:rPr>
          </w:pPr>
          <w:r>
            <w:fldChar w:fldCharType="begin"/>
          </w:r>
          <w:r>
            <w:instrText xml:space="preserve"> HYPERLINK \l "_Toc3583590" </w:instrText>
          </w:r>
          <w:r>
            <w:fldChar w:fldCharType="separate"/>
          </w:r>
          <w:r>
            <w:rPr>
              <w:rStyle w:val="22"/>
              <w:rFonts w:ascii="仿宋_GB2312" w:hAnsi="宋体" w:eastAsia="仿宋_GB2312" w:cs="黑体"/>
              <w:bCs/>
            </w:rPr>
            <w:t>5.</w:t>
          </w:r>
          <w:r>
            <w:rPr>
              <w:rStyle w:val="22"/>
              <w:rFonts w:hint="eastAsia" w:ascii="仿宋_GB2312" w:hAnsi="宋体" w:eastAsia="仿宋_GB2312" w:cs="黑体"/>
              <w:bCs/>
            </w:rPr>
            <w:t>前沿技术</w:t>
          </w:r>
          <w:r>
            <w:tab/>
          </w:r>
          <w:r>
            <w:fldChar w:fldCharType="begin"/>
          </w:r>
          <w:r>
            <w:instrText xml:space="preserve"> PAGEREF _Toc3583590 \h </w:instrText>
          </w:r>
          <w:r>
            <w:fldChar w:fldCharType="separate"/>
          </w:r>
          <w:r>
            <w:t>11</w:t>
          </w:r>
          <w:r>
            <w:fldChar w:fldCharType="end"/>
          </w:r>
          <w:r>
            <w:fldChar w:fldCharType="end"/>
          </w:r>
        </w:p>
        <w:p>
          <w:pPr>
            <w:pStyle w:val="14"/>
            <w:spacing w:line="360" w:lineRule="auto"/>
            <w:rPr>
              <w:rFonts w:asciiTheme="minorHAnsi" w:eastAsiaTheme="minorEastAsia"/>
              <w:sz w:val="21"/>
              <w:szCs w:val="22"/>
            </w:rPr>
          </w:pPr>
          <w:r>
            <w:fldChar w:fldCharType="begin"/>
          </w:r>
          <w:r>
            <w:instrText xml:space="preserve"> HYPERLINK \l "_Toc3583591" </w:instrText>
          </w:r>
          <w:r>
            <w:fldChar w:fldCharType="separate"/>
          </w:r>
          <w:r>
            <w:rPr>
              <w:rStyle w:val="22"/>
              <w:rFonts w:hint="eastAsia"/>
            </w:rPr>
            <w:t>（二）新材料产业</w:t>
          </w:r>
          <w:r>
            <w:tab/>
          </w:r>
          <w:r>
            <w:fldChar w:fldCharType="begin"/>
          </w:r>
          <w:r>
            <w:instrText xml:space="preserve"> PAGEREF _Toc3583591 \h </w:instrText>
          </w:r>
          <w:r>
            <w:fldChar w:fldCharType="separate"/>
          </w:r>
          <w:r>
            <w:t>12</w:t>
          </w:r>
          <w:r>
            <w:fldChar w:fldCharType="end"/>
          </w:r>
          <w:r>
            <w:fldChar w:fldCharType="end"/>
          </w:r>
        </w:p>
        <w:p>
          <w:pPr>
            <w:pStyle w:val="6"/>
            <w:adjustRightInd w:val="0"/>
            <w:snapToGrid w:val="0"/>
            <w:rPr>
              <w:rFonts w:asciiTheme="minorHAnsi" w:hAnsiTheme="minorHAnsi" w:eastAsiaTheme="minorEastAsia" w:cstheme="minorBidi"/>
              <w:sz w:val="21"/>
              <w:szCs w:val="22"/>
            </w:rPr>
          </w:pPr>
          <w:r>
            <w:fldChar w:fldCharType="begin"/>
          </w:r>
          <w:r>
            <w:instrText xml:space="preserve"> HYPERLINK \l "_Toc3583592" </w:instrText>
          </w:r>
          <w:r>
            <w:fldChar w:fldCharType="separate"/>
          </w:r>
          <w:r>
            <w:rPr>
              <w:rStyle w:val="22"/>
              <w:rFonts w:ascii="仿宋_GB2312" w:hAnsi="仿宋" w:eastAsia="仿宋_GB2312"/>
            </w:rPr>
            <w:t>1.</w:t>
          </w:r>
          <w:r>
            <w:rPr>
              <w:rStyle w:val="22"/>
              <w:rFonts w:hint="eastAsia" w:ascii="仿宋_GB2312" w:hAnsi="仿宋" w:eastAsia="仿宋_GB2312"/>
            </w:rPr>
            <w:t>优势材料</w:t>
          </w:r>
          <w:r>
            <w:tab/>
          </w:r>
          <w:r>
            <w:fldChar w:fldCharType="begin"/>
          </w:r>
          <w:r>
            <w:instrText xml:space="preserve"> PAGEREF _Toc3583592 \h </w:instrText>
          </w:r>
          <w:r>
            <w:fldChar w:fldCharType="separate"/>
          </w:r>
          <w:r>
            <w:t>12</w:t>
          </w:r>
          <w:r>
            <w:fldChar w:fldCharType="end"/>
          </w:r>
          <w:r>
            <w:fldChar w:fldCharType="end"/>
          </w:r>
        </w:p>
        <w:p>
          <w:pPr>
            <w:pStyle w:val="6"/>
            <w:adjustRightInd w:val="0"/>
            <w:snapToGrid w:val="0"/>
            <w:rPr>
              <w:rFonts w:asciiTheme="minorHAnsi" w:hAnsiTheme="minorHAnsi" w:eastAsiaTheme="minorEastAsia" w:cstheme="minorBidi"/>
              <w:sz w:val="21"/>
              <w:szCs w:val="22"/>
            </w:rPr>
          </w:pPr>
          <w:r>
            <w:fldChar w:fldCharType="begin"/>
          </w:r>
          <w:r>
            <w:instrText xml:space="preserve"> HYPERLINK \l "_Toc3583593" </w:instrText>
          </w:r>
          <w:r>
            <w:fldChar w:fldCharType="separate"/>
          </w:r>
          <w:r>
            <w:rPr>
              <w:rStyle w:val="22"/>
              <w:rFonts w:ascii="仿宋_GB2312" w:hAnsi="仿宋" w:eastAsia="仿宋_GB2312"/>
            </w:rPr>
            <w:t>2.</w:t>
          </w:r>
          <w:r>
            <w:rPr>
              <w:rStyle w:val="22"/>
              <w:rFonts w:hint="eastAsia" w:ascii="仿宋_GB2312" w:hAnsi="仿宋" w:eastAsia="仿宋_GB2312"/>
            </w:rPr>
            <w:t>关键战略材料</w:t>
          </w:r>
          <w:r>
            <w:tab/>
          </w:r>
          <w:r>
            <w:fldChar w:fldCharType="begin"/>
          </w:r>
          <w:r>
            <w:instrText xml:space="preserve"> PAGEREF _Toc3583593 \h </w:instrText>
          </w:r>
          <w:r>
            <w:fldChar w:fldCharType="separate"/>
          </w:r>
          <w:r>
            <w:t>12</w:t>
          </w:r>
          <w:r>
            <w:fldChar w:fldCharType="end"/>
          </w:r>
          <w:r>
            <w:fldChar w:fldCharType="end"/>
          </w:r>
        </w:p>
        <w:p>
          <w:pPr>
            <w:pStyle w:val="6"/>
            <w:adjustRightInd w:val="0"/>
            <w:snapToGrid w:val="0"/>
            <w:rPr>
              <w:rFonts w:asciiTheme="minorHAnsi" w:hAnsiTheme="minorHAnsi" w:eastAsiaTheme="minorEastAsia" w:cstheme="minorBidi"/>
              <w:sz w:val="21"/>
              <w:szCs w:val="22"/>
            </w:rPr>
          </w:pPr>
          <w:r>
            <w:fldChar w:fldCharType="begin"/>
          </w:r>
          <w:r>
            <w:instrText xml:space="preserve"> HYPERLINK \l "_Toc3583594" </w:instrText>
          </w:r>
          <w:r>
            <w:fldChar w:fldCharType="separate"/>
          </w:r>
          <w:r>
            <w:rPr>
              <w:rStyle w:val="22"/>
              <w:rFonts w:ascii="仿宋_GB2312" w:hAnsi="仿宋" w:eastAsia="仿宋_GB2312"/>
            </w:rPr>
            <w:t>3.</w:t>
          </w:r>
          <w:r>
            <w:rPr>
              <w:rStyle w:val="22"/>
              <w:rFonts w:hint="eastAsia" w:ascii="仿宋_GB2312" w:hAnsi="仿宋" w:eastAsia="仿宋_GB2312"/>
            </w:rPr>
            <w:t>前沿材料</w:t>
          </w:r>
          <w:r>
            <w:tab/>
          </w:r>
          <w:r>
            <w:fldChar w:fldCharType="begin"/>
          </w:r>
          <w:r>
            <w:instrText xml:space="preserve"> PAGEREF _Toc3583594 \h </w:instrText>
          </w:r>
          <w:r>
            <w:fldChar w:fldCharType="separate"/>
          </w:r>
          <w:r>
            <w:t>13</w:t>
          </w:r>
          <w:r>
            <w:fldChar w:fldCharType="end"/>
          </w:r>
          <w:r>
            <w:fldChar w:fldCharType="end"/>
          </w:r>
        </w:p>
        <w:p>
          <w:pPr>
            <w:pStyle w:val="14"/>
            <w:spacing w:line="360" w:lineRule="auto"/>
            <w:rPr>
              <w:rFonts w:asciiTheme="minorHAnsi" w:eastAsiaTheme="minorEastAsia"/>
              <w:sz w:val="21"/>
              <w:szCs w:val="22"/>
            </w:rPr>
          </w:pPr>
          <w:r>
            <w:fldChar w:fldCharType="begin"/>
          </w:r>
          <w:r>
            <w:instrText xml:space="preserve"> HYPERLINK \l "_Toc3583595" </w:instrText>
          </w:r>
          <w:r>
            <w:fldChar w:fldCharType="separate"/>
          </w:r>
          <w:r>
            <w:rPr>
              <w:rStyle w:val="22"/>
              <w:rFonts w:hint="eastAsia"/>
            </w:rPr>
            <w:t>（三）生命科学产业</w:t>
          </w:r>
          <w:r>
            <w:tab/>
          </w:r>
          <w:r>
            <w:fldChar w:fldCharType="begin"/>
          </w:r>
          <w:r>
            <w:instrText xml:space="preserve"> PAGEREF _Toc3583595 \h </w:instrText>
          </w:r>
          <w:r>
            <w:fldChar w:fldCharType="separate"/>
          </w:r>
          <w:r>
            <w:t>14</w:t>
          </w:r>
          <w:r>
            <w:fldChar w:fldCharType="end"/>
          </w:r>
          <w:r>
            <w:fldChar w:fldCharType="end"/>
          </w:r>
        </w:p>
        <w:p>
          <w:pPr>
            <w:pStyle w:val="6"/>
            <w:adjustRightInd w:val="0"/>
            <w:snapToGrid w:val="0"/>
            <w:rPr>
              <w:rFonts w:asciiTheme="minorHAnsi" w:hAnsiTheme="minorHAnsi" w:eastAsiaTheme="minorEastAsia" w:cstheme="minorBidi"/>
              <w:sz w:val="21"/>
              <w:szCs w:val="22"/>
            </w:rPr>
          </w:pPr>
          <w:r>
            <w:fldChar w:fldCharType="begin"/>
          </w:r>
          <w:r>
            <w:instrText xml:space="preserve"> HYPERLINK \l "_Toc3583596" </w:instrText>
          </w:r>
          <w:r>
            <w:fldChar w:fldCharType="separate"/>
          </w:r>
          <w:r>
            <w:rPr>
              <w:rStyle w:val="22"/>
              <w:rFonts w:ascii="仿宋_GB2312" w:eastAsia="仿宋_GB2312" w:cs="Calibri" w:hAnsiTheme="minorEastAsia"/>
            </w:rPr>
            <w:t>1.</w:t>
          </w:r>
          <w:r>
            <w:rPr>
              <w:rStyle w:val="22"/>
              <w:rFonts w:hint="eastAsia" w:ascii="仿宋_GB2312" w:eastAsia="仿宋_GB2312" w:cs="Calibri" w:hAnsiTheme="minorEastAsia"/>
            </w:rPr>
            <w:t>生物制药</w:t>
          </w:r>
          <w:r>
            <w:tab/>
          </w:r>
          <w:r>
            <w:fldChar w:fldCharType="begin"/>
          </w:r>
          <w:r>
            <w:instrText xml:space="preserve"> PAGEREF _Toc3583596 \h </w:instrText>
          </w:r>
          <w:r>
            <w:fldChar w:fldCharType="separate"/>
          </w:r>
          <w:r>
            <w:t>14</w:t>
          </w:r>
          <w:r>
            <w:fldChar w:fldCharType="end"/>
          </w:r>
          <w:r>
            <w:fldChar w:fldCharType="end"/>
          </w:r>
        </w:p>
        <w:p>
          <w:pPr>
            <w:pStyle w:val="6"/>
            <w:adjustRightInd w:val="0"/>
            <w:snapToGrid w:val="0"/>
            <w:rPr>
              <w:rFonts w:asciiTheme="minorHAnsi" w:hAnsiTheme="minorHAnsi" w:eastAsiaTheme="minorEastAsia" w:cstheme="minorBidi"/>
              <w:sz w:val="21"/>
              <w:szCs w:val="22"/>
            </w:rPr>
          </w:pPr>
          <w:r>
            <w:fldChar w:fldCharType="begin"/>
          </w:r>
          <w:r>
            <w:instrText xml:space="preserve"> HYPERLINK \l "_Toc3583597" </w:instrText>
          </w:r>
          <w:r>
            <w:fldChar w:fldCharType="separate"/>
          </w:r>
          <w:r>
            <w:rPr>
              <w:rStyle w:val="22"/>
              <w:rFonts w:ascii="仿宋_GB2312" w:eastAsia="仿宋_GB2312" w:cs="Calibri" w:hAnsiTheme="minorEastAsia"/>
            </w:rPr>
            <w:t>2.</w:t>
          </w:r>
          <w:r>
            <w:rPr>
              <w:rStyle w:val="22"/>
              <w:rFonts w:hint="eastAsia" w:ascii="仿宋_GB2312" w:eastAsia="仿宋_GB2312" w:cs="Calibri" w:hAnsiTheme="minorEastAsia"/>
            </w:rPr>
            <w:t>生物医学工程</w:t>
          </w:r>
          <w:r>
            <w:tab/>
          </w:r>
          <w:r>
            <w:fldChar w:fldCharType="begin"/>
          </w:r>
          <w:r>
            <w:instrText xml:space="preserve"> PAGEREF _Toc3583597 \h </w:instrText>
          </w:r>
          <w:r>
            <w:fldChar w:fldCharType="separate"/>
          </w:r>
          <w:r>
            <w:t>15</w:t>
          </w:r>
          <w:r>
            <w:fldChar w:fldCharType="end"/>
          </w:r>
          <w:r>
            <w:fldChar w:fldCharType="end"/>
          </w:r>
        </w:p>
        <w:p>
          <w:pPr>
            <w:pStyle w:val="6"/>
            <w:adjustRightInd w:val="0"/>
            <w:snapToGrid w:val="0"/>
            <w:rPr>
              <w:rFonts w:asciiTheme="minorHAnsi" w:hAnsiTheme="minorHAnsi" w:eastAsiaTheme="minorEastAsia" w:cstheme="minorBidi"/>
              <w:sz w:val="21"/>
              <w:szCs w:val="22"/>
            </w:rPr>
          </w:pPr>
          <w:r>
            <w:fldChar w:fldCharType="begin"/>
          </w:r>
          <w:r>
            <w:instrText xml:space="preserve"> HYPERLINK \l "_Toc3583598" </w:instrText>
          </w:r>
          <w:r>
            <w:fldChar w:fldCharType="separate"/>
          </w:r>
          <w:r>
            <w:rPr>
              <w:rStyle w:val="22"/>
              <w:rFonts w:ascii="仿宋_GB2312" w:hAnsi="仿宋" w:eastAsia="仿宋_GB2312" w:cs="Calibri"/>
            </w:rPr>
            <w:t>3.</w:t>
          </w:r>
          <w:r>
            <w:rPr>
              <w:rStyle w:val="22"/>
              <w:rFonts w:hint="eastAsia" w:ascii="仿宋_GB2312" w:hAnsi="仿宋" w:eastAsia="仿宋_GB2312" w:cs="Calibri"/>
            </w:rPr>
            <w:t>医药</w:t>
          </w:r>
          <w:r>
            <w:rPr>
              <w:rStyle w:val="22"/>
              <w:rFonts w:ascii="仿宋_GB2312" w:hAnsi="仿宋" w:eastAsia="仿宋_GB2312" w:cs="Calibri"/>
            </w:rPr>
            <w:t>CRO</w:t>
          </w:r>
          <w:r>
            <w:tab/>
          </w:r>
          <w:r>
            <w:fldChar w:fldCharType="begin"/>
          </w:r>
          <w:r>
            <w:instrText xml:space="preserve"> PAGEREF _Toc3583598 \h </w:instrText>
          </w:r>
          <w:r>
            <w:fldChar w:fldCharType="separate"/>
          </w:r>
          <w:r>
            <w:t>15</w:t>
          </w:r>
          <w:r>
            <w:fldChar w:fldCharType="end"/>
          </w:r>
          <w:r>
            <w:fldChar w:fldCharType="end"/>
          </w:r>
        </w:p>
        <w:p>
          <w:pPr>
            <w:pStyle w:val="6"/>
            <w:adjustRightInd w:val="0"/>
            <w:snapToGrid w:val="0"/>
            <w:rPr>
              <w:rFonts w:asciiTheme="minorHAnsi" w:hAnsiTheme="minorHAnsi" w:eastAsiaTheme="minorEastAsia" w:cstheme="minorBidi"/>
              <w:sz w:val="21"/>
              <w:szCs w:val="22"/>
            </w:rPr>
          </w:pPr>
          <w:r>
            <w:fldChar w:fldCharType="begin"/>
          </w:r>
          <w:r>
            <w:instrText xml:space="preserve"> HYPERLINK \l "_Toc3583599" </w:instrText>
          </w:r>
          <w:r>
            <w:fldChar w:fldCharType="separate"/>
          </w:r>
          <w:r>
            <w:rPr>
              <w:rStyle w:val="22"/>
              <w:rFonts w:ascii="仿宋_GB2312" w:hAnsi="等线" w:eastAsia="仿宋_GB2312" w:cs="Calibri"/>
            </w:rPr>
            <w:t>4.</w:t>
          </w:r>
          <w:r>
            <w:rPr>
              <w:rStyle w:val="22"/>
              <w:rFonts w:hint="eastAsia" w:ascii="仿宋_GB2312" w:hAnsi="仿宋" w:eastAsia="仿宋_GB2312" w:cs="Calibri"/>
            </w:rPr>
            <w:t>精准医疗</w:t>
          </w:r>
          <w:r>
            <w:tab/>
          </w:r>
          <w:r>
            <w:fldChar w:fldCharType="begin"/>
          </w:r>
          <w:r>
            <w:instrText xml:space="preserve"> PAGEREF _Toc3583599 \h </w:instrText>
          </w:r>
          <w:r>
            <w:fldChar w:fldCharType="separate"/>
          </w:r>
          <w:r>
            <w:t>15</w:t>
          </w:r>
          <w:r>
            <w:fldChar w:fldCharType="end"/>
          </w:r>
          <w:r>
            <w:fldChar w:fldCharType="end"/>
          </w:r>
        </w:p>
        <w:p>
          <w:pPr>
            <w:pStyle w:val="6"/>
            <w:adjustRightInd w:val="0"/>
            <w:snapToGrid w:val="0"/>
            <w:rPr>
              <w:rFonts w:asciiTheme="minorHAnsi" w:hAnsiTheme="minorHAnsi" w:eastAsiaTheme="minorEastAsia" w:cstheme="minorBidi"/>
              <w:sz w:val="21"/>
              <w:szCs w:val="22"/>
            </w:rPr>
          </w:pPr>
          <w:r>
            <w:fldChar w:fldCharType="begin"/>
          </w:r>
          <w:r>
            <w:instrText xml:space="preserve"> HYPERLINK \l "_Toc3583600" </w:instrText>
          </w:r>
          <w:r>
            <w:fldChar w:fldCharType="separate"/>
          </w:r>
          <w:r>
            <w:rPr>
              <w:rStyle w:val="22"/>
              <w:rFonts w:ascii="仿宋_GB2312" w:hAnsi="仿宋" w:eastAsia="仿宋_GB2312" w:cs="Calibri"/>
            </w:rPr>
            <w:t>5.</w:t>
          </w:r>
          <w:r>
            <w:rPr>
              <w:rStyle w:val="22"/>
              <w:rFonts w:hint="eastAsia" w:ascii="仿宋_GB2312" w:hAnsi="仿宋" w:eastAsia="仿宋_GB2312" w:cs="Calibri"/>
            </w:rPr>
            <w:t>数字生命</w:t>
          </w:r>
          <w:r>
            <w:tab/>
          </w:r>
          <w:r>
            <w:fldChar w:fldCharType="begin"/>
          </w:r>
          <w:r>
            <w:instrText xml:space="preserve"> PAGEREF _Toc3583600 \h </w:instrText>
          </w:r>
          <w:r>
            <w:fldChar w:fldCharType="separate"/>
          </w:r>
          <w:r>
            <w:t>15</w:t>
          </w:r>
          <w:r>
            <w:fldChar w:fldCharType="end"/>
          </w:r>
          <w:r>
            <w:fldChar w:fldCharType="end"/>
          </w:r>
        </w:p>
        <w:p>
          <w:pPr>
            <w:pStyle w:val="6"/>
            <w:adjustRightInd w:val="0"/>
            <w:snapToGrid w:val="0"/>
            <w:rPr>
              <w:rFonts w:asciiTheme="minorHAnsi" w:hAnsiTheme="minorHAnsi" w:eastAsiaTheme="minorEastAsia" w:cstheme="minorBidi"/>
              <w:sz w:val="21"/>
              <w:szCs w:val="22"/>
            </w:rPr>
          </w:pPr>
          <w:r>
            <w:fldChar w:fldCharType="begin"/>
          </w:r>
          <w:r>
            <w:instrText xml:space="preserve"> HYPERLINK \l "_Toc3583601" </w:instrText>
          </w:r>
          <w:r>
            <w:fldChar w:fldCharType="separate"/>
          </w:r>
          <w:r>
            <w:rPr>
              <w:rStyle w:val="22"/>
              <w:rFonts w:ascii="仿宋_GB2312" w:hAnsi="仿宋" w:eastAsia="仿宋_GB2312" w:cs="Calibri"/>
            </w:rPr>
            <w:t>6.</w:t>
          </w:r>
          <w:r>
            <w:rPr>
              <w:rStyle w:val="22"/>
              <w:rFonts w:hint="eastAsia" w:ascii="仿宋_GB2312" w:hAnsi="仿宋" w:eastAsia="仿宋_GB2312" w:cs="Calibri"/>
            </w:rPr>
            <w:t>前沿技术</w:t>
          </w:r>
          <w:r>
            <w:tab/>
          </w:r>
          <w:r>
            <w:fldChar w:fldCharType="begin"/>
          </w:r>
          <w:r>
            <w:instrText xml:space="preserve"> PAGEREF _Toc3583601 \h </w:instrText>
          </w:r>
          <w:r>
            <w:fldChar w:fldCharType="separate"/>
          </w:r>
          <w:r>
            <w:t>16</w:t>
          </w:r>
          <w:r>
            <w:fldChar w:fldCharType="end"/>
          </w:r>
          <w:r>
            <w:fldChar w:fldCharType="end"/>
          </w:r>
        </w:p>
        <w:p>
          <w:pPr>
            <w:pStyle w:val="14"/>
            <w:spacing w:line="360" w:lineRule="auto"/>
            <w:rPr>
              <w:rFonts w:asciiTheme="minorHAnsi" w:eastAsiaTheme="minorEastAsia"/>
              <w:sz w:val="21"/>
              <w:szCs w:val="22"/>
            </w:rPr>
          </w:pPr>
          <w:r>
            <w:fldChar w:fldCharType="begin"/>
          </w:r>
          <w:r>
            <w:instrText xml:space="preserve"> HYPERLINK \l "_Toc3583602" </w:instrText>
          </w:r>
          <w:r>
            <w:fldChar w:fldCharType="separate"/>
          </w:r>
          <w:r>
            <w:rPr>
              <w:rStyle w:val="22"/>
              <w:rFonts w:hint="eastAsia"/>
            </w:rPr>
            <w:t>（四）特色服务产业</w:t>
          </w:r>
          <w:r>
            <w:tab/>
          </w:r>
          <w:r>
            <w:fldChar w:fldCharType="begin"/>
          </w:r>
          <w:r>
            <w:instrText xml:space="preserve"> PAGEREF _Toc3583602 \h </w:instrText>
          </w:r>
          <w:r>
            <w:fldChar w:fldCharType="separate"/>
          </w:r>
          <w:r>
            <w:t>17</w:t>
          </w:r>
          <w:r>
            <w:fldChar w:fldCharType="end"/>
          </w:r>
          <w:r>
            <w:fldChar w:fldCharType="end"/>
          </w:r>
        </w:p>
        <w:p>
          <w:pPr>
            <w:pStyle w:val="6"/>
            <w:adjustRightInd w:val="0"/>
            <w:snapToGrid w:val="0"/>
            <w:rPr>
              <w:rFonts w:asciiTheme="minorHAnsi" w:hAnsiTheme="minorHAnsi" w:eastAsiaTheme="minorEastAsia" w:cstheme="minorBidi"/>
              <w:sz w:val="21"/>
              <w:szCs w:val="22"/>
            </w:rPr>
          </w:pPr>
          <w:r>
            <w:fldChar w:fldCharType="begin"/>
          </w:r>
          <w:r>
            <w:instrText xml:space="preserve"> HYPERLINK \l "_Toc3583603" </w:instrText>
          </w:r>
          <w:r>
            <w:fldChar w:fldCharType="separate"/>
          </w:r>
          <w:r>
            <w:rPr>
              <w:rStyle w:val="22"/>
              <w:rFonts w:ascii="仿宋_GB2312" w:hAnsi="宋体" w:eastAsia="仿宋_GB2312" w:cs="黑体"/>
              <w:bCs/>
            </w:rPr>
            <w:t>1.</w:t>
          </w:r>
          <w:r>
            <w:rPr>
              <w:rStyle w:val="22"/>
              <w:rFonts w:hint="eastAsia" w:ascii="仿宋_GB2312" w:hAnsi="宋体" w:eastAsia="仿宋_GB2312" w:cs="黑体"/>
              <w:bCs/>
            </w:rPr>
            <w:t>科技服务业</w:t>
          </w:r>
          <w:r>
            <w:tab/>
          </w:r>
          <w:r>
            <w:fldChar w:fldCharType="begin"/>
          </w:r>
          <w:r>
            <w:instrText xml:space="preserve"> PAGEREF _Toc3583603 \h </w:instrText>
          </w:r>
          <w:r>
            <w:fldChar w:fldCharType="separate"/>
          </w:r>
          <w:r>
            <w:t>17</w:t>
          </w:r>
          <w:r>
            <w:fldChar w:fldCharType="end"/>
          </w:r>
          <w:r>
            <w:fldChar w:fldCharType="end"/>
          </w:r>
        </w:p>
        <w:p>
          <w:pPr>
            <w:pStyle w:val="6"/>
            <w:adjustRightInd w:val="0"/>
            <w:snapToGrid w:val="0"/>
            <w:rPr>
              <w:rFonts w:asciiTheme="minorHAnsi" w:hAnsiTheme="minorHAnsi" w:eastAsiaTheme="minorEastAsia" w:cstheme="minorBidi"/>
              <w:sz w:val="21"/>
              <w:szCs w:val="22"/>
            </w:rPr>
          </w:pPr>
          <w:r>
            <w:fldChar w:fldCharType="begin"/>
          </w:r>
          <w:r>
            <w:instrText xml:space="preserve"> HYPERLINK \l "_Toc3583604" </w:instrText>
          </w:r>
          <w:r>
            <w:fldChar w:fldCharType="separate"/>
          </w:r>
          <w:r>
            <w:rPr>
              <w:rStyle w:val="22"/>
              <w:rFonts w:ascii="仿宋_GB2312" w:hAnsi="宋体" w:eastAsia="仿宋_GB2312" w:cs="黑体"/>
              <w:bCs/>
            </w:rPr>
            <w:t>2.</w:t>
          </w:r>
          <w:r>
            <w:rPr>
              <w:rStyle w:val="22"/>
              <w:rFonts w:hint="eastAsia" w:ascii="仿宋_GB2312" w:hAnsi="宋体" w:eastAsia="仿宋_GB2312" w:cs="黑体"/>
              <w:bCs/>
            </w:rPr>
            <w:t>文化旅游业</w:t>
          </w:r>
          <w:r>
            <w:tab/>
          </w:r>
          <w:r>
            <w:fldChar w:fldCharType="begin"/>
          </w:r>
          <w:r>
            <w:instrText xml:space="preserve"> PAGEREF _Toc3583604 \h </w:instrText>
          </w:r>
          <w:r>
            <w:fldChar w:fldCharType="separate"/>
          </w:r>
          <w:r>
            <w:t>18</w:t>
          </w:r>
          <w:r>
            <w:fldChar w:fldCharType="end"/>
          </w:r>
          <w:r>
            <w:fldChar w:fldCharType="end"/>
          </w:r>
        </w:p>
        <w:p>
          <w:pPr>
            <w:pStyle w:val="12"/>
            <w:adjustRightInd w:val="0"/>
            <w:snapToGrid w:val="0"/>
            <w:spacing w:line="360" w:lineRule="auto"/>
            <w:rPr>
              <w:rFonts w:asciiTheme="minorHAnsi" w:hAnsiTheme="minorHAnsi" w:eastAsiaTheme="minorEastAsia" w:cstheme="minorBidi"/>
              <w:sz w:val="21"/>
              <w:szCs w:val="22"/>
            </w:rPr>
          </w:pPr>
          <w:r>
            <w:fldChar w:fldCharType="begin"/>
          </w:r>
          <w:r>
            <w:instrText xml:space="preserve"> HYPERLINK \l "_Toc3583605" </w:instrText>
          </w:r>
          <w:r>
            <w:fldChar w:fldCharType="separate"/>
          </w:r>
          <w:r>
            <w:rPr>
              <w:rStyle w:val="22"/>
              <w:rFonts w:hint="eastAsia"/>
            </w:rPr>
            <w:t>四、着力实施关键要素提升工程</w:t>
          </w:r>
          <w:r>
            <w:tab/>
          </w:r>
          <w:r>
            <w:rPr>
              <w:rFonts w:ascii="仿宋_GB2312" w:eastAsia="仿宋_GB2312"/>
            </w:rPr>
            <w:fldChar w:fldCharType="begin"/>
          </w:r>
          <w:r>
            <w:rPr>
              <w:rFonts w:ascii="仿宋_GB2312" w:eastAsia="仿宋_GB2312"/>
            </w:rPr>
            <w:instrText xml:space="preserve"> PAGEREF _Toc3583605 \h </w:instrText>
          </w:r>
          <w:r>
            <w:rPr>
              <w:rFonts w:ascii="仿宋_GB2312" w:eastAsia="仿宋_GB2312"/>
            </w:rPr>
            <w:fldChar w:fldCharType="separate"/>
          </w:r>
          <w:r>
            <w:rPr>
              <w:rFonts w:ascii="仿宋_GB2312" w:eastAsia="仿宋_GB2312"/>
            </w:rPr>
            <w:t>19</w:t>
          </w:r>
          <w:r>
            <w:rPr>
              <w:rFonts w:ascii="仿宋_GB2312" w:eastAsia="仿宋_GB2312"/>
            </w:rPr>
            <w:fldChar w:fldCharType="end"/>
          </w:r>
          <w:r>
            <w:rPr>
              <w:rFonts w:ascii="仿宋_GB2312" w:eastAsia="仿宋_GB2312"/>
            </w:rPr>
            <w:fldChar w:fldCharType="end"/>
          </w:r>
        </w:p>
        <w:p>
          <w:pPr>
            <w:pStyle w:val="14"/>
            <w:spacing w:line="360" w:lineRule="auto"/>
            <w:rPr>
              <w:rFonts w:asciiTheme="minorHAnsi" w:eastAsiaTheme="minorEastAsia"/>
              <w:sz w:val="21"/>
              <w:szCs w:val="22"/>
            </w:rPr>
          </w:pPr>
          <w:r>
            <w:fldChar w:fldCharType="begin"/>
          </w:r>
          <w:r>
            <w:instrText xml:space="preserve"> HYPERLINK \l "_Toc3583606" </w:instrText>
          </w:r>
          <w:r>
            <w:fldChar w:fldCharType="separate"/>
          </w:r>
          <w:r>
            <w:rPr>
              <w:rStyle w:val="22"/>
              <w:rFonts w:hint="eastAsia" w:hAnsi="黑体" w:cs="Times New Roman"/>
            </w:rPr>
            <w:t>（一）创新能力强基工程</w:t>
          </w:r>
          <w:r>
            <w:tab/>
          </w:r>
          <w:r>
            <w:fldChar w:fldCharType="begin"/>
          </w:r>
          <w:r>
            <w:instrText xml:space="preserve"> PAGEREF _Toc3583606 \h </w:instrText>
          </w:r>
          <w:r>
            <w:fldChar w:fldCharType="separate"/>
          </w:r>
          <w:r>
            <w:t>19</w:t>
          </w:r>
          <w:r>
            <w:fldChar w:fldCharType="end"/>
          </w:r>
          <w:r>
            <w:fldChar w:fldCharType="end"/>
          </w:r>
        </w:p>
        <w:p>
          <w:pPr>
            <w:pStyle w:val="14"/>
            <w:spacing w:line="360" w:lineRule="auto"/>
            <w:rPr>
              <w:rFonts w:asciiTheme="minorHAnsi" w:eastAsiaTheme="minorEastAsia"/>
              <w:sz w:val="21"/>
              <w:szCs w:val="22"/>
            </w:rPr>
          </w:pPr>
          <w:r>
            <w:fldChar w:fldCharType="begin"/>
          </w:r>
          <w:r>
            <w:instrText xml:space="preserve"> HYPERLINK \l "_Toc3583607" </w:instrText>
          </w:r>
          <w:r>
            <w:fldChar w:fldCharType="separate"/>
          </w:r>
          <w:r>
            <w:rPr>
              <w:rStyle w:val="22"/>
              <w:rFonts w:hint="eastAsia" w:hAnsi="黑体" w:cs="Times New Roman"/>
            </w:rPr>
            <w:t>（二）转化平台支撑工程</w:t>
          </w:r>
          <w:r>
            <w:tab/>
          </w:r>
          <w:r>
            <w:fldChar w:fldCharType="begin"/>
          </w:r>
          <w:r>
            <w:instrText xml:space="preserve"> PAGEREF _Toc3583607 \h </w:instrText>
          </w:r>
          <w:r>
            <w:fldChar w:fldCharType="separate"/>
          </w:r>
          <w:r>
            <w:t>20</w:t>
          </w:r>
          <w:r>
            <w:fldChar w:fldCharType="end"/>
          </w:r>
          <w:r>
            <w:fldChar w:fldCharType="end"/>
          </w:r>
        </w:p>
        <w:p>
          <w:pPr>
            <w:pStyle w:val="14"/>
            <w:spacing w:line="360" w:lineRule="auto"/>
            <w:rPr>
              <w:rFonts w:asciiTheme="minorHAnsi" w:eastAsiaTheme="minorEastAsia"/>
              <w:sz w:val="21"/>
              <w:szCs w:val="22"/>
            </w:rPr>
          </w:pPr>
          <w:r>
            <w:fldChar w:fldCharType="begin"/>
          </w:r>
          <w:r>
            <w:instrText xml:space="preserve"> HYPERLINK \l "_Toc3583608" </w:instrText>
          </w:r>
          <w:r>
            <w:fldChar w:fldCharType="separate"/>
          </w:r>
          <w:r>
            <w:rPr>
              <w:rStyle w:val="22"/>
              <w:rFonts w:hint="eastAsia" w:hAnsi="黑体" w:cs="Times New Roman"/>
            </w:rPr>
            <w:t>（三）国际协同发展工程</w:t>
          </w:r>
          <w:r>
            <w:tab/>
          </w:r>
          <w:r>
            <w:fldChar w:fldCharType="begin"/>
          </w:r>
          <w:r>
            <w:instrText xml:space="preserve"> PAGEREF _Toc3583608 \h </w:instrText>
          </w:r>
          <w:r>
            <w:fldChar w:fldCharType="separate"/>
          </w:r>
          <w:r>
            <w:t>21</w:t>
          </w:r>
          <w:r>
            <w:fldChar w:fldCharType="end"/>
          </w:r>
          <w:r>
            <w:fldChar w:fldCharType="end"/>
          </w:r>
        </w:p>
        <w:p>
          <w:pPr>
            <w:pStyle w:val="14"/>
            <w:spacing w:line="360" w:lineRule="auto"/>
            <w:rPr>
              <w:rFonts w:asciiTheme="minorHAnsi" w:eastAsiaTheme="minorEastAsia"/>
              <w:sz w:val="21"/>
              <w:szCs w:val="22"/>
            </w:rPr>
          </w:pPr>
          <w:r>
            <w:fldChar w:fldCharType="begin"/>
          </w:r>
          <w:r>
            <w:instrText xml:space="preserve"> HYPERLINK \l "_Toc3583609" </w:instrText>
          </w:r>
          <w:r>
            <w:fldChar w:fldCharType="separate"/>
          </w:r>
          <w:r>
            <w:rPr>
              <w:rStyle w:val="22"/>
              <w:rFonts w:hint="eastAsia" w:hAnsi="黑体" w:cs="Times New Roman"/>
            </w:rPr>
            <w:t>（四）产业空间挖潜工程</w:t>
          </w:r>
          <w:r>
            <w:tab/>
          </w:r>
          <w:r>
            <w:fldChar w:fldCharType="begin"/>
          </w:r>
          <w:r>
            <w:instrText xml:space="preserve"> PAGEREF _Toc3583609 \h </w:instrText>
          </w:r>
          <w:r>
            <w:fldChar w:fldCharType="separate"/>
          </w:r>
          <w:r>
            <w:t>22</w:t>
          </w:r>
          <w:r>
            <w:fldChar w:fldCharType="end"/>
          </w:r>
          <w:r>
            <w:fldChar w:fldCharType="end"/>
          </w:r>
        </w:p>
        <w:p>
          <w:pPr>
            <w:pStyle w:val="14"/>
            <w:spacing w:line="360" w:lineRule="auto"/>
            <w:rPr>
              <w:rFonts w:asciiTheme="minorHAnsi" w:eastAsiaTheme="minorEastAsia"/>
              <w:sz w:val="21"/>
              <w:szCs w:val="22"/>
            </w:rPr>
          </w:pPr>
          <w:r>
            <w:fldChar w:fldCharType="begin"/>
          </w:r>
          <w:r>
            <w:instrText xml:space="preserve"> HYPERLINK \l "_Toc3583610" </w:instrText>
          </w:r>
          <w:r>
            <w:fldChar w:fldCharType="separate"/>
          </w:r>
          <w:r>
            <w:rPr>
              <w:rStyle w:val="22"/>
              <w:rFonts w:hint="eastAsia" w:hAnsi="黑体" w:cs="Times New Roman"/>
            </w:rPr>
            <w:t>（五）头雁领航人才工程</w:t>
          </w:r>
          <w:r>
            <w:tab/>
          </w:r>
          <w:r>
            <w:fldChar w:fldCharType="begin"/>
          </w:r>
          <w:r>
            <w:instrText xml:space="preserve"> PAGEREF _Toc3583610 \h </w:instrText>
          </w:r>
          <w:r>
            <w:fldChar w:fldCharType="separate"/>
          </w:r>
          <w:r>
            <w:t>23</w:t>
          </w:r>
          <w:r>
            <w:fldChar w:fldCharType="end"/>
          </w:r>
          <w:r>
            <w:fldChar w:fldCharType="end"/>
          </w:r>
        </w:p>
        <w:p>
          <w:pPr>
            <w:pStyle w:val="12"/>
            <w:rPr>
              <w:rFonts w:asciiTheme="minorHAnsi" w:hAnsiTheme="minorHAnsi" w:eastAsiaTheme="minorEastAsia" w:cstheme="minorBidi"/>
              <w:sz w:val="21"/>
              <w:szCs w:val="22"/>
            </w:rPr>
          </w:pPr>
          <w:r>
            <w:fldChar w:fldCharType="begin"/>
          </w:r>
          <w:r>
            <w:instrText xml:space="preserve"> HYPERLINK \l "_Toc3583611" </w:instrText>
          </w:r>
          <w:r>
            <w:fldChar w:fldCharType="separate"/>
          </w:r>
          <w:r>
            <w:rPr>
              <w:rStyle w:val="22"/>
              <w:rFonts w:hint="eastAsia"/>
              <w:bCs/>
              <w:kern w:val="44"/>
            </w:rPr>
            <w:t>五、重构产业空间布局</w:t>
          </w:r>
          <w:r>
            <w:tab/>
          </w:r>
          <w:r>
            <w:rPr>
              <w:rFonts w:ascii="仿宋_GB2312" w:eastAsia="仿宋_GB2312"/>
            </w:rPr>
            <w:fldChar w:fldCharType="begin"/>
          </w:r>
          <w:r>
            <w:rPr>
              <w:rFonts w:ascii="仿宋_GB2312" w:eastAsia="仿宋_GB2312"/>
            </w:rPr>
            <w:instrText xml:space="preserve"> PAGEREF _Toc3583611 \h </w:instrText>
          </w:r>
          <w:r>
            <w:rPr>
              <w:rFonts w:ascii="仿宋_GB2312" w:eastAsia="仿宋_GB2312"/>
            </w:rPr>
            <w:fldChar w:fldCharType="separate"/>
          </w:r>
          <w:r>
            <w:rPr>
              <w:rFonts w:ascii="仿宋_GB2312" w:eastAsia="仿宋_GB2312"/>
            </w:rPr>
            <w:t>23</w:t>
          </w:r>
          <w:r>
            <w:rPr>
              <w:rFonts w:ascii="仿宋_GB2312" w:eastAsia="仿宋_GB2312"/>
            </w:rPr>
            <w:fldChar w:fldCharType="end"/>
          </w:r>
          <w:r>
            <w:rPr>
              <w:rFonts w:ascii="仿宋_GB2312" w:eastAsia="仿宋_GB2312"/>
            </w:rPr>
            <w:fldChar w:fldCharType="end"/>
          </w:r>
        </w:p>
        <w:p>
          <w:pPr>
            <w:pStyle w:val="14"/>
            <w:rPr>
              <w:rFonts w:asciiTheme="minorHAnsi" w:eastAsiaTheme="minorEastAsia"/>
              <w:sz w:val="21"/>
              <w:szCs w:val="22"/>
            </w:rPr>
          </w:pPr>
          <w:r>
            <w:fldChar w:fldCharType="begin"/>
          </w:r>
          <w:r>
            <w:instrText xml:space="preserve"> HYPERLINK \l "_Toc3583612" </w:instrText>
          </w:r>
          <w:r>
            <w:fldChar w:fldCharType="separate"/>
          </w:r>
          <w:r>
            <w:rPr>
              <w:rStyle w:val="22"/>
              <w:rFonts w:hint="eastAsia" w:hAnsi="黑体" w:cs="Times New Roman"/>
            </w:rPr>
            <w:t>（一）构建“一廊、三区”的总体布局</w:t>
          </w:r>
          <w:r>
            <w:tab/>
          </w:r>
          <w:r>
            <w:fldChar w:fldCharType="begin"/>
          </w:r>
          <w:r>
            <w:instrText xml:space="preserve"> PAGEREF _Toc3583612 \h </w:instrText>
          </w:r>
          <w:r>
            <w:fldChar w:fldCharType="separate"/>
          </w:r>
          <w:r>
            <w:t>24</w:t>
          </w:r>
          <w:r>
            <w:fldChar w:fldCharType="end"/>
          </w:r>
          <w:r>
            <w:fldChar w:fldCharType="end"/>
          </w:r>
        </w:p>
        <w:p>
          <w:pPr>
            <w:pStyle w:val="6"/>
            <w:rPr>
              <w:rFonts w:asciiTheme="minorHAnsi" w:hAnsiTheme="minorHAnsi" w:eastAsiaTheme="minorEastAsia" w:cstheme="minorBidi"/>
              <w:sz w:val="21"/>
              <w:szCs w:val="22"/>
            </w:rPr>
          </w:pPr>
          <w:r>
            <w:fldChar w:fldCharType="begin"/>
          </w:r>
          <w:r>
            <w:instrText xml:space="preserve"> HYPERLINK \l "_Toc3583613" </w:instrText>
          </w:r>
          <w:r>
            <w:fldChar w:fldCharType="separate"/>
          </w:r>
          <w:r>
            <w:rPr>
              <w:rStyle w:val="22"/>
              <w:rFonts w:ascii="仿宋_GB2312" w:hAnsi="宋体" w:eastAsia="仿宋_GB2312" w:cs="黑体"/>
              <w:bCs/>
            </w:rPr>
            <w:t>1.</w:t>
          </w:r>
          <w:r>
            <w:rPr>
              <w:rStyle w:val="22"/>
              <w:rFonts w:hint="eastAsia" w:ascii="仿宋_GB2312" w:hAnsi="宋体" w:eastAsia="仿宋_GB2312" w:cs="黑体"/>
              <w:bCs/>
            </w:rPr>
            <w:t>一廊——打造龙大科技创新发展走廊</w:t>
          </w:r>
          <w:r>
            <w:tab/>
          </w:r>
          <w:r>
            <w:fldChar w:fldCharType="begin"/>
          </w:r>
          <w:r>
            <w:instrText xml:space="preserve"> PAGEREF _Toc3583613 \h </w:instrText>
          </w:r>
          <w:r>
            <w:fldChar w:fldCharType="separate"/>
          </w:r>
          <w:r>
            <w:t>24</w:t>
          </w:r>
          <w:r>
            <w:fldChar w:fldCharType="end"/>
          </w:r>
          <w:r>
            <w:fldChar w:fldCharType="end"/>
          </w:r>
        </w:p>
        <w:p>
          <w:pPr>
            <w:pStyle w:val="6"/>
            <w:rPr>
              <w:rFonts w:asciiTheme="minorHAnsi" w:hAnsiTheme="minorHAnsi" w:eastAsiaTheme="minorEastAsia" w:cstheme="minorBidi"/>
              <w:sz w:val="21"/>
              <w:szCs w:val="22"/>
            </w:rPr>
          </w:pPr>
          <w:r>
            <w:fldChar w:fldCharType="begin"/>
          </w:r>
          <w:r>
            <w:instrText xml:space="preserve"> HYPERLINK \l "_Toc3583614" </w:instrText>
          </w:r>
          <w:r>
            <w:fldChar w:fldCharType="separate"/>
          </w:r>
          <w:r>
            <w:rPr>
              <w:rStyle w:val="22"/>
              <w:rFonts w:ascii="仿宋_GB2312" w:hAnsi="宋体" w:eastAsia="仿宋_GB2312" w:cs="黑体"/>
              <w:bCs/>
            </w:rPr>
            <w:t>2.</w:t>
          </w:r>
          <w:r>
            <w:rPr>
              <w:rStyle w:val="22"/>
              <w:rFonts w:hint="eastAsia" w:ascii="仿宋_GB2312" w:hAnsi="宋体" w:eastAsia="仿宋_GB2312" w:cs="黑体"/>
              <w:bCs/>
            </w:rPr>
            <w:t>三区——构建科技产业协调发展新生态</w:t>
          </w:r>
          <w:r>
            <w:tab/>
          </w:r>
          <w:r>
            <w:fldChar w:fldCharType="begin"/>
          </w:r>
          <w:r>
            <w:instrText xml:space="preserve"> PAGEREF _Toc3583614 \h </w:instrText>
          </w:r>
          <w:r>
            <w:fldChar w:fldCharType="separate"/>
          </w:r>
          <w:r>
            <w:t>24</w:t>
          </w:r>
          <w:r>
            <w:fldChar w:fldCharType="end"/>
          </w:r>
          <w:r>
            <w:fldChar w:fldCharType="end"/>
          </w:r>
        </w:p>
        <w:p>
          <w:pPr>
            <w:pStyle w:val="14"/>
            <w:rPr>
              <w:rFonts w:asciiTheme="minorHAnsi" w:eastAsiaTheme="minorEastAsia"/>
              <w:sz w:val="21"/>
              <w:szCs w:val="22"/>
            </w:rPr>
          </w:pPr>
          <w:r>
            <w:fldChar w:fldCharType="begin"/>
          </w:r>
          <w:r>
            <w:instrText xml:space="preserve"> HYPERLINK \l "_Toc3583615" </w:instrText>
          </w:r>
          <w:r>
            <w:fldChar w:fldCharType="separate"/>
          </w:r>
          <w:r>
            <w:rPr>
              <w:rStyle w:val="22"/>
              <w:rFonts w:hint="eastAsia" w:hAnsi="黑体" w:cs="Times New Roman"/>
            </w:rPr>
            <w:t>（二）升级打造“五集群</w:t>
          </w:r>
          <w:r>
            <w:rPr>
              <w:rStyle w:val="22"/>
              <w:rFonts w:hAnsi="黑体" w:cs="Times New Roman"/>
            </w:rPr>
            <w:t>”</w:t>
          </w:r>
          <w:r>
            <w:tab/>
          </w:r>
          <w:r>
            <w:fldChar w:fldCharType="begin"/>
          </w:r>
          <w:r>
            <w:instrText xml:space="preserve"> PAGEREF _Toc3583615 \h </w:instrText>
          </w:r>
          <w:r>
            <w:fldChar w:fldCharType="separate"/>
          </w:r>
          <w:r>
            <w:t>25</w:t>
          </w:r>
          <w:r>
            <w:fldChar w:fldCharType="end"/>
          </w:r>
          <w:r>
            <w:fldChar w:fldCharType="end"/>
          </w:r>
        </w:p>
        <w:p>
          <w:pPr>
            <w:pStyle w:val="6"/>
            <w:rPr>
              <w:rFonts w:asciiTheme="minorHAnsi" w:hAnsiTheme="minorHAnsi" w:eastAsiaTheme="minorEastAsia" w:cstheme="minorBidi"/>
              <w:sz w:val="21"/>
              <w:szCs w:val="22"/>
            </w:rPr>
          </w:pPr>
          <w:r>
            <w:fldChar w:fldCharType="begin"/>
          </w:r>
          <w:r>
            <w:instrText xml:space="preserve"> HYPERLINK \l "_Toc3583616" </w:instrText>
          </w:r>
          <w:r>
            <w:fldChar w:fldCharType="separate"/>
          </w:r>
          <w:r>
            <w:rPr>
              <w:rStyle w:val="22"/>
              <w:rFonts w:ascii="仿宋_GB2312" w:hAnsi="宋体" w:eastAsia="仿宋_GB2312" w:cs="黑体"/>
              <w:bCs/>
            </w:rPr>
            <w:t>1.</w:t>
          </w:r>
          <w:r>
            <w:rPr>
              <w:rStyle w:val="22"/>
              <w:rFonts w:hint="eastAsia" w:ascii="仿宋_GB2312" w:hAnsi="宋体" w:eastAsia="仿宋_GB2312" w:cs="黑体"/>
              <w:bCs/>
            </w:rPr>
            <w:t>高端科技创新平台集群</w:t>
          </w:r>
          <w:r>
            <w:tab/>
          </w:r>
          <w:r>
            <w:fldChar w:fldCharType="begin"/>
          </w:r>
          <w:r>
            <w:instrText xml:space="preserve"> PAGEREF _Toc3583616 \h </w:instrText>
          </w:r>
          <w:r>
            <w:fldChar w:fldCharType="separate"/>
          </w:r>
          <w:r>
            <w:t>25</w:t>
          </w:r>
          <w:r>
            <w:fldChar w:fldCharType="end"/>
          </w:r>
          <w:r>
            <w:fldChar w:fldCharType="end"/>
          </w:r>
        </w:p>
        <w:p>
          <w:pPr>
            <w:pStyle w:val="6"/>
            <w:rPr>
              <w:rFonts w:asciiTheme="minorHAnsi" w:hAnsiTheme="minorHAnsi" w:eastAsiaTheme="minorEastAsia" w:cstheme="minorBidi"/>
              <w:sz w:val="21"/>
              <w:szCs w:val="22"/>
            </w:rPr>
          </w:pPr>
          <w:r>
            <w:fldChar w:fldCharType="begin"/>
          </w:r>
          <w:r>
            <w:instrText xml:space="preserve"> HYPERLINK \l "_Toc3583617" </w:instrText>
          </w:r>
          <w:r>
            <w:fldChar w:fldCharType="separate"/>
          </w:r>
          <w:r>
            <w:rPr>
              <w:rStyle w:val="22"/>
              <w:rFonts w:ascii="仿宋_GB2312" w:hAnsi="宋体" w:eastAsia="仿宋_GB2312" w:cs="黑体"/>
              <w:bCs/>
            </w:rPr>
            <w:t>2.</w:t>
          </w:r>
          <w:r>
            <w:rPr>
              <w:rStyle w:val="22"/>
              <w:rFonts w:hint="eastAsia" w:ascii="仿宋_GB2312" w:hAnsi="宋体" w:eastAsia="仿宋_GB2312" w:cs="黑体"/>
              <w:bCs/>
            </w:rPr>
            <w:t>科技服务集群</w:t>
          </w:r>
          <w:r>
            <w:tab/>
          </w:r>
          <w:r>
            <w:fldChar w:fldCharType="begin"/>
          </w:r>
          <w:r>
            <w:instrText xml:space="preserve"> PAGEREF _Toc3583617 \h </w:instrText>
          </w:r>
          <w:r>
            <w:fldChar w:fldCharType="separate"/>
          </w:r>
          <w:r>
            <w:t>25</w:t>
          </w:r>
          <w:r>
            <w:fldChar w:fldCharType="end"/>
          </w:r>
          <w:r>
            <w:fldChar w:fldCharType="end"/>
          </w:r>
        </w:p>
        <w:p>
          <w:pPr>
            <w:pStyle w:val="6"/>
            <w:rPr>
              <w:rFonts w:asciiTheme="minorHAnsi" w:hAnsiTheme="minorHAnsi" w:eastAsiaTheme="minorEastAsia" w:cstheme="minorBidi"/>
              <w:sz w:val="21"/>
              <w:szCs w:val="22"/>
            </w:rPr>
          </w:pPr>
          <w:r>
            <w:fldChar w:fldCharType="begin"/>
          </w:r>
          <w:r>
            <w:instrText xml:space="preserve"> HYPERLINK \l "_Toc3583618" </w:instrText>
          </w:r>
          <w:r>
            <w:fldChar w:fldCharType="separate"/>
          </w:r>
          <w:r>
            <w:rPr>
              <w:rStyle w:val="22"/>
              <w:rFonts w:ascii="仿宋_GB2312" w:hAnsi="宋体" w:eastAsia="仿宋_GB2312" w:cs="黑体"/>
              <w:bCs/>
            </w:rPr>
            <w:t>3.</w:t>
          </w:r>
          <w:r>
            <w:rPr>
              <w:rStyle w:val="22"/>
              <w:rFonts w:hint="eastAsia" w:ascii="仿宋_GB2312" w:hAnsi="宋体" w:eastAsia="仿宋_GB2312" w:cs="黑体"/>
              <w:bCs/>
            </w:rPr>
            <w:t>智能产业集群</w:t>
          </w:r>
          <w:r>
            <w:tab/>
          </w:r>
          <w:r>
            <w:fldChar w:fldCharType="begin"/>
          </w:r>
          <w:r>
            <w:instrText xml:space="preserve"> PAGEREF _Toc3583618 \h </w:instrText>
          </w:r>
          <w:r>
            <w:fldChar w:fldCharType="separate"/>
          </w:r>
          <w:r>
            <w:t>25</w:t>
          </w:r>
          <w:r>
            <w:fldChar w:fldCharType="end"/>
          </w:r>
          <w:r>
            <w:fldChar w:fldCharType="end"/>
          </w:r>
        </w:p>
        <w:p>
          <w:pPr>
            <w:pStyle w:val="6"/>
            <w:rPr>
              <w:rFonts w:asciiTheme="minorHAnsi" w:hAnsiTheme="minorHAnsi" w:eastAsiaTheme="minorEastAsia" w:cstheme="minorBidi"/>
              <w:sz w:val="21"/>
              <w:szCs w:val="22"/>
            </w:rPr>
          </w:pPr>
          <w:r>
            <w:fldChar w:fldCharType="begin"/>
          </w:r>
          <w:r>
            <w:instrText xml:space="preserve"> HYPERLINK \l "_Toc3583619" </w:instrText>
          </w:r>
          <w:r>
            <w:fldChar w:fldCharType="separate"/>
          </w:r>
          <w:r>
            <w:rPr>
              <w:rStyle w:val="22"/>
              <w:rFonts w:ascii="仿宋_GB2312" w:hAnsi="宋体" w:eastAsia="仿宋_GB2312" w:cs="黑体"/>
              <w:bCs/>
            </w:rPr>
            <w:t>4.</w:t>
          </w:r>
          <w:r>
            <w:rPr>
              <w:rStyle w:val="22"/>
              <w:rFonts w:hint="eastAsia" w:ascii="仿宋_GB2312" w:hAnsi="宋体" w:eastAsia="仿宋_GB2312" w:cs="黑体"/>
              <w:bCs/>
            </w:rPr>
            <w:t>生命科学产业</w:t>
          </w:r>
          <w:r>
            <w:rPr>
              <w:rStyle w:val="22"/>
              <w:rFonts w:hint="eastAsia" w:eastAsia="仿宋_GB2312" w:cs="黑体"/>
              <w:bCs/>
            </w:rPr>
            <w:t>集群</w:t>
          </w:r>
          <w:r>
            <w:tab/>
          </w:r>
          <w:r>
            <w:fldChar w:fldCharType="begin"/>
          </w:r>
          <w:r>
            <w:instrText xml:space="preserve"> PAGEREF _Toc3583619 \h </w:instrText>
          </w:r>
          <w:r>
            <w:fldChar w:fldCharType="separate"/>
          </w:r>
          <w:r>
            <w:t>25</w:t>
          </w:r>
          <w:r>
            <w:fldChar w:fldCharType="end"/>
          </w:r>
          <w:r>
            <w:fldChar w:fldCharType="end"/>
          </w:r>
        </w:p>
        <w:p>
          <w:pPr>
            <w:pStyle w:val="6"/>
            <w:rPr>
              <w:rFonts w:asciiTheme="minorHAnsi" w:hAnsiTheme="minorHAnsi" w:eastAsiaTheme="minorEastAsia" w:cstheme="minorBidi"/>
              <w:sz w:val="21"/>
              <w:szCs w:val="22"/>
            </w:rPr>
          </w:pPr>
          <w:r>
            <w:fldChar w:fldCharType="begin"/>
          </w:r>
          <w:r>
            <w:instrText xml:space="preserve"> HYPERLINK \l "_Toc3583620" </w:instrText>
          </w:r>
          <w:r>
            <w:fldChar w:fldCharType="separate"/>
          </w:r>
          <w:r>
            <w:rPr>
              <w:rStyle w:val="22"/>
              <w:rFonts w:ascii="仿宋_GB2312" w:hAnsi="宋体" w:eastAsia="仿宋_GB2312" w:cs="黑体"/>
              <w:bCs/>
            </w:rPr>
            <w:t>5.</w:t>
          </w:r>
          <w:r>
            <w:rPr>
              <w:rStyle w:val="22"/>
              <w:rFonts w:hint="eastAsia" w:ascii="仿宋_GB2312" w:hAnsi="宋体" w:eastAsia="仿宋_GB2312" w:cs="黑体"/>
              <w:bCs/>
            </w:rPr>
            <w:t>新材料产业集群</w:t>
          </w:r>
          <w:r>
            <w:tab/>
          </w:r>
          <w:r>
            <w:fldChar w:fldCharType="begin"/>
          </w:r>
          <w:r>
            <w:instrText xml:space="preserve"> PAGEREF _Toc3583620 \h </w:instrText>
          </w:r>
          <w:r>
            <w:fldChar w:fldCharType="separate"/>
          </w:r>
          <w:r>
            <w:t>26</w:t>
          </w:r>
          <w:r>
            <w:fldChar w:fldCharType="end"/>
          </w:r>
          <w:r>
            <w:fldChar w:fldCharType="end"/>
          </w:r>
        </w:p>
        <w:p>
          <w:pPr>
            <w:pStyle w:val="12"/>
            <w:rPr>
              <w:rFonts w:asciiTheme="minorHAnsi" w:hAnsiTheme="minorHAnsi" w:eastAsiaTheme="minorEastAsia" w:cstheme="minorBidi"/>
              <w:sz w:val="21"/>
              <w:szCs w:val="22"/>
            </w:rPr>
          </w:pPr>
          <w:r>
            <w:fldChar w:fldCharType="begin"/>
          </w:r>
          <w:r>
            <w:instrText xml:space="preserve"> HYPERLINK \l "_Toc3583621" </w:instrText>
          </w:r>
          <w:r>
            <w:fldChar w:fldCharType="separate"/>
          </w:r>
          <w:r>
            <w:rPr>
              <w:rStyle w:val="22"/>
              <w:rFonts w:hint="eastAsia"/>
            </w:rPr>
            <w:t>六、保障措施</w:t>
          </w:r>
          <w:r>
            <w:tab/>
          </w:r>
          <w:r>
            <w:rPr>
              <w:rFonts w:ascii="仿宋_GB2312" w:eastAsia="仿宋_GB2312"/>
            </w:rPr>
            <w:fldChar w:fldCharType="begin"/>
          </w:r>
          <w:r>
            <w:rPr>
              <w:rFonts w:ascii="仿宋_GB2312" w:eastAsia="仿宋_GB2312"/>
            </w:rPr>
            <w:instrText xml:space="preserve"> PAGEREF _Toc3583621 \h </w:instrText>
          </w:r>
          <w:r>
            <w:rPr>
              <w:rFonts w:ascii="仿宋_GB2312" w:eastAsia="仿宋_GB2312"/>
            </w:rPr>
            <w:fldChar w:fldCharType="separate"/>
          </w:r>
          <w:r>
            <w:rPr>
              <w:rFonts w:ascii="仿宋_GB2312" w:eastAsia="仿宋_GB2312"/>
            </w:rPr>
            <w:t>26</w:t>
          </w:r>
          <w:r>
            <w:rPr>
              <w:rFonts w:ascii="仿宋_GB2312" w:eastAsia="仿宋_GB2312"/>
            </w:rPr>
            <w:fldChar w:fldCharType="end"/>
          </w:r>
          <w:r>
            <w:rPr>
              <w:rFonts w:ascii="仿宋_GB2312" w:eastAsia="仿宋_GB2312"/>
            </w:rPr>
            <w:fldChar w:fldCharType="end"/>
          </w:r>
        </w:p>
        <w:p>
          <w:pPr>
            <w:pStyle w:val="14"/>
            <w:spacing w:line="360" w:lineRule="auto"/>
            <w:rPr>
              <w:rFonts w:asciiTheme="minorHAnsi" w:eastAsiaTheme="minorEastAsia"/>
              <w:sz w:val="21"/>
              <w:szCs w:val="22"/>
            </w:rPr>
          </w:pPr>
          <w:r>
            <w:fldChar w:fldCharType="begin"/>
          </w:r>
          <w:r>
            <w:instrText xml:space="preserve"> HYPERLINK \l "_Toc3583622" </w:instrText>
          </w:r>
          <w:r>
            <w:fldChar w:fldCharType="separate"/>
          </w:r>
          <w:r>
            <w:rPr>
              <w:rStyle w:val="22"/>
              <w:rFonts w:hint="eastAsia" w:hAnsi="黑体" w:cs="Times New Roman"/>
            </w:rPr>
            <w:t>（一）加强组织落实</w:t>
          </w:r>
          <w:r>
            <w:tab/>
          </w:r>
          <w:r>
            <w:fldChar w:fldCharType="begin"/>
          </w:r>
          <w:r>
            <w:instrText xml:space="preserve"> PAGEREF _Toc3583622 \h </w:instrText>
          </w:r>
          <w:r>
            <w:fldChar w:fldCharType="separate"/>
          </w:r>
          <w:r>
            <w:t>26</w:t>
          </w:r>
          <w:r>
            <w:fldChar w:fldCharType="end"/>
          </w:r>
          <w:r>
            <w:fldChar w:fldCharType="end"/>
          </w:r>
        </w:p>
        <w:p>
          <w:pPr>
            <w:pStyle w:val="14"/>
            <w:spacing w:line="360" w:lineRule="auto"/>
            <w:rPr>
              <w:rFonts w:asciiTheme="minorHAnsi" w:eastAsiaTheme="minorEastAsia"/>
              <w:sz w:val="21"/>
              <w:szCs w:val="22"/>
            </w:rPr>
          </w:pPr>
          <w:r>
            <w:fldChar w:fldCharType="begin"/>
          </w:r>
          <w:r>
            <w:instrText xml:space="preserve"> HYPERLINK \l "_Toc3583623" </w:instrText>
          </w:r>
          <w:r>
            <w:fldChar w:fldCharType="separate"/>
          </w:r>
          <w:r>
            <w:rPr>
              <w:rStyle w:val="22"/>
              <w:rFonts w:hint="eastAsia" w:hAnsi="黑体" w:cs="Times New Roman"/>
            </w:rPr>
            <w:t>（二）完善产业政策</w:t>
          </w:r>
          <w:r>
            <w:tab/>
          </w:r>
          <w:r>
            <w:fldChar w:fldCharType="begin"/>
          </w:r>
          <w:r>
            <w:instrText xml:space="preserve"> PAGEREF _Toc3583623 \h </w:instrText>
          </w:r>
          <w:r>
            <w:fldChar w:fldCharType="separate"/>
          </w:r>
          <w:r>
            <w:t>27</w:t>
          </w:r>
          <w:r>
            <w:fldChar w:fldCharType="end"/>
          </w:r>
          <w:r>
            <w:fldChar w:fldCharType="end"/>
          </w:r>
        </w:p>
        <w:p>
          <w:pPr>
            <w:pStyle w:val="14"/>
            <w:spacing w:line="360" w:lineRule="auto"/>
            <w:rPr>
              <w:rFonts w:asciiTheme="minorHAnsi" w:eastAsiaTheme="minorEastAsia"/>
              <w:sz w:val="21"/>
              <w:szCs w:val="22"/>
            </w:rPr>
          </w:pPr>
          <w:r>
            <w:fldChar w:fldCharType="begin"/>
          </w:r>
          <w:r>
            <w:instrText xml:space="preserve"> HYPERLINK \l "_Toc3583624" </w:instrText>
          </w:r>
          <w:r>
            <w:fldChar w:fldCharType="separate"/>
          </w:r>
          <w:r>
            <w:rPr>
              <w:rStyle w:val="22"/>
              <w:rFonts w:hint="eastAsia" w:hAnsi="黑体" w:cs="Times New Roman"/>
            </w:rPr>
            <w:t>（三）强化空间保障</w:t>
          </w:r>
          <w:r>
            <w:tab/>
          </w:r>
          <w:r>
            <w:fldChar w:fldCharType="begin"/>
          </w:r>
          <w:r>
            <w:instrText xml:space="preserve"> PAGEREF _Toc3583624 \h </w:instrText>
          </w:r>
          <w:r>
            <w:fldChar w:fldCharType="separate"/>
          </w:r>
          <w:r>
            <w:t>27</w:t>
          </w:r>
          <w:r>
            <w:fldChar w:fldCharType="end"/>
          </w:r>
          <w:r>
            <w:fldChar w:fldCharType="end"/>
          </w:r>
        </w:p>
        <w:p>
          <w:pPr>
            <w:pStyle w:val="14"/>
            <w:spacing w:line="360" w:lineRule="auto"/>
            <w:rPr>
              <w:rFonts w:asciiTheme="minorHAnsi" w:eastAsiaTheme="minorEastAsia"/>
              <w:sz w:val="21"/>
              <w:szCs w:val="22"/>
            </w:rPr>
          </w:pPr>
          <w:r>
            <w:fldChar w:fldCharType="begin"/>
          </w:r>
          <w:r>
            <w:instrText xml:space="preserve"> HYPERLINK \l "_Toc3583625" </w:instrText>
          </w:r>
          <w:r>
            <w:fldChar w:fldCharType="separate"/>
          </w:r>
          <w:r>
            <w:rPr>
              <w:rStyle w:val="22"/>
              <w:rFonts w:hint="eastAsia" w:hAnsi="黑体" w:cs="Times New Roman"/>
            </w:rPr>
            <w:t>（四）优化营商环境</w:t>
          </w:r>
          <w:r>
            <w:tab/>
          </w:r>
          <w:r>
            <w:fldChar w:fldCharType="begin"/>
          </w:r>
          <w:r>
            <w:instrText xml:space="preserve"> PAGEREF _Toc3583625 \h </w:instrText>
          </w:r>
          <w:r>
            <w:fldChar w:fldCharType="separate"/>
          </w:r>
          <w:r>
            <w:t>27</w:t>
          </w:r>
          <w:r>
            <w:fldChar w:fldCharType="end"/>
          </w:r>
          <w:r>
            <w:fldChar w:fldCharType="end"/>
          </w:r>
        </w:p>
        <w:p>
          <w:pPr>
            <w:pStyle w:val="14"/>
            <w:spacing w:line="360" w:lineRule="auto"/>
            <w:rPr>
              <w:rFonts w:asciiTheme="minorHAnsi" w:eastAsiaTheme="minorEastAsia"/>
              <w:sz w:val="21"/>
              <w:szCs w:val="22"/>
            </w:rPr>
          </w:pPr>
          <w:r>
            <w:fldChar w:fldCharType="begin"/>
          </w:r>
          <w:r>
            <w:instrText xml:space="preserve"> HYPERLINK \l "_Toc3583626" </w:instrText>
          </w:r>
          <w:r>
            <w:fldChar w:fldCharType="separate"/>
          </w:r>
          <w:r>
            <w:rPr>
              <w:rStyle w:val="22"/>
              <w:rFonts w:hint="eastAsia" w:hAnsi="黑体" w:cs="Times New Roman"/>
            </w:rPr>
            <w:t>（五）完善监督考核</w:t>
          </w:r>
          <w:r>
            <w:tab/>
          </w:r>
          <w:r>
            <w:fldChar w:fldCharType="begin"/>
          </w:r>
          <w:r>
            <w:instrText xml:space="preserve"> PAGEREF _Toc3583626 \h </w:instrText>
          </w:r>
          <w:r>
            <w:fldChar w:fldCharType="separate"/>
          </w:r>
          <w:r>
            <w:t>28</w:t>
          </w:r>
          <w:r>
            <w:fldChar w:fldCharType="end"/>
          </w:r>
          <w:r>
            <w:fldChar w:fldCharType="end"/>
          </w:r>
        </w:p>
        <w:p>
          <w:pPr>
            <w:pStyle w:val="12"/>
            <w:rPr>
              <w:rFonts w:asciiTheme="minorHAnsi" w:hAnsiTheme="minorHAnsi" w:eastAsiaTheme="minorEastAsia" w:cstheme="minorBidi"/>
              <w:sz w:val="21"/>
              <w:szCs w:val="22"/>
            </w:rPr>
          </w:pPr>
          <w:r>
            <w:fldChar w:fldCharType="begin"/>
          </w:r>
          <w:r>
            <w:instrText xml:space="preserve"> HYPERLINK \l "_Toc3583627" </w:instrText>
          </w:r>
          <w:r>
            <w:fldChar w:fldCharType="separate"/>
          </w:r>
          <w:r>
            <w:rPr>
              <w:rStyle w:val="22"/>
              <w:rFonts w:hint="eastAsia"/>
              <w:kern w:val="11"/>
            </w:rPr>
            <w:t>附件</w:t>
          </w:r>
          <w:r>
            <w:rPr>
              <w:rStyle w:val="22"/>
              <w:kern w:val="11"/>
            </w:rPr>
            <w:t xml:space="preserve"> </w:t>
          </w:r>
          <w:r>
            <w:rPr>
              <w:rStyle w:val="22"/>
              <w:rFonts w:hint="eastAsia"/>
              <w:kern w:val="11"/>
            </w:rPr>
            <w:t>名词解释</w:t>
          </w:r>
          <w:r>
            <w:tab/>
          </w:r>
          <w:r>
            <w:rPr>
              <w:rFonts w:ascii="仿宋_GB2312" w:eastAsia="仿宋_GB2312"/>
            </w:rPr>
            <w:fldChar w:fldCharType="begin"/>
          </w:r>
          <w:r>
            <w:rPr>
              <w:rFonts w:ascii="仿宋_GB2312" w:eastAsia="仿宋_GB2312"/>
            </w:rPr>
            <w:instrText xml:space="preserve"> PAGEREF _Toc3583627 \h </w:instrText>
          </w:r>
          <w:r>
            <w:rPr>
              <w:rFonts w:ascii="仿宋_GB2312" w:eastAsia="仿宋_GB2312"/>
            </w:rPr>
            <w:fldChar w:fldCharType="separate"/>
          </w:r>
          <w:r>
            <w:rPr>
              <w:rFonts w:ascii="仿宋_GB2312" w:eastAsia="仿宋_GB2312"/>
            </w:rPr>
            <w:t>29</w:t>
          </w:r>
          <w:r>
            <w:rPr>
              <w:rFonts w:ascii="仿宋_GB2312" w:eastAsia="仿宋_GB2312"/>
            </w:rPr>
            <w:fldChar w:fldCharType="end"/>
          </w:r>
          <w:r>
            <w:rPr>
              <w:rFonts w:ascii="仿宋_GB2312" w:eastAsia="仿宋_GB2312"/>
            </w:rPr>
            <w:fldChar w:fldCharType="end"/>
          </w:r>
        </w:p>
        <w:p>
          <w:pPr>
            <w:adjustRightInd w:val="0"/>
            <w:snapToGrid w:val="0"/>
            <w:spacing w:line="360" w:lineRule="auto"/>
            <w:sectPr>
              <w:pgSz w:w="11906" w:h="16838"/>
              <w:pgMar w:top="1440" w:right="1800" w:bottom="1440" w:left="1800" w:header="851" w:footer="992" w:gutter="0"/>
              <w:pgNumType w:start="1"/>
              <w:cols w:space="425" w:num="1"/>
              <w:docGrid w:type="lines" w:linePitch="312" w:charSpace="0"/>
            </w:sectPr>
          </w:pPr>
          <w:r>
            <w:rPr>
              <w:rFonts w:ascii="Times New Roman" w:hAnsi="Times New Roman" w:eastAsia="仿宋_GB2312" w:cs="Times New Roman"/>
              <w:bCs/>
              <w:lang w:val="zh-CN"/>
            </w:rPr>
            <w:fldChar w:fldCharType="end"/>
          </w:r>
        </w:p>
      </w:sdtContent>
    </w:sdt>
    <w:p>
      <w:pPr>
        <w:pStyle w:val="2"/>
        <w:spacing w:line="560" w:lineRule="exact"/>
        <w:ind w:firstLine="0" w:firstLineChars="0"/>
      </w:pPr>
      <w:bookmarkStart w:id="0" w:name="_Toc535441302"/>
      <w:bookmarkStart w:id="1" w:name="_Toc3583565"/>
      <w:r>
        <w:rPr>
          <w:rFonts w:hint="eastAsia"/>
        </w:rPr>
        <w:t>一、新形势新使命新征程</w:t>
      </w:r>
      <w:bookmarkEnd w:id="0"/>
      <w:bookmarkEnd w:id="1"/>
    </w:p>
    <w:p>
      <w:pPr>
        <w:spacing w:line="560" w:lineRule="exact"/>
        <w:ind w:firstLine="642" w:firstLineChars="200"/>
        <w:outlineLvl w:val="1"/>
        <w:rPr>
          <w:rFonts w:ascii="楷体_GB2312" w:eastAsia="楷体_GB2312"/>
          <w:b/>
          <w:sz w:val="32"/>
          <w:szCs w:val="32"/>
        </w:rPr>
      </w:pPr>
      <w:bookmarkStart w:id="2" w:name="_Toc535441303"/>
      <w:bookmarkStart w:id="3" w:name="_Toc3583566"/>
      <w:r>
        <w:rPr>
          <w:rFonts w:hint="eastAsia" w:ascii="楷体_GB2312" w:eastAsia="楷体_GB2312"/>
          <w:b/>
          <w:sz w:val="32"/>
          <w:szCs w:val="32"/>
        </w:rPr>
        <w:t>（一）战略机遇</w:t>
      </w:r>
      <w:bookmarkEnd w:id="2"/>
      <w:bookmarkEnd w:id="3"/>
    </w:p>
    <w:p>
      <w:pPr>
        <w:spacing w:line="560" w:lineRule="exact"/>
        <w:ind w:firstLine="642" w:firstLineChars="200"/>
        <w:outlineLvl w:val="2"/>
        <w:rPr>
          <w:rFonts w:ascii="仿宋_GB2312" w:hAnsi="仿宋" w:eastAsia="仿宋_GB2312" w:cs="Times New Roman"/>
          <w:b/>
          <w:sz w:val="32"/>
          <w:szCs w:val="32"/>
        </w:rPr>
      </w:pPr>
      <w:bookmarkStart w:id="4" w:name="_Toc3583567"/>
      <w:bookmarkStart w:id="5" w:name="_Toc524378281"/>
      <w:r>
        <w:rPr>
          <w:rFonts w:hint="eastAsia" w:ascii="仿宋_GB2312" w:hAnsi="仿宋" w:eastAsia="仿宋_GB2312" w:cs="Times New Roman"/>
          <w:b/>
          <w:sz w:val="32"/>
          <w:szCs w:val="32"/>
        </w:rPr>
        <w:t>1.新一轮科技革命是光明实现弯道超车的时间窗口</w:t>
      </w:r>
      <w:bookmarkEnd w:id="4"/>
    </w:p>
    <w:bookmarkEnd w:id="5"/>
    <w:p>
      <w:pPr>
        <w:spacing w:line="560" w:lineRule="exact"/>
        <w:ind w:firstLine="640" w:firstLineChars="200"/>
        <w:rPr>
          <w:rFonts w:ascii="仿宋_GB2312" w:hAnsi="仿宋" w:eastAsia="仿宋_GB2312" w:cs="Times New Roman"/>
          <w:color w:val="000000"/>
          <w:sz w:val="32"/>
          <w:szCs w:val="32"/>
        </w:rPr>
      </w:pPr>
      <w:r>
        <w:rPr>
          <w:rFonts w:hint="eastAsia" w:ascii="仿宋_GB2312" w:hAnsi="仿宋" w:eastAsia="仿宋_GB2312" w:cs="Times New Roman"/>
          <w:color w:val="000000"/>
          <w:sz w:val="32"/>
          <w:szCs w:val="32"/>
        </w:rPr>
        <w:t>新一轮科技革命和产业变革方兴未艾，基础科学重大突破正在开辟新前沿、新方向，人工智能、生物技术、新材料等产业领域多点突破、交叉融合趋势明显，不断催生新技术、新产业、新业态、新模式。世界各国纷纷抢占科技创新制高点，高科技领域国际贸易摩擦日趋频繁，科技创新引发国际分工和国际贸易格局正在深度调整，为光明依托源头创新实现弯道超车提供了有利时机。</w:t>
      </w:r>
    </w:p>
    <w:p>
      <w:pPr>
        <w:spacing w:line="560" w:lineRule="exact"/>
        <w:ind w:firstLine="642" w:firstLineChars="200"/>
        <w:outlineLvl w:val="2"/>
        <w:rPr>
          <w:rFonts w:ascii="仿宋_GB2312" w:hAnsi="仿宋" w:eastAsia="仿宋_GB2312" w:cs="Times New Roman"/>
          <w:b/>
          <w:sz w:val="32"/>
          <w:szCs w:val="32"/>
        </w:rPr>
      </w:pPr>
      <w:bookmarkStart w:id="6" w:name="_Toc3583568"/>
      <w:bookmarkStart w:id="7" w:name="_Toc524378283"/>
      <w:bookmarkStart w:id="8" w:name="_Hlk523824474"/>
      <w:r>
        <w:rPr>
          <w:rFonts w:ascii="仿宋_GB2312" w:hAnsi="仿宋" w:eastAsia="仿宋_GB2312" w:cs="Times New Roman"/>
          <w:b/>
          <w:sz w:val="32"/>
          <w:szCs w:val="32"/>
        </w:rPr>
        <w:t>2</w:t>
      </w:r>
      <w:r>
        <w:rPr>
          <w:rFonts w:hint="eastAsia" w:ascii="仿宋_GB2312" w:hAnsi="仿宋" w:eastAsia="仿宋_GB2312" w:cs="Times New Roman"/>
          <w:b/>
          <w:sz w:val="32"/>
          <w:szCs w:val="32"/>
        </w:rPr>
        <w:t>.粤港澳大湾区是光明跨区域协同创新的“朋友圈”</w:t>
      </w:r>
      <w:bookmarkEnd w:id="6"/>
    </w:p>
    <w:p>
      <w:pPr>
        <w:spacing w:line="560" w:lineRule="exact"/>
        <w:ind w:firstLine="640" w:firstLineChars="200"/>
        <w:rPr>
          <w:rFonts w:ascii="仿宋_GB2312" w:hAnsi="仿宋" w:eastAsia="仿宋_GB2312" w:cs="Times New Roman"/>
          <w:sz w:val="32"/>
          <w:szCs w:val="32"/>
        </w:rPr>
      </w:pPr>
      <w:r>
        <w:rPr>
          <w:rFonts w:hint="eastAsia" w:ascii="仿宋_GB2312" w:hAnsi="仿宋" w:eastAsia="仿宋_GB2312" w:cs="Times New Roman"/>
          <w:sz w:val="32"/>
          <w:szCs w:val="32"/>
        </w:rPr>
        <w:t>建设粤港澳大湾区是习近平总书记亲自谋划、亲自部署、亲自推动的国家战略，是中央支持港澳与广东实现共建共享共赢的重大决策部署。习近平总书记对深圳工作的重要批示指出“深入实施创新驱动发展战略，抓住粤港澳大湾区建设重大机遇,增强核心引擎功能”，光明作为粤港澳大湾区国际科技创新中心和广深港澳科技创新走廊的重要节点，依托广深港高铁和规划建设的大湾区城际铁路，可加速创新资源要素自由流动和集聚，联合粤港澳大湾区形成创新合力，构建开放型区域协同创新共同体。</w:t>
      </w:r>
    </w:p>
    <w:p>
      <w:pPr>
        <w:spacing w:line="560" w:lineRule="exact"/>
        <w:ind w:firstLine="642" w:firstLineChars="200"/>
        <w:outlineLvl w:val="2"/>
        <w:rPr>
          <w:rFonts w:ascii="仿宋_GB2312" w:hAnsi="仿宋" w:eastAsia="仿宋_GB2312" w:cs="Times New Roman"/>
          <w:b/>
          <w:sz w:val="32"/>
          <w:szCs w:val="32"/>
        </w:rPr>
      </w:pPr>
      <w:bookmarkStart w:id="9" w:name="_Toc3583569"/>
      <w:r>
        <w:rPr>
          <w:rFonts w:ascii="仿宋_GB2312" w:hAnsi="仿宋" w:eastAsia="仿宋_GB2312" w:cs="Times New Roman"/>
          <w:b/>
          <w:sz w:val="32"/>
          <w:szCs w:val="32"/>
        </w:rPr>
        <w:t>3</w:t>
      </w:r>
      <w:r>
        <w:rPr>
          <w:rFonts w:hint="eastAsia" w:ascii="仿宋_GB2312" w:hAnsi="仿宋" w:eastAsia="仿宋_GB2312" w:cs="Times New Roman"/>
          <w:b/>
          <w:sz w:val="32"/>
          <w:szCs w:val="32"/>
        </w:rPr>
        <w:t>.</w:t>
      </w:r>
      <w:bookmarkEnd w:id="9"/>
      <w:r>
        <w:rPr>
          <w:rFonts w:hint="eastAsia" w:ascii="仿宋_GB2312" w:hAnsi="仿宋" w:eastAsia="仿宋_GB2312" w:cs="Times New Roman"/>
          <w:b/>
          <w:sz w:val="32"/>
          <w:szCs w:val="32"/>
        </w:rPr>
        <w:t>中国特色社会主义先行示范区建设助力光明提升战略地位</w:t>
      </w:r>
    </w:p>
    <w:p>
      <w:pPr>
        <w:spacing w:line="560" w:lineRule="exact"/>
        <w:ind w:firstLine="640" w:firstLineChars="200"/>
        <w:rPr>
          <w:rFonts w:ascii="仿宋_GB2312" w:hAnsi="仿宋" w:eastAsia="仿宋_GB2312" w:cs="Times New Roman"/>
          <w:sz w:val="32"/>
          <w:szCs w:val="32"/>
        </w:rPr>
      </w:pPr>
      <w:r>
        <w:rPr>
          <w:rFonts w:hint="eastAsia" w:ascii="仿宋_GB2312" w:hAnsi="仿宋" w:eastAsia="仿宋_GB2312" w:cs="Times New Roman"/>
          <w:sz w:val="32"/>
          <w:szCs w:val="32"/>
        </w:rPr>
        <w:t>先行示范区意见提出以深圳为主阵地建设综合性国家科学中心，在粤港澳大湾区国际科技创新中心建设中发挥关键作用，光明科学城作为综合性国家科学中心的集中承载区，</w:t>
      </w:r>
      <w:r>
        <w:rPr>
          <w:rFonts w:ascii="仿宋_GB2312" w:hAnsi="仿宋" w:eastAsia="仿宋_GB2312" w:cs="Times New Roman"/>
          <w:sz w:val="32"/>
          <w:szCs w:val="32"/>
        </w:rPr>
        <w:t>将</w:t>
      </w:r>
      <w:r>
        <w:rPr>
          <w:rFonts w:hint="eastAsia" w:ascii="仿宋_GB2312" w:hAnsi="仿宋" w:eastAsia="仿宋_GB2312" w:cs="Times New Roman"/>
          <w:sz w:val="32"/>
          <w:szCs w:val="32"/>
        </w:rPr>
        <w:t>集聚一批国际一流</w:t>
      </w:r>
      <w:r>
        <w:rPr>
          <w:rFonts w:ascii="仿宋_GB2312" w:hAnsi="仿宋" w:eastAsia="仿宋_GB2312" w:cs="Times New Roman"/>
          <w:sz w:val="32"/>
          <w:szCs w:val="32"/>
        </w:rPr>
        <w:t>重大科技基础设施</w:t>
      </w:r>
      <w:r>
        <w:rPr>
          <w:rFonts w:hint="eastAsia" w:ascii="仿宋_GB2312" w:hAnsi="仿宋" w:eastAsia="仿宋_GB2312" w:cs="Times New Roman"/>
          <w:sz w:val="32"/>
          <w:szCs w:val="32"/>
        </w:rPr>
        <w:t>、世界知名高校和科研院所、跨学科前沿交叉研究平台和顶尖科技创新人才，助力光明打造创新资源密集、国际合作</w:t>
      </w:r>
      <w:r>
        <w:rPr>
          <w:rFonts w:ascii="仿宋_GB2312" w:hAnsi="仿宋" w:eastAsia="仿宋_GB2312" w:cs="Times New Roman"/>
          <w:sz w:val="32"/>
          <w:szCs w:val="32"/>
        </w:rPr>
        <w:t>密切</w:t>
      </w:r>
      <w:r>
        <w:rPr>
          <w:rFonts w:hint="eastAsia" w:ascii="仿宋_GB2312" w:hAnsi="仿宋" w:eastAsia="仿宋_GB2312" w:cs="Times New Roman"/>
          <w:sz w:val="32"/>
          <w:szCs w:val="32"/>
        </w:rPr>
        <w:t>、辐射带动广泛的全球创新高地和新兴产业策源地，提升光明在全国的战略地位和全球创新版图中的位势。</w:t>
      </w:r>
    </w:p>
    <w:p>
      <w:pPr>
        <w:spacing w:line="560" w:lineRule="exact"/>
        <w:ind w:firstLine="642" w:firstLineChars="200"/>
        <w:outlineLvl w:val="2"/>
        <w:rPr>
          <w:rFonts w:ascii="仿宋_GB2312" w:hAnsi="仿宋" w:eastAsia="仿宋_GB2312" w:cs="Times New Roman"/>
          <w:b/>
          <w:sz w:val="32"/>
          <w:szCs w:val="32"/>
        </w:rPr>
      </w:pPr>
      <w:bookmarkStart w:id="10" w:name="_Toc3583570"/>
      <w:r>
        <w:rPr>
          <w:rFonts w:hint="eastAsia" w:ascii="仿宋_GB2312" w:hAnsi="仿宋" w:eastAsia="仿宋_GB2312" w:cs="Times New Roman"/>
          <w:b/>
          <w:sz w:val="32"/>
          <w:szCs w:val="32"/>
        </w:rPr>
        <w:t>4</w:t>
      </w:r>
      <w:r>
        <w:rPr>
          <w:rFonts w:ascii="仿宋_GB2312" w:hAnsi="仿宋" w:eastAsia="仿宋_GB2312" w:cs="Times New Roman"/>
          <w:b/>
          <w:sz w:val="32"/>
          <w:szCs w:val="32"/>
        </w:rPr>
        <w:t>.</w:t>
      </w:r>
      <w:r>
        <w:rPr>
          <w:rFonts w:hint="eastAsia" w:ascii="仿宋_GB2312" w:hAnsi="仿宋" w:eastAsia="仿宋_GB2312" w:cs="Times New Roman"/>
          <w:b/>
          <w:sz w:val="32"/>
          <w:szCs w:val="32"/>
        </w:rPr>
        <w:t>批复设立行政区</w:t>
      </w:r>
      <w:r>
        <w:rPr>
          <w:rFonts w:ascii="仿宋_GB2312" w:hAnsi="仿宋" w:eastAsia="仿宋_GB2312" w:cs="Times New Roman"/>
          <w:b/>
          <w:sz w:val="32"/>
          <w:szCs w:val="32"/>
        </w:rPr>
        <w:t>是光明</w:t>
      </w:r>
      <w:r>
        <w:rPr>
          <w:rFonts w:hint="eastAsia" w:ascii="仿宋_GB2312" w:hAnsi="仿宋" w:eastAsia="仿宋_GB2312" w:cs="Times New Roman"/>
          <w:b/>
          <w:sz w:val="32"/>
          <w:szCs w:val="32"/>
        </w:rPr>
        <w:t>迎来再次腾飞的重大契机</w:t>
      </w:r>
      <w:bookmarkEnd w:id="10"/>
    </w:p>
    <w:p>
      <w:pPr>
        <w:spacing w:line="560" w:lineRule="exact"/>
        <w:ind w:firstLine="640" w:firstLineChars="200"/>
        <w:rPr>
          <w:rFonts w:ascii="仿宋_GB2312" w:hAnsi="仿宋" w:eastAsia="仿宋_GB2312" w:cs="Times New Roman"/>
          <w:sz w:val="32"/>
          <w:szCs w:val="32"/>
        </w:rPr>
      </w:pPr>
      <w:r>
        <w:rPr>
          <w:rFonts w:hint="eastAsia" w:ascii="仿宋_GB2312" w:hAnsi="仿宋" w:eastAsia="仿宋_GB2312" w:cs="Times New Roman"/>
          <w:sz w:val="32"/>
          <w:szCs w:val="32"/>
        </w:rPr>
        <w:t>2018年</w:t>
      </w:r>
      <w:r>
        <w:rPr>
          <w:rFonts w:ascii="仿宋_GB2312" w:hAnsi="仿宋" w:eastAsia="仿宋_GB2312" w:cs="Times New Roman"/>
          <w:sz w:val="32"/>
          <w:szCs w:val="32"/>
        </w:rPr>
        <w:t>5</w:t>
      </w:r>
      <w:r>
        <w:rPr>
          <w:rFonts w:hint="eastAsia" w:ascii="仿宋_GB2312" w:hAnsi="仿宋" w:eastAsia="仿宋_GB2312" w:cs="Times New Roman"/>
          <w:sz w:val="32"/>
          <w:szCs w:val="32"/>
        </w:rPr>
        <w:t>月，国务院正式批复光明设立行政区，光明第一届党代会确定了“四城两区”战略目标，开启了建设新光明、开创新未来的历史新征程。行政区划调整后的光明具有完善的政治功能、独立的管辖范围、</w:t>
      </w:r>
      <w:r>
        <w:rPr>
          <w:rFonts w:ascii="仿宋_GB2312" w:hAnsi="仿宋" w:eastAsia="仿宋_GB2312" w:cs="Times New Roman"/>
          <w:sz w:val="32"/>
          <w:szCs w:val="32"/>
        </w:rPr>
        <w:t>完备的行政架构</w:t>
      </w:r>
      <w:r>
        <w:rPr>
          <w:rFonts w:hint="eastAsia" w:ascii="仿宋_GB2312" w:hAnsi="仿宋" w:eastAsia="仿宋_GB2312" w:cs="Times New Roman"/>
          <w:sz w:val="32"/>
          <w:szCs w:val="32"/>
        </w:rPr>
        <w:t>、更多的</w:t>
      </w:r>
      <w:r>
        <w:rPr>
          <w:rFonts w:ascii="仿宋_GB2312" w:hAnsi="仿宋" w:eastAsia="仿宋_GB2312" w:cs="Times New Roman"/>
          <w:sz w:val="32"/>
          <w:szCs w:val="32"/>
        </w:rPr>
        <w:t>自主权利</w:t>
      </w:r>
      <w:r>
        <w:rPr>
          <w:rFonts w:hint="eastAsia" w:ascii="仿宋_GB2312" w:hAnsi="仿宋" w:eastAsia="仿宋_GB2312" w:cs="Times New Roman"/>
          <w:sz w:val="32"/>
          <w:szCs w:val="32"/>
        </w:rPr>
        <w:t>，为光明破除体制机制障碍、推进高质量特区一体化发展、开辟更大的发展空间增添了强劲动力，更好地助力深圳市建设中国特色社会主义先行示范区。</w:t>
      </w:r>
    </w:p>
    <w:p>
      <w:pPr>
        <w:spacing w:line="560" w:lineRule="exact"/>
        <w:ind w:firstLine="642" w:firstLineChars="200"/>
        <w:outlineLvl w:val="1"/>
        <w:rPr>
          <w:rFonts w:ascii="楷体_GB2312" w:eastAsia="楷体_GB2312"/>
          <w:b/>
          <w:sz w:val="32"/>
          <w:szCs w:val="32"/>
        </w:rPr>
      </w:pPr>
      <w:bookmarkStart w:id="11" w:name="_Toc3583571"/>
      <w:r>
        <w:rPr>
          <w:rFonts w:hint="eastAsia" w:ascii="楷体_GB2312" w:eastAsia="楷体_GB2312"/>
          <w:b/>
          <w:sz w:val="32"/>
          <w:szCs w:val="32"/>
        </w:rPr>
        <w:t>（二）发展基础</w:t>
      </w:r>
      <w:bookmarkEnd w:id="11"/>
    </w:p>
    <w:bookmarkEnd w:id="7"/>
    <w:bookmarkEnd w:id="8"/>
    <w:p>
      <w:pPr>
        <w:spacing w:line="560" w:lineRule="exact"/>
        <w:ind w:firstLine="642" w:firstLineChars="200"/>
        <w:outlineLvl w:val="2"/>
        <w:rPr>
          <w:rFonts w:ascii="仿宋_GB2312" w:hAnsi="仿宋" w:cs="Times New Roman"/>
        </w:rPr>
      </w:pPr>
      <w:r>
        <w:rPr>
          <w:rFonts w:ascii="仿宋_GB2312" w:hAnsi="仿宋" w:eastAsia="仿宋_GB2312" w:cs="Times New Roman"/>
          <w:b/>
          <w:sz w:val="32"/>
          <w:szCs w:val="32"/>
        </w:rPr>
        <w:fldChar w:fldCharType="begin"/>
      </w:r>
      <w:r>
        <w:rPr>
          <w:rFonts w:ascii="仿宋_GB2312" w:hAnsi="仿宋" w:eastAsia="仿宋_GB2312" w:cs="Times New Roman"/>
          <w:b/>
          <w:sz w:val="32"/>
          <w:szCs w:val="32"/>
        </w:rPr>
        <w:instrText xml:space="preserve"> HYPERLINK \l "_Toc524378270" </w:instrText>
      </w:r>
      <w:r>
        <w:rPr>
          <w:rFonts w:ascii="仿宋_GB2312" w:hAnsi="仿宋" w:eastAsia="仿宋_GB2312" w:cs="Times New Roman"/>
          <w:b/>
          <w:sz w:val="32"/>
          <w:szCs w:val="32"/>
        </w:rPr>
        <w:fldChar w:fldCharType="separate"/>
      </w:r>
      <w:bookmarkStart w:id="12" w:name="_Toc528593411"/>
      <w:bookmarkStart w:id="13" w:name="_Toc525909051"/>
      <w:bookmarkStart w:id="14" w:name="_Toc3583572"/>
      <w:r>
        <w:rPr>
          <w:rFonts w:ascii="仿宋_GB2312" w:hAnsi="仿宋" w:eastAsia="仿宋_GB2312" w:cs="Times New Roman"/>
          <w:b/>
          <w:sz w:val="32"/>
          <w:szCs w:val="32"/>
        </w:rPr>
        <w:t>1.经济综合实力迈上新台阶</w:t>
      </w:r>
      <w:bookmarkEnd w:id="12"/>
      <w:bookmarkEnd w:id="13"/>
      <w:bookmarkEnd w:id="14"/>
      <w:r>
        <w:rPr>
          <w:rFonts w:ascii="仿宋_GB2312" w:hAnsi="仿宋" w:eastAsia="仿宋_GB2312" w:cs="Times New Roman"/>
          <w:b/>
          <w:sz w:val="32"/>
          <w:szCs w:val="32"/>
        </w:rPr>
        <w:fldChar w:fldCharType="end"/>
      </w:r>
    </w:p>
    <w:p>
      <w:pPr>
        <w:spacing w:line="560" w:lineRule="exact"/>
        <w:ind w:firstLine="640" w:firstLineChars="200"/>
        <w:rPr>
          <w:rFonts w:ascii="仿宋_GB2312"/>
        </w:rPr>
      </w:pPr>
      <w:r>
        <w:rPr>
          <w:rFonts w:hint="eastAsia" w:ascii="仿宋_GB2312" w:hAnsi="仿宋" w:eastAsia="仿宋_GB2312" w:cs="Times New Roman"/>
          <w:sz w:val="32"/>
          <w:szCs w:val="32"/>
        </w:rPr>
        <w:t>光明区成立以来，经济稳步、快速增长，综合实力加速提升。</w:t>
      </w:r>
      <w:r>
        <w:rPr>
          <w:rFonts w:ascii="仿宋_GB2312" w:hAnsi="仿宋" w:eastAsia="仿宋_GB2312" w:cs="Times New Roman"/>
          <w:sz w:val="32"/>
          <w:szCs w:val="32"/>
        </w:rPr>
        <w:t>2007-2018</w:t>
      </w:r>
      <w:r>
        <w:rPr>
          <w:rFonts w:hint="eastAsia" w:ascii="仿宋_GB2312" w:hAnsi="仿宋" w:eastAsia="仿宋_GB2312" w:cs="Times New Roman"/>
          <w:sz w:val="32"/>
          <w:szCs w:val="32"/>
        </w:rPr>
        <w:t>年，地区生产总值从</w:t>
      </w:r>
      <w:r>
        <w:rPr>
          <w:rFonts w:ascii="仿宋_GB2312" w:hAnsi="仿宋" w:eastAsia="仿宋_GB2312" w:cs="Times New Roman"/>
          <w:sz w:val="32"/>
          <w:szCs w:val="32"/>
        </w:rPr>
        <w:t>159</w:t>
      </w:r>
      <w:r>
        <w:rPr>
          <w:rFonts w:hint="eastAsia" w:ascii="仿宋_GB2312" w:hAnsi="仿宋" w:eastAsia="仿宋_GB2312" w:cs="Times New Roman"/>
          <w:sz w:val="32"/>
          <w:szCs w:val="32"/>
        </w:rPr>
        <w:t>亿元增长到</w:t>
      </w:r>
      <w:r>
        <w:rPr>
          <w:rFonts w:ascii="仿宋_GB2312" w:hAnsi="仿宋" w:eastAsia="仿宋_GB2312" w:cs="Times New Roman"/>
          <w:sz w:val="32"/>
          <w:szCs w:val="32"/>
        </w:rPr>
        <w:t>921</w:t>
      </w:r>
      <w:r>
        <w:rPr>
          <w:rFonts w:hint="eastAsia" w:ascii="仿宋_GB2312" w:hAnsi="仿宋" w:eastAsia="仿宋_GB2312" w:cs="Times New Roman"/>
          <w:sz w:val="32"/>
          <w:szCs w:val="32"/>
        </w:rPr>
        <w:t>亿元，即将跨入千亿城区，年均增速</w:t>
      </w:r>
      <w:r>
        <w:rPr>
          <w:rFonts w:ascii="仿宋_GB2312" w:hAnsi="仿宋" w:eastAsia="仿宋_GB2312" w:cs="Times New Roman"/>
          <w:sz w:val="32"/>
          <w:szCs w:val="32"/>
        </w:rPr>
        <w:t>17.3%，</w:t>
      </w:r>
      <w:r>
        <w:rPr>
          <w:rFonts w:hint="eastAsia" w:ascii="仿宋_GB2312" w:hAnsi="仿宋" w:eastAsia="仿宋_GB2312" w:cs="Times New Roman"/>
          <w:sz w:val="32"/>
          <w:szCs w:val="32"/>
        </w:rPr>
        <w:t>高于同期深圳市平均增长率；国地税收入从</w:t>
      </w:r>
      <w:r>
        <w:rPr>
          <w:rFonts w:ascii="仿宋_GB2312" w:hAnsi="仿宋" w:eastAsia="仿宋_GB2312" w:cs="Times New Roman"/>
          <w:sz w:val="32"/>
          <w:szCs w:val="32"/>
        </w:rPr>
        <w:t>20亿元提高到140</w:t>
      </w:r>
      <w:r>
        <w:rPr>
          <w:rFonts w:hint="eastAsia" w:ascii="仿宋_GB2312" w:hAnsi="仿宋" w:eastAsia="仿宋_GB2312" w:cs="Times New Roman"/>
          <w:sz w:val="32"/>
          <w:szCs w:val="32"/>
        </w:rPr>
        <w:t>亿元，年均增速</w:t>
      </w:r>
      <w:r>
        <w:rPr>
          <w:rFonts w:ascii="仿宋_GB2312" w:hAnsi="仿宋" w:eastAsia="仿宋_GB2312" w:cs="Times New Roman"/>
          <w:sz w:val="32"/>
          <w:szCs w:val="32"/>
        </w:rPr>
        <w:t>19.4%</w:t>
      </w:r>
      <w:r>
        <w:rPr>
          <w:rFonts w:hint="eastAsia" w:ascii="仿宋_GB2312" w:hAnsi="仿宋" w:eastAsia="仿宋_GB2312" w:cs="Times New Roman"/>
          <w:sz w:val="32"/>
          <w:szCs w:val="32"/>
        </w:rPr>
        <w:t>；全区规模以上工业增加值从</w:t>
      </w:r>
      <w:r>
        <w:rPr>
          <w:rFonts w:ascii="仿宋_GB2312" w:hAnsi="仿宋" w:eastAsia="仿宋_GB2312" w:cs="Times New Roman"/>
          <w:sz w:val="32"/>
          <w:szCs w:val="32"/>
        </w:rPr>
        <w:t>91亿元增长至484</w:t>
      </w:r>
      <w:r>
        <w:rPr>
          <w:rFonts w:hint="eastAsia" w:ascii="仿宋_GB2312" w:hAnsi="仿宋" w:eastAsia="仿宋_GB2312" w:cs="Times New Roman"/>
          <w:sz w:val="32"/>
          <w:szCs w:val="32"/>
        </w:rPr>
        <w:t>亿元，年均增速</w:t>
      </w:r>
      <w:r>
        <w:rPr>
          <w:rFonts w:ascii="仿宋_GB2312" w:hAnsi="仿宋" w:eastAsia="仿宋_GB2312" w:cs="Times New Roman"/>
          <w:sz w:val="32"/>
          <w:szCs w:val="32"/>
        </w:rPr>
        <w:t>16.4%</w:t>
      </w:r>
      <w:r>
        <w:rPr>
          <w:rFonts w:hint="eastAsia" w:ascii="仿宋_GB2312" w:hAnsi="仿宋" w:eastAsia="仿宋_GB2312" w:cs="Times New Roman"/>
          <w:sz w:val="32"/>
          <w:szCs w:val="32"/>
        </w:rPr>
        <w:t>。</w:t>
      </w:r>
      <w:r>
        <w:rPr>
          <w:rFonts w:ascii="仿宋_GB2312" w:hAnsi="仿宋" w:eastAsia="仿宋_GB2312" w:cs="Times New Roman"/>
          <w:sz w:val="32"/>
          <w:szCs w:val="32"/>
        </w:rPr>
        <w:t>2018年</w:t>
      </w:r>
      <w:r>
        <w:rPr>
          <w:rFonts w:hint="eastAsia" w:ascii="仿宋_GB2312" w:hAnsi="仿宋" w:eastAsia="仿宋_GB2312" w:cs="Times New Roman"/>
          <w:sz w:val="32"/>
          <w:szCs w:val="32"/>
        </w:rPr>
        <w:t>规模以上工业企业达到1185家，上市企业达到</w:t>
      </w:r>
      <w:r>
        <w:rPr>
          <w:rFonts w:ascii="仿宋_GB2312" w:hAnsi="仿宋" w:eastAsia="仿宋_GB2312" w:cs="Times New Roman"/>
          <w:sz w:val="32"/>
          <w:szCs w:val="32"/>
        </w:rPr>
        <w:t>5</w:t>
      </w:r>
      <w:r>
        <w:rPr>
          <w:rFonts w:hint="eastAsia" w:ascii="仿宋_GB2312" w:hAnsi="仿宋" w:eastAsia="仿宋_GB2312" w:cs="Times New Roman"/>
          <w:sz w:val="32"/>
          <w:szCs w:val="32"/>
        </w:rPr>
        <w:t>3家，产值百亿企业</w:t>
      </w:r>
      <w:r>
        <w:rPr>
          <w:rFonts w:ascii="仿宋_GB2312" w:hAnsi="仿宋" w:eastAsia="仿宋_GB2312" w:cs="Times New Roman"/>
          <w:sz w:val="32"/>
          <w:szCs w:val="32"/>
        </w:rPr>
        <w:t>5</w:t>
      </w:r>
      <w:r>
        <w:rPr>
          <w:rFonts w:hint="eastAsia" w:ascii="仿宋_GB2312" w:hAnsi="仿宋" w:eastAsia="仿宋_GB2312" w:cs="Times New Roman"/>
          <w:sz w:val="32"/>
          <w:szCs w:val="32"/>
        </w:rPr>
        <w:t>家，国家高新技术企业总数达到</w:t>
      </w:r>
      <w:r>
        <w:rPr>
          <w:rFonts w:ascii="仿宋_GB2312" w:hAnsi="仿宋" w:eastAsia="仿宋_GB2312" w:cs="Times New Roman"/>
          <w:sz w:val="32"/>
          <w:szCs w:val="32"/>
        </w:rPr>
        <w:t>987</w:t>
      </w:r>
      <w:r>
        <w:rPr>
          <w:rFonts w:hint="eastAsia" w:ascii="仿宋_GB2312" w:hAnsi="仿宋" w:eastAsia="仿宋_GB2312" w:cs="Times New Roman"/>
          <w:sz w:val="32"/>
          <w:szCs w:val="32"/>
        </w:rPr>
        <w:t>家，为经济增长注入强劲动力。</w:t>
      </w:r>
    </w:p>
    <w:p>
      <w:pPr>
        <w:spacing w:line="560" w:lineRule="exact"/>
        <w:ind w:firstLine="642" w:firstLineChars="200"/>
        <w:outlineLvl w:val="2"/>
        <w:rPr>
          <w:rFonts w:ascii="仿宋_GB2312" w:hAnsi="仿宋" w:cs="Times New Roman"/>
        </w:rPr>
      </w:pPr>
      <w:bookmarkStart w:id="15" w:name="_Toc3583573"/>
      <w:r>
        <w:rPr>
          <w:rFonts w:ascii="仿宋_GB2312" w:hAnsi="仿宋" w:eastAsia="仿宋_GB2312" w:cs="Times New Roman"/>
          <w:b/>
          <w:sz w:val="32"/>
          <w:szCs w:val="32"/>
        </w:rPr>
        <w:t>2.新兴产业主导地位逐渐凸显</w:t>
      </w:r>
      <w:bookmarkEnd w:id="15"/>
    </w:p>
    <w:p>
      <w:pPr>
        <w:spacing w:line="560" w:lineRule="exact"/>
        <w:ind w:firstLine="640" w:firstLineChars="200"/>
        <w:rPr>
          <w:rFonts w:ascii="仿宋_GB2312"/>
        </w:rPr>
      </w:pPr>
      <w:r>
        <w:rPr>
          <w:rFonts w:hint="eastAsia" w:ascii="仿宋_GB2312" w:eastAsia="仿宋_GB2312"/>
          <w:sz w:val="32"/>
          <w:szCs w:val="32"/>
        </w:rPr>
        <w:t>新一代信息技术、新材料、生物医药等战略性新兴产业加快集聚，201</w:t>
      </w:r>
      <w:r>
        <w:rPr>
          <w:rFonts w:ascii="仿宋_GB2312" w:eastAsia="仿宋_GB2312"/>
          <w:sz w:val="32"/>
          <w:szCs w:val="32"/>
        </w:rPr>
        <w:t>8</w:t>
      </w:r>
      <w:r>
        <w:rPr>
          <w:rFonts w:hint="eastAsia" w:ascii="仿宋_GB2312" w:eastAsia="仿宋_GB2312"/>
          <w:sz w:val="32"/>
          <w:szCs w:val="32"/>
        </w:rPr>
        <w:t>年战略性新兴产业实现增加值3</w:t>
      </w:r>
      <w:r>
        <w:rPr>
          <w:rFonts w:ascii="仿宋_GB2312" w:eastAsia="仿宋_GB2312"/>
          <w:sz w:val="32"/>
          <w:szCs w:val="32"/>
        </w:rPr>
        <w:t>14</w:t>
      </w:r>
      <w:r>
        <w:rPr>
          <w:rFonts w:hint="eastAsia" w:ascii="仿宋_GB2312" w:eastAsia="仿宋_GB2312"/>
          <w:sz w:val="32"/>
          <w:szCs w:val="32"/>
        </w:rPr>
        <w:t>亿元，占地区生产总值的</w:t>
      </w:r>
      <w:r>
        <w:rPr>
          <w:rFonts w:ascii="仿宋_GB2312" w:eastAsia="仿宋_GB2312"/>
          <w:sz w:val="32"/>
          <w:szCs w:val="32"/>
        </w:rPr>
        <w:t>34.1</w:t>
      </w:r>
      <w:r>
        <w:rPr>
          <w:rFonts w:hint="eastAsia" w:ascii="仿宋_GB2312" w:eastAsia="仿宋_GB2312"/>
          <w:sz w:val="32"/>
          <w:szCs w:val="32"/>
        </w:rPr>
        <w:t>%，主导格局初步形成。光明已成为全国乃至全球最大的平板显示基地，基本形成完整的新型显示产业链，华星光电位列“2016年半导体领域全球排名前十位的创新机构”第四位；新材料领域涌现出贝特瑞等数家</w:t>
      </w:r>
      <w:r>
        <w:rPr>
          <w:rFonts w:ascii="仿宋_GB2312" w:eastAsia="仿宋_GB2312"/>
          <w:sz w:val="32"/>
          <w:szCs w:val="32"/>
        </w:rPr>
        <w:t xml:space="preserve"> </w:t>
      </w:r>
      <w:r>
        <w:rPr>
          <w:rFonts w:hint="eastAsia" w:ascii="仿宋_GB2312" w:eastAsia="仿宋_GB2312"/>
          <w:sz w:val="32"/>
          <w:szCs w:val="32"/>
        </w:rPr>
        <w:t>“隐形冠军”企业，星源材质获得省政府质量奖。</w:t>
      </w:r>
    </w:p>
    <w:p>
      <w:pPr>
        <w:spacing w:line="560" w:lineRule="exact"/>
        <w:ind w:firstLine="642" w:firstLineChars="200"/>
        <w:outlineLvl w:val="2"/>
        <w:rPr>
          <w:rFonts w:ascii="仿宋_GB2312" w:hAnsi="仿宋" w:cs="Times New Roman"/>
        </w:rPr>
      </w:pPr>
      <w:bookmarkStart w:id="16" w:name="_Toc3583574"/>
      <w:r>
        <w:rPr>
          <w:rFonts w:ascii="仿宋_GB2312" w:hAnsi="仿宋" w:eastAsia="仿宋_GB2312" w:cs="Times New Roman"/>
          <w:b/>
          <w:sz w:val="32"/>
          <w:szCs w:val="32"/>
        </w:rPr>
        <w:t>3.</w:t>
      </w:r>
      <w:r>
        <w:rPr>
          <w:rFonts w:hint="eastAsia" w:ascii="仿宋_GB2312" w:hAnsi="仿宋" w:eastAsia="仿宋_GB2312" w:cs="Times New Roman"/>
          <w:b/>
          <w:sz w:val="32"/>
          <w:szCs w:val="32"/>
        </w:rPr>
        <w:t>创新发展优势不断巩固</w:t>
      </w:r>
      <w:bookmarkEnd w:id="16"/>
    </w:p>
    <w:p>
      <w:pPr>
        <w:adjustRightInd w:val="0"/>
        <w:snapToGrid w:val="0"/>
        <w:spacing w:line="560" w:lineRule="exact"/>
        <w:ind w:firstLine="640" w:firstLineChars="200"/>
        <w:rPr>
          <w:rFonts w:ascii="仿宋_GB2312"/>
        </w:rPr>
      </w:pPr>
      <w:r>
        <w:rPr>
          <w:rFonts w:hint="eastAsia" w:ascii="仿宋_GB2312" w:hAnsi="仿宋" w:eastAsia="仿宋_GB2312" w:cs="Times New Roman"/>
          <w:sz w:val="32"/>
          <w:szCs w:val="32"/>
        </w:rPr>
        <w:t>科学城正式落户光明，合成生物学、脑解析和脑模拟等首批重大科技基础设施启动建设。创新载体加速集聚，已建成华星光电国家工程实验室等5</w:t>
      </w:r>
      <w:r>
        <w:rPr>
          <w:rFonts w:ascii="仿宋_GB2312" w:hAnsi="仿宋" w:eastAsia="仿宋_GB2312" w:cs="Times New Roman"/>
          <w:sz w:val="32"/>
          <w:szCs w:val="32"/>
        </w:rPr>
        <w:t>个国家级创新平台，市级以上各类企业科技创新平台69</w:t>
      </w:r>
      <w:r>
        <w:rPr>
          <w:rFonts w:hint="eastAsia" w:ascii="仿宋_GB2312" w:hAnsi="仿宋" w:eastAsia="仿宋_GB2312" w:cs="Times New Roman"/>
          <w:sz w:val="32"/>
          <w:szCs w:val="32"/>
        </w:rPr>
        <w:t>个。人才吸引力逐渐提升，引进中国科学院院士</w:t>
      </w:r>
      <w:r>
        <w:rPr>
          <w:rFonts w:ascii="仿宋_GB2312" w:hAnsi="仿宋" w:eastAsia="仿宋_GB2312" w:cs="Times New Roman"/>
          <w:sz w:val="32"/>
          <w:szCs w:val="32"/>
        </w:rPr>
        <w:t>4</w:t>
      </w:r>
      <w:r>
        <w:rPr>
          <w:rFonts w:hint="eastAsia" w:ascii="仿宋_GB2312" w:hAnsi="仿宋" w:eastAsia="仿宋_GB2312" w:cs="Times New Roman"/>
          <w:sz w:val="32"/>
          <w:szCs w:val="32"/>
        </w:rPr>
        <w:t>名，“孔雀计划”人才</w:t>
      </w:r>
      <w:r>
        <w:rPr>
          <w:rFonts w:ascii="仿宋_GB2312" w:hAnsi="仿宋" w:eastAsia="仿宋_GB2312" w:cs="Times New Roman"/>
          <w:sz w:val="32"/>
          <w:szCs w:val="32"/>
        </w:rPr>
        <w:t>36</w:t>
      </w:r>
      <w:r>
        <w:rPr>
          <w:rFonts w:hint="eastAsia" w:ascii="仿宋_GB2312" w:hAnsi="仿宋" w:eastAsia="仿宋_GB2312" w:cs="Times New Roman"/>
          <w:sz w:val="32"/>
          <w:szCs w:val="32"/>
        </w:rPr>
        <w:t>名。创新能级不断提升，华星光电科研项目获广东省科学技术一等奖，建设省级石墨烯制造业创新中心</w:t>
      </w:r>
      <w:r>
        <w:rPr>
          <w:rFonts w:ascii="仿宋_GB2312" w:hAnsi="仿宋" w:eastAsia="仿宋_GB2312" w:cs="Times New Roman"/>
          <w:sz w:val="32"/>
          <w:szCs w:val="32"/>
        </w:rPr>
        <w:t>和</w:t>
      </w:r>
      <w:r>
        <w:rPr>
          <w:rFonts w:hint="eastAsia" w:ascii="仿宋_GB2312" w:hAnsi="仿宋" w:eastAsia="仿宋_GB2312" w:cs="Times New Roman"/>
          <w:sz w:val="32"/>
          <w:szCs w:val="32"/>
        </w:rPr>
        <w:t>新一代显示制造业创新中心。</w:t>
      </w:r>
    </w:p>
    <w:p>
      <w:pPr>
        <w:spacing w:line="560" w:lineRule="exact"/>
        <w:ind w:firstLine="642" w:firstLineChars="200"/>
        <w:outlineLvl w:val="2"/>
        <w:rPr>
          <w:rFonts w:ascii="仿宋_GB2312" w:hAnsi="仿宋" w:cs="Times New Roman"/>
        </w:rPr>
      </w:pPr>
      <w:bookmarkStart w:id="17" w:name="_Toc3583575"/>
      <w:r>
        <w:rPr>
          <w:rFonts w:ascii="仿宋_GB2312" w:hAnsi="仿宋" w:eastAsia="仿宋_GB2312" w:cs="Times New Roman"/>
          <w:b/>
          <w:sz w:val="32"/>
          <w:szCs w:val="32"/>
        </w:rPr>
        <w:t>4.区位</w:t>
      </w:r>
      <w:r>
        <w:rPr>
          <w:rFonts w:hint="eastAsia" w:ascii="仿宋_GB2312" w:hAnsi="仿宋" w:eastAsia="仿宋_GB2312" w:cs="Times New Roman"/>
          <w:b/>
          <w:sz w:val="32"/>
          <w:szCs w:val="32"/>
        </w:rPr>
        <w:t>生态优势得天独厚</w:t>
      </w:r>
      <w:bookmarkEnd w:id="17"/>
    </w:p>
    <w:p>
      <w:pPr>
        <w:spacing w:line="560" w:lineRule="exact"/>
        <w:ind w:firstLine="640" w:firstLineChars="200"/>
        <w:rPr>
          <w:rFonts w:ascii="仿宋_GB2312" w:eastAsia="仿宋_GB2312"/>
          <w:sz w:val="32"/>
          <w:szCs w:val="32"/>
        </w:rPr>
      </w:pPr>
      <w:r>
        <w:rPr>
          <w:rFonts w:hint="eastAsia" w:ascii="仿宋_GB2312" w:eastAsia="仿宋_GB2312"/>
          <w:sz w:val="32"/>
          <w:szCs w:val="32"/>
        </w:rPr>
        <w:t>光明位于粤港澳大湾区核心区域、广深港澳科技创新走廊重要节点，处于广深港半小时生活圈。广深港高铁、赣深高铁以及规划建设的深莞增城际均在光明设站，龙大高速市政化改造，湾区之间要素流通更为便捷。蓝绿生态本底十分优越，全区生态控制线内土地面积占比高达53%，入选国家绿色生态示范城区和国家海绵城市建设试点。</w:t>
      </w:r>
    </w:p>
    <w:p>
      <w:pPr>
        <w:spacing w:line="560" w:lineRule="exact"/>
        <w:ind w:firstLine="642" w:firstLineChars="200"/>
        <w:outlineLvl w:val="1"/>
        <w:rPr>
          <w:rFonts w:ascii="仿宋_GB2312" w:eastAsia="仿宋_GB2312"/>
          <w:b/>
          <w:sz w:val="32"/>
          <w:szCs w:val="32"/>
        </w:rPr>
      </w:pPr>
      <w:bookmarkStart w:id="18" w:name="_Toc535441305"/>
      <w:bookmarkStart w:id="19" w:name="_Toc3583576"/>
      <w:r>
        <w:rPr>
          <w:rFonts w:hint="eastAsia" w:ascii="楷体_GB2312" w:eastAsia="楷体_GB2312"/>
          <w:b/>
          <w:sz w:val="32"/>
          <w:szCs w:val="32"/>
        </w:rPr>
        <w:t>（三）问题</w:t>
      </w:r>
      <w:bookmarkEnd w:id="18"/>
      <w:r>
        <w:rPr>
          <w:rFonts w:hint="eastAsia" w:ascii="楷体_GB2312" w:eastAsia="楷体_GB2312"/>
          <w:b/>
          <w:sz w:val="32"/>
          <w:szCs w:val="32"/>
        </w:rPr>
        <w:t>与挑战</w:t>
      </w:r>
      <w:bookmarkEnd w:id="19"/>
    </w:p>
    <w:p>
      <w:pPr>
        <w:spacing w:line="560" w:lineRule="exact"/>
        <w:ind w:firstLine="642" w:firstLineChars="200"/>
        <w:outlineLvl w:val="2"/>
        <w:rPr>
          <w:rFonts w:ascii="仿宋_GB2312" w:eastAsia="仿宋_GB2312"/>
          <w:b/>
          <w:sz w:val="32"/>
          <w:szCs w:val="32"/>
        </w:rPr>
      </w:pPr>
      <w:bookmarkStart w:id="20" w:name="_Toc3583577"/>
      <w:r>
        <w:rPr>
          <w:rFonts w:hint="eastAsia" w:ascii="仿宋_GB2312" w:eastAsia="仿宋_GB2312"/>
          <w:b/>
          <w:sz w:val="32"/>
          <w:szCs w:val="32"/>
        </w:rPr>
        <w:t>1.现有的产业体系与赋予光明的新使命新定位不匹配</w:t>
      </w:r>
      <w:bookmarkEnd w:id="20"/>
    </w:p>
    <w:p>
      <w:pPr>
        <w:spacing w:line="560" w:lineRule="exact"/>
        <w:ind w:firstLine="640" w:firstLineChars="200"/>
        <w:rPr>
          <w:rFonts w:ascii="仿宋_GB2312" w:eastAsia="仿宋_GB2312"/>
          <w:sz w:val="32"/>
          <w:szCs w:val="32"/>
        </w:rPr>
      </w:pPr>
      <w:r>
        <w:rPr>
          <w:rFonts w:hint="eastAsia" w:ascii="仿宋_GB2312" w:hAnsi="仿宋" w:eastAsia="仿宋_GB2312" w:cs="Times New Roman"/>
          <w:sz w:val="32"/>
          <w:szCs w:val="32"/>
        </w:rPr>
        <w:t>从全市来看，光明区属于后发区域，</w:t>
      </w:r>
      <w:r>
        <w:rPr>
          <w:rFonts w:hint="eastAsia" w:ascii="仿宋_GB2312" w:eastAsia="仿宋_GB2312"/>
          <w:sz w:val="32"/>
          <w:szCs w:val="32"/>
        </w:rPr>
        <w:t>经济发展质量仍然不高，</w:t>
      </w:r>
      <w:r>
        <w:rPr>
          <w:rFonts w:ascii="仿宋_GB2312" w:eastAsia="仿宋_GB2312"/>
          <w:sz w:val="32"/>
          <w:szCs w:val="32"/>
        </w:rPr>
        <w:t>2018</w:t>
      </w:r>
      <w:r>
        <w:rPr>
          <w:rFonts w:hint="eastAsia" w:ascii="仿宋_GB2312" w:eastAsia="仿宋_GB2312"/>
          <w:sz w:val="32"/>
          <w:szCs w:val="32"/>
        </w:rPr>
        <w:t>年经济总量仅占全市的</w:t>
      </w:r>
      <w:r>
        <w:rPr>
          <w:rFonts w:ascii="仿宋_GB2312" w:eastAsia="仿宋_GB2312"/>
          <w:sz w:val="32"/>
          <w:szCs w:val="32"/>
        </w:rPr>
        <w:t>3.8</w:t>
      </w:r>
      <w:r>
        <w:rPr>
          <w:rFonts w:hint="eastAsia" w:ascii="仿宋_GB2312" w:eastAsia="仿宋_GB2312"/>
          <w:sz w:val="32"/>
          <w:szCs w:val="32"/>
        </w:rPr>
        <w:t>%，人均G</w:t>
      </w:r>
      <w:r>
        <w:rPr>
          <w:rFonts w:ascii="仿宋_GB2312" w:eastAsia="仿宋_GB2312"/>
          <w:sz w:val="32"/>
          <w:szCs w:val="32"/>
        </w:rPr>
        <w:t>DP</w:t>
      </w:r>
      <w:r>
        <w:rPr>
          <w:rFonts w:hint="eastAsia" w:ascii="仿宋_GB2312" w:eastAsia="仿宋_GB2312"/>
          <w:sz w:val="32"/>
          <w:szCs w:val="32"/>
        </w:rPr>
        <w:t>、地均GDP与福田、南山存在较大差距；</w:t>
      </w:r>
      <w:r>
        <w:rPr>
          <w:rFonts w:hint="eastAsia" w:ascii="仿宋_GB2312" w:hAnsi="仿宋" w:eastAsia="仿宋_GB2312" w:cs="Times New Roman"/>
          <w:sz w:val="32"/>
          <w:szCs w:val="32"/>
        </w:rPr>
        <w:t>规上工业增加值仅占全市的</w:t>
      </w:r>
      <w:r>
        <w:rPr>
          <w:rFonts w:ascii="仿宋_GB2312" w:hAnsi="仿宋" w:eastAsia="仿宋_GB2312" w:cs="Times New Roman"/>
          <w:sz w:val="32"/>
          <w:szCs w:val="32"/>
        </w:rPr>
        <w:t>5.3%，</w:t>
      </w:r>
      <w:r>
        <w:rPr>
          <w:rFonts w:hint="eastAsia" w:ascii="仿宋_GB2312" w:eastAsia="仿宋_GB2312"/>
          <w:sz w:val="32"/>
          <w:szCs w:val="32"/>
        </w:rPr>
        <w:t>仅有</w:t>
      </w:r>
      <w:r>
        <w:rPr>
          <w:rFonts w:ascii="仿宋_GB2312" w:eastAsia="仿宋_GB2312"/>
          <w:sz w:val="32"/>
          <w:szCs w:val="32"/>
        </w:rPr>
        <w:t>7</w:t>
      </w:r>
      <w:r>
        <w:rPr>
          <w:rFonts w:hint="eastAsia" w:ascii="仿宋_GB2312" w:eastAsia="仿宋_GB2312"/>
          <w:sz w:val="32"/>
          <w:szCs w:val="32"/>
        </w:rPr>
        <w:t>家企业为全市工业百强企业。产业迈向高端面临原始创新不足，优势领域新型显示处于价值链中低端，关键</w:t>
      </w:r>
      <w:r>
        <w:rPr>
          <w:rFonts w:hint="eastAsia" w:ascii="仿宋_GB2312" w:hAnsi="仿宋" w:eastAsia="仿宋_GB2312" w:cs="Times New Roman"/>
          <w:sz w:val="32"/>
          <w:szCs w:val="32"/>
        </w:rPr>
        <w:t>设备和材料严重依赖进口。产业结构失衡削弱抗风险能力，</w:t>
      </w:r>
      <w:r>
        <w:rPr>
          <w:rFonts w:hint="eastAsia" w:ascii="仿宋_GB2312" w:eastAsia="仿宋_GB2312"/>
          <w:sz w:val="32"/>
          <w:szCs w:val="32"/>
        </w:rPr>
        <w:t>“一业独大，一企独大”现象突出，</w:t>
      </w:r>
      <w:r>
        <w:rPr>
          <w:rFonts w:ascii="仿宋_GB2312" w:eastAsia="仿宋_GB2312"/>
          <w:sz w:val="32"/>
          <w:szCs w:val="32"/>
        </w:rPr>
        <w:t>2018</w:t>
      </w:r>
      <w:r>
        <w:rPr>
          <w:rFonts w:hint="eastAsia" w:ascii="仿宋_GB2312" w:eastAsia="仿宋_GB2312"/>
          <w:sz w:val="32"/>
          <w:szCs w:val="32"/>
        </w:rPr>
        <w:t>年新一代信息技术产业增加值占光明GDP的2</w:t>
      </w:r>
      <w:r>
        <w:rPr>
          <w:rFonts w:ascii="仿宋_GB2312" w:eastAsia="仿宋_GB2312"/>
          <w:sz w:val="32"/>
          <w:szCs w:val="32"/>
        </w:rPr>
        <w:t>0</w:t>
      </w:r>
      <w:r>
        <w:rPr>
          <w:rFonts w:hint="eastAsia" w:ascii="仿宋_GB2312" w:eastAsia="仿宋_GB2312"/>
          <w:sz w:val="32"/>
          <w:szCs w:val="32"/>
        </w:rPr>
        <w:t>%，其中华星光电占</w:t>
      </w:r>
      <w:r>
        <w:rPr>
          <w:rFonts w:ascii="仿宋_GB2312" w:eastAsia="仿宋_GB2312"/>
          <w:sz w:val="32"/>
          <w:szCs w:val="32"/>
        </w:rPr>
        <w:t>G</w:t>
      </w:r>
      <w:r>
        <w:rPr>
          <w:rFonts w:hint="eastAsia" w:ascii="仿宋_GB2312" w:eastAsia="仿宋_GB2312"/>
          <w:sz w:val="32"/>
          <w:szCs w:val="32"/>
        </w:rPr>
        <w:t>DP的</w:t>
      </w:r>
      <w:r>
        <w:rPr>
          <w:rFonts w:ascii="仿宋_GB2312" w:eastAsia="仿宋_GB2312"/>
          <w:sz w:val="32"/>
          <w:szCs w:val="32"/>
        </w:rPr>
        <w:t>5%</w:t>
      </w:r>
      <w:r>
        <w:rPr>
          <w:rFonts w:hint="eastAsia" w:ascii="仿宋_GB2312" w:eastAsia="仿宋_GB2312"/>
          <w:sz w:val="32"/>
          <w:szCs w:val="32"/>
        </w:rPr>
        <w:t>。</w:t>
      </w:r>
    </w:p>
    <w:p>
      <w:pPr>
        <w:spacing w:line="560" w:lineRule="exact"/>
        <w:ind w:firstLine="642" w:firstLineChars="200"/>
        <w:outlineLvl w:val="2"/>
        <w:rPr>
          <w:rFonts w:ascii="仿宋_GB2312" w:eastAsia="仿宋_GB2312"/>
          <w:b/>
          <w:sz w:val="32"/>
          <w:szCs w:val="32"/>
        </w:rPr>
      </w:pPr>
      <w:bookmarkStart w:id="21" w:name="_Toc3583578"/>
      <w:r>
        <w:rPr>
          <w:rFonts w:hint="eastAsia" w:ascii="仿宋_GB2312" w:eastAsia="仿宋_GB2312"/>
          <w:b/>
          <w:sz w:val="32"/>
          <w:szCs w:val="32"/>
        </w:rPr>
        <w:t>2.创新生态体系不健全与世界一流科学城建设不匹配</w:t>
      </w:r>
      <w:bookmarkEnd w:id="21"/>
    </w:p>
    <w:p>
      <w:pPr>
        <w:spacing w:line="560" w:lineRule="exact"/>
        <w:ind w:firstLine="640" w:firstLineChars="200"/>
        <w:rPr>
          <w:rFonts w:ascii="仿宋_GB2312" w:eastAsia="仿宋_GB2312"/>
          <w:sz w:val="32"/>
          <w:szCs w:val="32"/>
        </w:rPr>
      </w:pPr>
      <w:r>
        <w:rPr>
          <w:rFonts w:hint="eastAsia" w:ascii="仿宋_GB2312" w:eastAsia="仿宋_GB2312"/>
          <w:sz w:val="32"/>
          <w:szCs w:val="32"/>
        </w:rPr>
        <w:t>基础研究和源头创新短板突出，世界知名高校科研院所仅有2家；201</w:t>
      </w:r>
      <w:r>
        <w:rPr>
          <w:rFonts w:ascii="仿宋_GB2312" w:eastAsia="仿宋_GB2312"/>
          <w:sz w:val="32"/>
          <w:szCs w:val="32"/>
        </w:rPr>
        <w:t>8</w:t>
      </w:r>
      <w:r>
        <w:rPr>
          <w:rFonts w:hint="eastAsia" w:ascii="仿宋_GB2312" w:eastAsia="仿宋_GB2312"/>
          <w:sz w:val="32"/>
          <w:szCs w:val="32"/>
        </w:rPr>
        <w:t>年市级以上创新载体数量仅占全市的</w:t>
      </w:r>
      <w:r>
        <w:rPr>
          <w:rFonts w:ascii="仿宋_GB2312" w:eastAsia="仿宋_GB2312"/>
          <w:sz w:val="32"/>
          <w:szCs w:val="32"/>
        </w:rPr>
        <w:t>4</w:t>
      </w:r>
      <w:r>
        <w:rPr>
          <w:rFonts w:hint="eastAsia" w:ascii="仿宋_GB2312" w:eastAsia="仿宋_GB2312"/>
          <w:sz w:val="32"/>
          <w:szCs w:val="32"/>
        </w:rPr>
        <w:t>.1</w:t>
      </w:r>
      <w:r>
        <w:rPr>
          <w:rFonts w:ascii="仿宋_GB2312" w:eastAsia="仿宋_GB2312"/>
          <w:sz w:val="32"/>
          <w:szCs w:val="32"/>
        </w:rPr>
        <w:t>%</w:t>
      </w:r>
      <w:r>
        <w:rPr>
          <w:rFonts w:hint="eastAsia" w:ascii="仿宋_GB2312" w:eastAsia="仿宋_GB2312"/>
          <w:sz w:val="32"/>
          <w:szCs w:val="32"/>
        </w:rPr>
        <w:t>，海外高层次人才不足全市的</w:t>
      </w:r>
      <w:r>
        <w:rPr>
          <w:rFonts w:ascii="仿宋_GB2312" w:eastAsia="仿宋_GB2312"/>
          <w:sz w:val="32"/>
          <w:szCs w:val="32"/>
        </w:rPr>
        <w:t>1</w:t>
      </w:r>
      <w:r>
        <w:rPr>
          <w:rFonts w:hint="eastAsia" w:ascii="仿宋_GB2312" w:eastAsia="仿宋_GB2312"/>
          <w:sz w:val="32"/>
          <w:szCs w:val="32"/>
        </w:rPr>
        <w:t>%。企业创新能级不高，</w:t>
      </w:r>
      <w:r>
        <w:rPr>
          <w:rFonts w:ascii="仿宋_GB2312" w:eastAsia="仿宋_GB2312"/>
          <w:sz w:val="32"/>
          <w:szCs w:val="32"/>
        </w:rPr>
        <w:t>2018</w:t>
      </w:r>
      <w:r>
        <w:rPr>
          <w:rFonts w:hint="eastAsia" w:ascii="仿宋_GB2312" w:eastAsia="仿宋_GB2312"/>
          <w:sz w:val="32"/>
          <w:szCs w:val="32"/>
        </w:rPr>
        <w:t>年高新技术企业总量仅占全市的7</w:t>
      </w:r>
      <w:r>
        <w:rPr>
          <w:rFonts w:ascii="仿宋_GB2312" w:eastAsia="仿宋_GB2312"/>
          <w:sz w:val="32"/>
          <w:szCs w:val="32"/>
        </w:rPr>
        <w:t>%</w:t>
      </w:r>
      <w:r>
        <w:rPr>
          <w:rFonts w:hint="eastAsia" w:ascii="仿宋_GB2312" w:eastAsia="仿宋_GB2312"/>
          <w:sz w:val="32"/>
          <w:szCs w:val="32"/>
        </w:rPr>
        <w:t>，PCT专利申请量仅占全市的5.6</w:t>
      </w:r>
      <w:r>
        <w:rPr>
          <w:rFonts w:ascii="仿宋_GB2312" w:eastAsia="仿宋_GB2312"/>
          <w:sz w:val="32"/>
          <w:szCs w:val="32"/>
        </w:rPr>
        <w:t>%</w:t>
      </w:r>
      <w:r>
        <w:rPr>
          <w:rFonts w:hint="eastAsia" w:ascii="仿宋_GB2312" w:eastAsia="仿宋_GB2312"/>
          <w:sz w:val="32"/>
          <w:szCs w:val="32"/>
        </w:rPr>
        <w:t>。科技服务业发展滞后,技术转移转化、知识产权服务和科技金融等服务机构缺位。区域竞争日趋激烈，高端创新人才和创新载体已成为争夺焦点，光明亟需培育创新的“肥沃土壤”支撑综合性国家科学中心建设。</w:t>
      </w:r>
    </w:p>
    <w:p>
      <w:pPr>
        <w:spacing w:line="560" w:lineRule="exact"/>
        <w:ind w:firstLine="642" w:firstLineChars="200"/>
        <w:outlineLvl w:val="2"/>
        <w:rPr>
          <w:rFonts w:ascii="仿宋_GB2312" w:eastAsia="仿宋_GB2312"/>
          <w:b/>
          <w:sz w:val="32"/>
          <w:szCs w:val="32"/>
        </w:rPr>
      </w:pPr>
      <w:bookmarkStart w:id="22" w:name="_Toc3583579"/>
      <w:r>
        <w:rPr>
          <w:rFonts w:hint="eastAsia" w:ascii="仿宋_GB2312" w:eastAsia="仿宋_GB2312"/>
          <w:b/>
          <w:sz w:val="32"/>
          <w:szCs w:val="32"/>
        </w:rPr>
        <w:t>3.低效产业空间供给与经济高质量发展的需求不匹配</w:t>
      </w:r>
      <w:bookmarkEnd w:id="22"/>
    </w:p>
    <w:p>
      <w:pPr>
        <w:spacing w:line="560" w:lineRule="exact"/>
        <w:ind w:firstLine="640" w:firstLineChars="200"/>
        <w:rPr>
          <w:rStyle w:val="41"/>
          <w:rFonts w:hint="default"/>
          <w:color w:val="auto"/>
        </w:rPr>
      </w:pPr>
      <w:r>
        <w:rPr>
          <w:rStyle w:val="41"/>
          <w:rFonts w:hint="default"/>
          <w:color w:val="auto"/>
        </w:rPr>
        <w:t>土地利用经济效益不高，缺乏高产出的楼宇和产业园区，2018年地均GDP仅为福田区的1/9。</w:t>
      </w:r>
      <w:r>
        <w:rPr>
          <w:rFonts w:hint="eastAsia" w:ascii="仿宋_GB2312" w:eastAsia="仿宋_GB2312"/>
          <w:sz w:val="32"/>
          <w:szCs w:val="32"/>
        </w:rPr>
        <w:t>土地资源日趋紧张，光明科学城规划面积99km</w:t>
      </w:r>
      <w:r>
        <w:rPr>
          <w:rFonts w:ascii="仿宋_GB2312" w:eastAsia="仿宋_GB2312"/>
          <w:sz w:val="32"/>
          <w:szCs w:val="32"/>
          <w:vertAlign w:val="superscript"/>
        </w:rPr>
        <w:t>2</w:t>
      </w:r>
      <w:r>
        <w:rPr>
          <w:rStyle w:val="41"/>
          <w:rFonts w:hint="default"/>
          <w:color w:val="auto"/>
        </w:rPr>
        <w:t>，亟需探索解决产业配套基地的新模式。</w:t>
      </w:r>
      <w:r>
        <w:rPr>
          <w:rFonts w:hint="eastAsia" w:ascii="仿宋_GB2312" w:eastAsia="仿宋_GB2312"/>
          <w:sz w:val="32"/>
          <w:szCs w:val="32"/>
        </w:rPr>
        <w:t>前瞻性规划和布局引导不够，光明“</w:t>
      </w:r>
      <w:r>
        <w:rPr>
          <w:rStyle w:val="41"/>
          <w:rFonts w:hint="default"/>
          <w:color w:val="auto"/>
        </w:rPr>
        <w:t>厂村混合</w:t>
      </w:r>
      <w:r>
        <w:rPr>
          <w:rFonts w:hint="eastAsia" w:ascii="仿宋_GB2312" w:eastAsia="仿宋_GB2312"/>
          <w:sz w:val="32"/>
          <w:szCs w:val="32"/>
        </w:rPr>
        <w:t>”</w:t>
      </w:r>
      <w:r>
        <w:rPr>
          <w:rStyle w:val="41"/>
          <w:rFonts w:hint="default"/>
          <w:color w:val="auto"/>
        </w:rPr>
        <w:t>现象突出，工业园区小而散，且缺乏可连片开发的大面积产业用地，难以承担优质大项目落地，</w:t>
      </w:r>
      <w:r>
        <w:rPr>
          <w:rFonts w:hint="eastAsia" w:ascii="仿宋_GB2312" w:eastAsia="仿宋_GB2312"/>
          <w:sz w:val="32"/>
          <w:szCs w:val="32"/>
        </w:rPr>
        <w:t>阻碍了产业集聚发展；</w:t>
      </w:r>
      <w:r>
        <w:rPr>
          <w:rStyle w:val="41"/>
          <w:rFonts w:hint="default"/>
          <w:color w:val="auto"/>
        </w:rPr>
        <w:t>工业园区整体运营水平不高，难以满足新兴产业的发展需求。</w:t>
      </w:r>
    </w:p>
    <w:p>
      <w:pPr>
        <w:spacing w:beforeLines="50" w:line="560" w:lineRule="exact"/>
        <w:ind w:firstLine="640" w:firstLineChars="200"/>
        <w:rPr>
          <w:rFonts w:ascii="仿宋_GB2312" w:eastAsia="仿宋_GB2312"/>
          <w:sz w:val="32"/>
          <w:szCs w:val="32"/>
        </w:rPr>
      </w:pPr>
      <w:r>
        <w:rPr>
          <w:rFonts w:hint="eastAsia" w:ascii="仿宋_GB2312" w:eastAsia="仿宋_GB2312"/>
          <w:sz w:val="32"/>
          <w:szCs w:val="32"/>
        </w:rPr>
        <w:t>经过十一年的建设发展，光明的经济实力稳步增强，新兴产业主导格局初步形成，在新时期迎来了再次腾飞的重大战略机遇。着眼未来，应当清醒地认识到，机遇与挑战并存，产业结构失衡、创新生态缺位、土地资源紧缺亟待破题，科产协同、产城融合任重道远。肩负重任，必须迎难而上、真抓实干，着力开启光明跨越发展新征程，努力在新时代展现新作为。</w:t>
      </w:r>
    </w:p>
    <w:p>
      <w:pPr>
        <w:pStyle w:val="2"/>
        <w:spacing w:line="560" w:lineRule="exact"/>
        <w:ind w:firstLine="640"/>
      </w:pPr>
      <w:bookmarkStart w:id="23" w:name="_Toc3583580"/>
      <w:bookmarkStart w:id="24" w:name="_Toc535441306"/>
      <w:r>
        <w:rPr>
          <w:rFonts w:hint="eastAsia"/>
        </w:rPr>
        <w:t>二、构筑现代产业体系的总体思路</w:t>
      </w:r>
      <w:bookmarkEnd w:id="23"/>
      <w:bookmarkEnd w:id="24"/>
    </w:p>
    <w:p>
      <w:pPr>
        <w:spacing w:line="560" w:lineRule="exact"/>
        <w:ind w:firstLine="642" w:firstLineChars="200"/>
        <w:outlineLvl w:val="1"/>
        <w:rPr>
          <w:rFonts w:ascii="楷体_GB2312" w:eastAsia="楷体_GB2312"/>
          <w:b/>
          <w:sz w:val="32"/>
          <w:szCs w:val="32"/>
        </w:rPr>
      </w:pPr>
      <w:bookmarkStart w:id="25" w:name="_Toc535441307"/>
      <w:bookmarkStart w:id="26" w:name="_Toc3583581"/>
      <w:r>
        <w:rPr>
          <w:rFonts w:hint="eastAsia" w:ascii="楷体_GB2312" w:eastAsia="楷体_GB2312"/>
          <w:b/>
          <w:sz w:val="32"/>
          <w:szCs w:val="32"/>
        </w:rPr>
        <w:t>（一）指导思想</w:t>
      </w:r>
      <w:bookmarkEnd w:id="25"/>
      <w:bookmarkEnd w:id="26"/>
    </w:p>
    <w:p>
      <w:pPr>
        <w:spacing w:line="560" w:lineRule="exact"/>
        <w:ind w:firstLine="640" w:firstLineChars="200"/>
        <w:rPr>
          <w:rFonts w:ascii="仿宋_GB2312" w:eastAsia="仿宋_GB2312"/>
          <w:sz w:val="32"/>
          <w:szCs w:val="32"/>
        </w:rPr>
      </w:pPr>
      <w:r>
        <w:rPr>
          <w:rFonts w:hint="eastAsia" w:ascii="仿宋_GB2312" w:eastAsia="仿宋_GB2312"/>
          <w:sz w:val="32"/>
          <w:szCs w:val="32"/>
        </w:rPr>
        <w:t>以习近平新时代中国特色社会主义思想为指导，贯彻落实习近平总书记对深圳重要批示指示精神，践行高质量发展要求，抓住粤港澳大湾区建设的战略机遇，把握世界新一轮科技革命和产业变革大势，以光明科学城建设为驱动力，坚持“原创引领、生态驱动、协同发展、产城融合”，构筑多要素联动、多主体协同的综合生态系统，建立与城市定位相匹配、高端业态集聚、具有全球竞争力的现代产业体系，打造全球知名的科技引领型现代产业先锋区，为深圳建设社会主义现代化先行示范区贡献光明力量！</w:t>
      </w:r>
    </w:p>
    <w:p>
      <w:pPr>
        <w:spacing w:line="560" w:lineRule="exact"/>
        <w:ind w:firstLine="642" w:firstLineChars="200"/>
        <w:outlineLvl w:val="1"/>
        <w:rPr>
          <w:rFonts w:ascii="楷体_GB2312" w:eastAsia="楷体_GB2312"/>
          <w:b/>
          <w:sz w:val="32"/>
          <w:szCs w:val="32"/>
        </w:rPr>
      </w:pPr>
      <w:bookmarkStart w:id="27" w:name="_Toc535441308"/>
      <w:bookmarkStart w:id="28" w:name="_Toc3583582"/>
      <w:r>
        <w:rPr>
          <w:rFonts w:hint="eastAsia" w:ascii="楷体_GB2312" w:eastAsia="楷体_GB2312"/>
          <w:b/>
          <w:sz w:val="32"/>
          <w:szCs w:val="32"/>
        </w:rPr>
        <w:t>（二）战略路径</w:t>
      </w:r>
      <w:bookmarkEnd w:id="27"/>
      <w:bookmarkEnd w:id="28"/>
    </w:p>
    <w:p>
      <w:pPr>
        <w:spacing w:line="560" w:lineRule="exact"/>
        <w:ind w:firstLine="642" w:firstLineChars="200"/>
        <w:rPr>
          <w:rFonts w:ascii="仿宋_GB2312" w:eastAsia="仿宋_GB2312"/>
          <w:sz w:val="32"/>
          <w:szCs w:val="32"/>
        </w:rPr>
      </w:pPr>
      <w:r>
        <w:rPr>
          <w:rFonts w:hint="eastAsia" w:ascii="仿宋_GB2312" w:eastAsia="仿宋_GB2312"/>
          <w:b/>
          <w:sz w:val="32"/>
          <w:szCs w:val="32"/>
        </w:rPr>
        <w:t>原创引领，让“科学”成为光明的符号。</w:t>
      </w:r>
      <w:r>
        <w:rPr>
          <w:rFonts w:hint="eastAsia" w:ascii="仿宋_GB2312" w:eastAsia="仿宋_GB2312"/>
          <w:sz w:val="32"/>
          <w:szCs w:val="32"/>
        </w:rPr>
        <w:t>瞄准世界科技前沿，围绕信息、生命、材料等科学与技术领域，面向全球组织创新要素，部署一批高度集聚的重大科技基础设施集群，组建一批以学科为核心的创新载体集群，集聚一批全球顶尖实验室和研发中心，推动实现多学科交叉前沿领域重大原创性突破，打造国际创新知识发源地和前沿技术策源地。</w:t>
      </w:r>
    </w:p>
    <w:p>
      <w:pPr>
        <w:spacing w:line="560" w:lineRule="exact"/>
        <w:ind w:firstLine="642" w:firstLineChars="200"/>
        <w:rPr>
          <w:rFonts w:ascii="仿宋_GB2312" w:eastAsia="仿宋_GB2312"/>
          <w:sz w:val="32"/>
          <w:szCs w:val="32"/>
        </w:rPr>
      </w:pPr>
      <w:r>
        <w:rPr>
          <w:rFonts w:hint="eastAsia" w:ascii="仿宋_GB2312" w:eastAsia="仿宋_GB2312"/>
          <w:b/>
          <w:sz w:val="32"/>
          <w:szCs w:val="32"/>
        </w:rPr>
        <w:t>生态驱动，</w:t>
      </w:r>
      <w:r>
        <w:rPr>
          <w:rFonts w:ascii="仿宋_GB2312" w:eastAsia="仿宋_GB2312"/>
          <w:b/>
          <w:sz w:val="32"/>
          <w:szCs w:val="32"/>
        </w:rPr>
        <w:t>打破科技</w:t>
      </w:r>
      <w:r>
        <w:rPr>
          <w:rFonts w:hint="eastAsia" w:ascii="仿宋_GB2312" w:eastAsia="仿宋_GB2312"/>
          <w:b/>
          <w:sz w:val="32"/>
          <w:szCs w:val="32"/>
        </w:rPr>
        <w:t>与</w:t>
      </w:r>
      <w:r>
        <w:rPr>
          <w:rFonts w:ascii="仿宋_GB2312" w:eastAsia="仿宋_GB2312"/>
          <w:b/>
          <w:sz w:val="32"/>
          <w:szCs w:val="32"/>
        </w:rPr>
        <w:t>产业</w:t>
      </w:r>
      <w:r>
        <w:rPr>
          <w:rFonts w:hint="eastAsia" w:ascii="仿宋_GB2312" w:eastAsia="仿宋_GB2312"/>
          <w:sz w:val="32"/>
          <w:szCs w:val="32"/>
        </w:rPr>
        <w:t>“</w:t>
      </w:r>
      <w:r>
        <w:rPr>
          <w:rFonts w:ascii="仿宋_GB2312" w:eastAsia="仿宋_GB2312"/>
          <w:b/>
          <w:sz w:val="32"/>
          <w:szCs w:val="32"/>
        </w:rPr>
        <w:t>两张皮</w:t>
      </w:r>
      <w:r>
        <w:rPr>
          <w:rFonts w:hint="eastAsia" w:ascii="仿宋_GB2312" w:eastAsia="仿宋_GB2312"/>
          <w:sz w:val="32"/>
          <w:szCs w:val="32"/>
        </w:rPr>
        <w:t>”</w:t>
      </w:r>
      <w:r>
        <w:rPr>
          <w:rFonts w:hint="eastAsia" w:ascii="仿宋_GB2312" w:eastAsia="仿宋_GB2312"/>
          <w:b/>
          <w:sz w:val="32"/>
          <w:szCs w:val="32"/>
        </w:rPr>
        <w:t>。</w:t>
      </w:r>
      <w:r>
        <w:rPr>
          <w:rFonts w:hint="eastAsia" w:ascii="仿宋_GB2312" w:eastAsia="仿宋_GB2312"/>
          <w:sz w:val="32"/>
          <w:szCs w:val="32"/>
        </w:rPr>
        <w:t>构建“基础</w:t>
      </w:r>
      <w:r>
        <w:rPr>
          <w:rFonts w:ascii="仿宋_GB2312" w:eastAsia="仿宋_GB2312"/>
          <w:sz w:val="32"/>
          <w:szCs w:val="32"/>
        </w:rPr>
        <w:t>研究+技术攻关</w:t>
      </w:r>
      <w:r>
        <w:rPr>
          <w:rFonts w:hint="eastAsia" w:ascii="仿宋_GB2312" w:eastAsia="仿宋_GB2312"/>
          <w:sz w:val="32"/>
          <w:szCs w:val="32"/>
        </w:rPr>
        <w:t>+成果产业化+科技金融”全过程科技创新生态链，以科技创新支撑产业发展、以产业发展牵引科技创新，搭建一批科技成果转化和产业化平台，形成一批引领创新发展的创新型领军企业，把科技成果转化为先进生产力，源源不断催生新技术、新产业、新业态，构建新经济试验区。</w:t>
      </w:r>
    </w:p>
    <w:p>
      <w:pPr>
        <w:spacing w:line="560" w:lineRule="exact"/>
        <w:ind w:firstLine="642" w:firstLineChars="200"/>
        <w:rPr>
          <w:rFonts w:ascii="仿宋_GB2312" w:eastAsia="仿宋_GB2312"/>
          <w:sz w:val="32"/>
          <w:szCs w:val="32"/>
        </w:rPr>
      </w:pPr>
      <w:r>
        <w:rPr>
          <w:rFonts w:hint="eastAsia" w:ascii="仿宋_GB2312" w:eastAsia="仿宋_GB2312"/>
          <w:b/>
          <w:sz w:val="32"/>
          <w:szCs w:val="32"/>
        </w:rPr>
        <w:t>协同发展，主动融入“国际创新圈”。</w:t>
      </w:r>
      <w:r>
        <w:rPr>
          <w:rFonts w:hint="eastAsia" w:ascii="仿宋_GB2312" w:eastAsia="仿宋_GB2312"/>
          <w:sz w:val="32"/>
          <w:szCs w:val="32"/>
        </w:rPr>
        <w:t>充分发挥光明的区位优势，以全球视野谋划科技创新合作，联合深港科技创新合作区、东莞松山湖科学城组成优势互补的“创新三角”，携手香港、澳门及珠三角九市主动参与国际分工，打造粤港澳大湾区新兴产业协同发展格局，增强国际科技产业竞争话语权。</w:t>
      </w:r>
    </w:p>
    <w:p>
      <w:pPr>
        <w:spacing w:line="560" w:lineRule="exact"/>
        <w:ind w:firstLine="642" w:firstLineChars="200"/>
        <w:rPr>
          <w:rFonts w:ascii="仿宋_GB2312" w:eastAsia="仿宋_GB2312"/>
          <w:sz w:val="32"/>
          <w:szCs w:val="32"/>
        </w:rPr>
      </w:pPr>
      <w:r>
        <w:rPr>
          <w:rFonts w:hint="eastAsia" w:ascii="仿宋_GB2312" w:eastAsia="仿宋_GB2312"/>
          <w:b/>
          <w:sz w:val="32"/>
          <w:szCs w:val="32"/>
        </w:rPr>
        <w:t>产城融合，构建“三生共融”新生态。</w:t>
      </w:r>
      <w:r>
        <w:rPr>
          <w:rFonts w:hint="eastAsia" w:ascii="仿宋_GB2312" w:eastAsia="仿宋_GB2312"/>
          <w:sz w:val="32"/>
          <w:szCs w:val="32"/>
        </w:rPr>
        <w:t>坚持以产兴城、以城促产，推动生产、生活、生态“三生共融”，构建要素匹配、功能齐备、服务完善的“产业-城市”复合体，迅速形成新兴产业弯道崛起和生态环境提质重构“双辐射”效应，在更高起点上推动光明经济社会发展提级进位、跨越前行，率先建成产城融合示范区。</w:t>
      </w:r>
    </w:p>
    <w:p>
      <w:pPr>
        <w:spacing w:line="560" w:lineRule="exact"/>
        <w:ind w:firstLine="642" w:firstLineChars="200"/>
        <w:outlineLvl w:val="1"/>
        <w:rPr>
          <w:rFonts w:ascii="楷体_GB2312" w:eastAsia="楷体_GB2312"/>
          <w:b/>
          <w:sz w:val="32"/>
          <w:szCs w:val="32"/>
        </w:rPr>
      </w:pPr>
      <w:bookmarkStart w:id="29" w:name="_Toc535441309"/>
      <w:bookmarkStart w:id="30" w:name="_Toc3583583"/>
      <w:r>
        <w:rPr>
          <w:rFonts w:hint="eastAsia" w:ascii="楷体_GB2312" w:eastAsia="楷体_GB2312"/>
          <w:b/>
          <w:sz w:val="32"/>
          <w:szCs w:val="32"/>
        </w:rPr>
        <w:t>（三）发展目标</w:t>
      </w:r>
      <w:bookmarkEnd w:id="29"/>
      <w:bookmarkEnd w:id="30"/>
    </w:p>
    <w:p>
      <w:pPr>
        <w:spacing w:line="560" w:lineRule="exact"/>
        <w:ind w:firstLine="640" w:firstLineChars="200"/>
        <w:rPr>
          <w:rFonts w:ascii="仿宋_GB2312" w:eastAsia="仿宋_GB2312"/>
          <w:sz w:val="32"/>
          <w:szCs w:val="32"/>
        </w:rPr>
      </w:pPr>
      <w:r>
        <w:rPr>
          <w:rFonts w:ascii="仿宋_GB2312" w:eastAsia="仿宋_GB2312"/>
          <w:sz w:val="32"/>
          <w:szCs w:val="32"/>
        </w:rPr>
        <w:t>立足自身优势和现有基础</w:t>
      </w:r>
      <w:r>
        <w:rPr>
          <w:rFonts w:hint="eastAsia" w:ascii="仿宋_GB2312" w:eastAsia="仿宋_GB2312"/>
          <w:sz w:val="32"/>
          <w:szCs w:val="32"/>
        </w:rPr>
        <w:t>，</w:t>
      </w:r>
      <w:r>
        <w:rPr>
          <w:rFonts w:ascii="仿宋_GB2312" w:eastAsia="仿宋_GB2312"/>
          <w:sz w:val="32"/>
          <w:szCs w:val="32"/>
        </w:rPr>
        <w:t>顺应世界科技产业发展潮流</w:t>
      </w:r>
      <w:r>
        <w:rPr>
          <w:rFonts w:hint="eastAsia" w:ascii="仿宋_GB2312" w:eastAsia="仿宋_GB2312"/>
          <w:sz w:val="32"/>
          <w:szCs w:val="32"/>
        </w:rPr>
        <w:t>，</w:t>
      </w:r>
      <w:r>
        <w:rPr>
          <w:rFonts w:ascii="仿宋_GB2312" w:eastAsia="仿宋_GB2312"/>
          <w:sz w:val="32"/>
          <w:szCs w:val="32"/>
        </w:rPr>
        <w:t>借鉴国际一流</w:t>
      </w:r>
      <w:r>
        <w:rPr>
          <w:rFonts w:hint="eastAsia" w:ascii="仿宋_GB2312" w:eastAsia="仿宋_GB2312"/>
          <w:sz w:val="32"/>
          <w:szCs w:val="32"/>
        </w:rPr>
        <w:t>“科学城+产业城”</w:t>
      </w:r>
      <w:r>
        <w:rPr>
          <w:rFonts w:ascii="仿宋_GB2312" w:eastAsia="仿宋_GB2312"/>
          <w:sz w:val="32"/>
          <w:szCs w:val="32"/>
        </w:rPr>
        <w:t>发展经验</w:t>
      </w:r>
      <w:r>
        <w:rPr>
          <w:rFonts w:hint="eastAsia" w:ascii="仿宋_GB2312" w:eastAsia="仿宋_GB2312"/>
          <w:sz w:val="32"/>
          <w:szCs w:val="32"/>
        </w:rPr>
        <w:t>，</w:t>
      </w:r>
      <w:r>
        <w:rPr>
          <w:rFonts w:ascii="仿宋_GB2312" w:eastAsia="仿宋_GB2312"/>
          <w:sz w:val="32"/>
          <w:szCs w:val="32"/>
        </w:rPr>
        <w:t>综合考虑综合性国家科学中心建设进度</w:t>
      </w:r>
      <w:r>
        <w:rPr>
          <w:rFonts w:hint="eastAsia" w:ascii="仿宋_GB2312" w:eastAsia="仿宋_GB2312"/>
          <w:sz w:val="32"/>
          <w:szCs w:val="32"/>
        </w:rPr>
        <w:t>，分</w:t>
      </w:r>
      <w:r>
        <w:rPr>
          <w:rFonts w:ascii="仿宋_GB2312" w:eastAsia="仿宋_GB2312"/>
          <w:sz w:val="32"/>
          <w:szCs w:val="32"/>
        </w:rPr>
        <w:t>三步走</w:t>
      </w:r>
      <w:r>
        <w:rPr>
          <w:rFonts w:hint="eastAsia" w:ascii="仿宋_GB2312" w:eastAsia="仿宋_GB2312"/>
          <w:sz w:val="32"/>
          <w:szCs w:val="32"/>
        </w:rPr>
        <w:t>力争到2</w:t>
      </w:r>
      <w:r>
        <w:rPr>
          <w:rFonts w:ascii="仿宋_GB2312" w:eastAsia="仿宋_GB2312"/>
          <w:sz w:val="32"/>
          <w:szCs w:val="32"/>
        </w:rPr>
        <w:t>035年建设成为</w:t>
      </w:r>
      <w:r>
        <w:rPr>
          <w:rFonts w:hint="eastAsia" w:ascii="仿宋_GB2312" w:eastAsia="仿宋_GB2312"/>
          <w:sz w:val="32"/>
          <w:szCs w:val="32"/>
        </w:rPr>
        <w:t>全球知名的科技引领型现代产业先锋区。</w:t>
      </w:r>
    </w:p>
    <w:p>
      <w:pPr>
        <w:spacing w:line="560" w:lineRule="exact"/>
        <w:ind w:firstLine="642" w:firstLineChars="200"/>
        <w:rPr>
          <w:rFonts w:ascii="仿宋_GB2312" w:eastAsia="仿宋_GB2312"/>
          <w:sz w:val="32"/>
          <w:szCs w:val="32"/>
        </w:rPr>
      </w:pPr>
      <w:r>
        <w:rPr>
          <w:rFonts w:hint="eastAsia" w:ascii="仿宋_GB2312" w:eastAsia="仿宋_GB2312"/>
          <w:b/>
          <w:sz w:val="32"/>
          <w:szCs w:val="32"/>
        </w:rPr>
        <w:t>——跻身深圳市创新型城区前列（至202</w:t>
      </w:r>
      <w:r>
        <w:rPr>
          <w:rFonts w:ascii="仿宋_GB2312" w:eastAsia="仿宋_GB2312"/>
          <w:b/>
          <w:sz w:val="32"/>
          <w:szCs w:val="32"/>
        </w:rPr>
        <w:t>2</w:t>
      </w:r>
      <w:r>
        <w:rPr>
          <w:rFonts w:hint="eastAsia" w:ascii="仿宋_GB2312" w:eastAsia="仿宋_GB2312"/>
          <w:b/>
          <w:sz w:val="32"/>
          <w:szCs w:val="32"/>
        </w:rPr>
        <w:t>年）</w:t>
      </w:r>
      <w:r>
        <w:rPr>
          <w:rFonts w:hint="eastAsia" w:ascii="仿宋_GB2312" w:eastAsia="仿宋_GB2312"/>
          <w:sz w:val="32"/>
          <w:szCs w:val="32"/>
        </w:rPr>
        <w:t>。围绕重点发展领域，引进一批全球5</w:t>
      </w:r>
      <w:r>
        <w:rPr>
          <w:rFonts w:ascii="仿宋_GB2312" w:eastAsia="仿宋_GB2312"/>
          <w:sz w:val="32"/>
          <w:szCs w:val="32"/>
        </w:rPr>
        <w:t>00强</w:t>
      </w:r>
      <w:r>
        <w:rPr>
          <w:rFonts w:hint="eastAsia" w:ascii="仿宋_GB2312" w:eastAsia="仿宋_GB2312"/>
          <w:sz w:val="32"/>
          <w:szCs w:val="32"/>
        </w:rPr>
        <w:t>企业研发中心、创新型领军企业、行业“隐形冠军”企业、世界知名高校和科研院所，集聚一批全球顶尖的大科学家、科技领军人才，布局一批重大科技基础设施、产业基础设施，建设一批国家/省/市级重点实验室、工程技术研究中心等创新载体，建设综合性国家科学中心先行启动区，实现从制造大区向质量型创新型智造强区转型。</w:t>
      </w:r>
    </w:p>
    <w:p>
      <w:pPr>
        <w:spacing w:line="560" w:lineRule="exact"/>
        <w:ind w:firstLine="642" w:firstLineChars="200"/>
        <w:rPr>
          <w:rFonts w:ascii="仿宋_GB2312" w:eastAsia="仿宋_GB2312"/>
          <w:sz w:val="32"/>
          <w:szCs w:val="32"/>
        </w:rPr>
      </w:pPr>
      <w:r>
        <w:rPr>
          <w:rFonts w:hint="eastAsia" w:ascii="仿宋_GB2312" w:eastAsia="仿宋_GB2312"/>
          <w:b/>
          <w:sz w:val="32"/>
          <w:szCs w:val="32"/>
        </w:rPr>
        <w:t>——成为粤港澳大湾区创新主引擎（至2025年）</w:t>
      </w:r>
      <w:r>
        <w:rPr>
          <w:rFonts w:hint="eastAsia" w:ascii="仿宋_GB2312" w:eastAsia="仿宋_GB2312"/>
          <w:sz w:val="32"/>
          <w:szCs w:val="32"/>
        </w:rPr>
        <w:t>。重大科技基础设施集群、中山大学深圳校区等光明科学城核心要素基本建成，拥有一批具有国际竞争力的本土创新型企业，形成特色鲜明具有国际竞争力的产业集群，建成</w:t>
      </w:r>
      <w:r>
        <w:rPr>
          <w:rFonts w:hint="eastAsia" w:ascii="仿宋_GB2312" w:eastAsia="仿宋_GB2312"/>
          <w:sz w:val="32"/>
        </w:rPr>
        <w:t>创新能力领先、高端资源聚集、辐射带动力强的</w:t>
      </w:r>
      <w:r>
        <w:rPr>
          <w:rFonts w:hint="eastAsia" w:ascii="仿宋_GB2312" w:eastAsia="仿宋_GB2312"/>
          <w:sz w:val="32"/>
          <w:szCs w:val="32"/>
        </w:rPr>
        <w:t>深圳北部中心，成为粤港澳大湾区重要的经济增长极。</w:t>
      </w:r>
    </w:p>
    <w:p>
      <w:pPr>
        <w:spacing w:line="560" w:lineRule="exact"/>
        <w:ind w:firstLine="642" w:firstLineChars="200"/>
        <w:rPr>
          <w:rFonts w:ascii="仿宋_GB2312" w:eastAsia="仿宋_GB2312"/>
          <w:sz w:val="32"/>
          <w:szCs w:val="32"/>
        </w:rPr>
      </w:pPr>
      <w:r>
        <w:rPr>
          <w:rFonts w:hint="eastAsia" w:ascii="仿宋_GB2312" w:eastAsia="仿宋_GB2312"/>
          <w:b/>
          <w:sz w:val="32"/>
          <w:szCs w:val="32"/>
        </w:rPr>
        <w:t>——建成全球知名的科技引领型现代产业先锋区（至20</w:t>
      </w:r>
      <w:r>
        <w:rPr>
          <w:rFonts w:ascii="仿宋_GB2312" w:eastAsia="仿宋_GB2312"/>
          <w:b/>
          <w:sz w:val="32"/>
          <w:szCs w:val="32"/>
        </w:rPr>
        <w:t>3</w:t>
      </w:r>
      <w:r>
        <w:rPr>
          <w:rFonts w:hint="eastAsia" w:ascii="仿宋_GB2312" w:eastAsia="仿宋_GB2312"/>
          <w:b/>
          <w:sz w:val="32"/>
          <w:szCs w:val="32"/>
        </w:rPr>
        <w:t>5年）</w:t>
      </w:r>
      <w:r>
        <w:rPr>
          <w:rFonts w:hint="eastAsia" w:ascii="仿宋_GB2312" w:eastAsia="仿宋_GB2312"/>
          <w:sz w:val="32"/>
          <w:szCs w:val="32"/>
        </w:rPr>
        <w:t>。引领型科技成果不断涌现，在若干前沿领域成为国际产业标准和规则制定的重要参与者，掌握一批具有国际领先水平和自主知识产权的产业核心技术，在智能产业、新材料、生命科学等领域形成拥有技术主导权的产业集群，形成科技产业协同发展、创新活力迸发的创新生态体系。</w:t>
      </w:r>
    </w:p>
    <w:p>
      <w:pPr>
        <w:spacing w:line="560" w:lineRule="exact"/>
        <w:ind w:firstLine="640" w:firstLineChars="200"/>
        <w:rPr>
          <w:rFonts w:ascii="仿宋_GB2312" w:eastAsia="仿宋_GB2312"/>
          <w:sz w:val="32"/>
          <w:szCs w:val="32"/>
        </w:rPr>
      </w:pPr>
    </w:p>
    <w:p>
      <w:pPr>
        <w:spacing w:line="360" w:lineRule="auto"/>
        <w:jc w:val="center"/>
        <w:rPr>
          <w:rFonts w:asciiTheme="minorEastAsia" w:hAnsiTheme="minorEastAsia"/>
          <w:b/>
          <w:sz w:val="28"/>
          <w:szCs w:val="32"/>
        </w:rPr>
      </w:pPr>
    </w:p>
    <w:p>
      <w:pPr>
        <w:spacing w:line="360" w:lineRule="auto"/>
        <w:jc w:val="center"/>
        <w:rPr>
          <w:rFonts w:asciiTheme="minorEastAsia" w:hAnsiTheme="minorEastAsia"/>
          <w:b/>
          <w:sz w:val="28"/>
          <w:szCs w:val="32"/>
        </w:rPr>
      </w:pPr>
    </w:p>
    <w:p>
      <w:pPr>
        <w:spacing w:line="360" w:lineRule="auto"/>
        <w:jc w:val="center"/>
        <w:rPr>
          <w:rFonts w:asciiTheme="minorEastAsia" w:hAnsiTheme="minorEastAsia"/>
          <w:b/>
          <w:sz w:val="28"/>
          <w:szCs w:val="32"/>
        </w:rPr>
      </w:pPr>
      <w:r>
        <w:rPr>
          <w:rFonts w:hint="eastAsia" w:asciiTheme="minorEastAsia" w:hAnsiTheme="minorEastAsia"/>
          <w:b/>
          <w:sz w:val="28"/>
          <w:szCs w:val="32"/>
        </w:rPr>
        <w:t>光明区现代产业发展中长期规划指标体系</w:t>
      </w:r>
    </w:p>
    <w:tbl>
      <w:tblPr>
        <w:tblStyle w:val="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8"/>
        <w:gridCol w:w="562"/>
        <w:gridCol w:w="3204"/>
        <w:gridCol w:w="728"/>
        <w:gridCol w:w="874"/>
        <w:gridCol w:w="874"/>
        <w:gridCol w:w="842"/>
        <w:gridCol w:w="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36" w:hRule="atLeast"/>
        </w:trPr>
        <w:tc>
          <w:tcPr>
            <w:tcW w:w="350" w:type="pct"/>
            <w:shd w:val="clear" w:color="auto" w:fill="auto"/>
            <w:vAlign w:val="center"/>
          </w:tcPr>
          <w:p>
            <w:pPr>
              <w:autoSpaceDE w:val="0"/>
              <w:autoSpaceDN w:val="0"/>
              <w:adjustRightInd w:val="0"/>
              <w:snapToGrid w:val="0"/>
              <w:jc w:val="center"/>
              <w:rPr>
                <w:rFonts w:ascii="仿宋_GB2312" w:hAnsi="宋体" w:eastAsia="仿宋_GB2312" w:cs="黑体"/>
                <w:b/>
                <w:color w:val="000000"/>
                <w:kern w:val="0"/>
                <w:sz w:val="24"/>
                <w:szCs w:val="21"/>
              </w:rPr>
            </w:pPr>
            <w:r>
              <w:rPr>
                <w:rFonts w:hint="eastAsia" w:ascii="仿宋_GB2312" w:hAnsi="宋体" w:eastAsia="仿宋_GB2312" w:cs="黑体"/>
                <w:b/>
                <w:color w:val="000000"/>
                <w:kern w:val="0"/>
                <w:sz w:val="24"/>
                <w:szCs w:val="21"/>
              </w:rPr>
              <w:t>类别</w:t>
            </w:r>
          </w:p>
        </w:tc>
        <w:tc>
          <w:tcPr>
            <w:tcW w:w="330" w:type="pct"/>
            <w:vAlign w:val="center"/>
          </w:tcPr>
          <w:p>
            <w:pPr>
              <w:autoSpaceDE w:val="0"/>
              <w:autoSpaceDN w:val="0"/>
              <w:adjustRightInd w:val="0"/>
              <w:snapToGrid w:val="0"/>
              <w:jc w:val="center"/>
              <w:rPr>
                <w:rFonts w:ascii="仿宋_GB2312" w:hAnsi="宋体" w:eastAsia="仿宋_GB2312" w:cs="黑体"/>
                <w:b/>
                <w:color w:val="000000"/>
                <w:kern w:val="0"/>
                <w:sz w:val="24"/>
                <w:szCs w:val="21"/>
              </w:rPr>
            </w:pPr>
            <w:r>
              <w:rPr>
                <w:rFonts w:hint="eastAsia" w:ascii="仿宋_GB2312" w:hAnsi="宋体" w:eastAsia="仿宋_GB2312" w:cs="黑体"/>
                <w:b/>
                <w:color w:val="000000"/>
                <w:kern w:val="0"/>
                <w:sz w:val="24"/>
                <w:szCs w:val="21"/>
              </w:rPr>
              <w:t>序号</w:t>
            </w:r>
          </w:p>
        </w:tc>
        <w:tc>
          <w:tcPr>
            <w:tcW w:w="1880" w:type="pct"/>
            <w:shd w:val="clear" w:color="auto" w:fill="auto"/>
            <w:vAlign w:val="center"/>
          </w:tcPr>
          <w:p>
            <w:pPr>
              <w:autoSpaceDE w:val="0"/>
              <w:autoSpaceDN w:val="0"/>
              <w:adjustRightInd w:val="0"/>
              <w:snapToGrid w:val="0"/>
              <w:jc w:val="center"/>
              <w:rPr>
                <w:rFonts w:ascii="仿宋_GB2312" w:hAnsi="宋体" w:eastAsia="仿宋_GB2312" w:cs="黑体"/>
                <w:b/>
                <w:color w:val="000000"/>
                <w:kern w:val="0"/>
                <w:sz w:val="24"/>
                <w:szCs w:val="21"/>
              </w:rPr>
            </w:pPr>
            <w:r>
              <w:rPr>
                <w:rFonts w:hint="eastAsia" w:ascii="仿宋_GB2312" w:hAnsi="宋体" w:eastAsia="仿宋_GB2312" w:cs="黑体"/>
                <w:b/>
                <w:color w:val="000000"/>
                <w:kern w:val="0"/>
                <w:sz w:val="24"/>
                <w:szCs w:val="21"/>
              </w:rPr>
              <w:t>指标</w:t>
            </w:r>
          </w:p>
        </w:tc>
        <w:tc>
          <w:tcPr>
            <w:tcW w:w="427" w:type="pct"/>
            <w:shd w:val="clear" w:color="auto" w:fill="auto"/>
            <w:vAlign w:val="center"/>
          </w:tcPr>
          <w:p>
            <w:pPr>
              <w:autoSpaceDE w:val="0"/>
              <w:autoSpaceDN w:val="0"/>
              <w:adjustRightInd w:val="0"/>
              <w:snapToGrid w:val="0"/>
              <w:jc w:val="center"/>
              <w:rPr>
                <w:rFonts w:ascii="仿宋_GB2312" w:hAnsi="宋体" w:eastAsia="仿宋_GB2312" w:cs="黑体"/>
                <w:b/>
                <w:color w:val="000000"/>
                <w:kern w:val="0"/>
                <w:sz w:val="24"/>
                <w:szCs w:val="21"/>
              </w:rPr>
            </w:pPr>
            <w:r>
              <w:rPr>
                <w:rFonts w:hint="eastAsia" w:ascii="仿宋_GB2312" w:hAnsi="宋体" w:eastAsia="仿宋_GB2312" w:cs="黑体"/>
                <w:b/>
                <w:color w:val="000000"/>
                <w:kern w:val="0"/>
                <w:sz w:val="24"/>
                <w:szCs w:val="21"/>
              </w:rPr>
              <w:t>单位</w:t>
            </w:r>
          </w:p>
        </w:tc>
        <w:tc>
          <w:tcPr>
            <w:tcW w:w="513"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b/>
                <w:color w:val="000000"/>
                <w:kern w:val="0"/>
                <w:sz w:val="24"/>
                <w:szCs w:val="21"/>
              </w:rPr>
            </w:pPr>
            <w:r>
              <w:rPr>
                <w:rFonts w:ascii="仿宋_GB2312" w:hAnsi="宋体" w:eastAsia="仿宋_GB2312" w:cs="黑体"/>
                <w:b/>
                <w:kern w:val="0"/>
                <w:sz w:val="24"/>
                <w:szCs w:val="21"/>
              </w:rPr>
              <w:t>2018年完成值</w:t>
            </w:r>
          </w:p>
        </w:tc>
        <w:tc>
          <w:tcPr>
            <w:tcW w:w="513"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b/>
                <w:kern w:val="0"/>
                <w:sz w:val="24"/>
                <w:szCs w:val="21"/>
              </w:rPr>
            </w:pPr>
            <w:r>
              <w:rPr>
                <w:rFonts w:ascii="仿宋_GB2312" w:hAnsi="宋体" w:eastAsia="仿宋_GB2312" w:cs="黑体"/>
                <w:b/>
                <w:kern w:val="0"/>
                <w:sz w:val="24"/>
                <w:szCs w:val="21"/>
              </w:rPr>
              <w:t>2022</w:t>
            </w:r>
            <w:r>
              <w:rPr>
                <w:rFonts w:hint="eastAsia" w:ascii="仿宋_GB2312" w:hAnsi="宋体" w:eastAsia="仿宋_GB2312" w:cs="黑体"/>
                <w:b/>
                <w:kern w:val="0"/>
                <w:sz w:val="24"/>
                <w:szCs w:val="21"/>
              </w:rPr>
              <w:t>年目标值</w:t>
            </w:r>
          </w:p>
        </w:tc>
        <w:tc>
          <w:tcPr>
            <w:tcW w:w="494"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b/>
                <w:color w:val="000000"/>
                <w:kern w:val="0"/>
                <w:sz w:val="24"/>
                <w:szCs w:val="21"/>
              </w:rPr>
            </w:pPr>
            <w:r>
              <w:rPr>
                <w:rFonts w:ascii="仿宋_GB2312" w:hAnsi="宋体" w:eastAsia="仿宋_GB2312" w:cs="黑体"/>
                <w:b/>
                <w:color w:val="000000"/>
                <w:kern w:val="0"/>
                <w:sz w:val="24"/>
                <w:szCs w:val="21"/>
              </w:rPr>
              <w:t>2025年目标值</w:t>
            </w:r>
          </w:p>
        </w:tc>
        <w:tc>
          <w:tcPr>
            <w:tcW w:w="493"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b/>
                <w:color w:val="000000"/>
                <w:kern w:val="0"/>
                <w:sz w:val="24"/>
                <w:szCs w:val="21"/>
              </w:rPr>
            </w:pPr>
            <w:r>
              <w:rPr>
                <w:rFonts w:ascii="仿宋_GB2312" w:hAnsi="宋体" w:eastAsia="仿宋_GB2312" w:cs="黑体"/>
                <w:b/>
                <w:color w:val="000000"/>
                <w:kern w:val="0"/>
                <w:sz w:val="24"/>
                <w:szCs w:val="21"/>
              </w:rPr>
              <w:t>2035年目标值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350" w:type="pct"/>
            <w:vMerge w:val="restart"/>
            <w:shd w:val="clear" w:color="auto" w:fill="auto"/>
            <w:vAlign w:val="center"/>
          </w:tcPr>
          <w:p>
            <w:pPr>
              <w:autoSpaceDE w:val="0"/>
              <w:autoSpaceDN w:val="0"/>
              <w:adjustRightInd w:val="0"/>
              <w:snapToGrid w:val="0"/>
              <w:jc w:val="center"/>
              <w:rPr>
                <w:rFonts w:ascii="仿宋_GB2312" w:hAnsi="宋体" w:eastAsia="仿宋_GB2312" w:cs="黑体"/>
                <w:b/>
                <w:kern w:val="0"/>
                <w:sz w:val="24"/>
                <w:szCs w:val="21"/>
              </w:rPr>
            </w:pPr>
            <w:r>
              <w:rPr>
                <w:rFonts w:hint="eastAsia" w:ascii="仿宋_GB2312" w:hAnsi="宋体" w:eastAsia="仿宋_GB2312" w:cs="黑体"/>
                <w:b/>
                <w:kern w:val="0"/>
                <w:sz w:val="24"/>
                <w:szCs w:val="21"/>
              </w:rPr>
              <w:t>原创引领</w:t>
            </w:r>
          </w:p>
        </w:tc>
        <w:tc>
          <w:tcPr>
            <w:tcW w:w="330" w:type="pct"/>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1</w:t>
            </w:r>
          </w:p>
        </w:tc>
        <w:tc>
          <w:tcPr>
            <w:tcW w:w="1880" w:type="pct"/>
            <w:shd w:val="clear" w:color="auto" w:fill="auto"/>
            <w:vAlign w:val="center"/>
          </w:tcPr>
          <w:p>
            <w:pPr>
              <w:autoSpaceDE w:val="0"/>
              <w:autoSpaceDN w:val="0"/>
              <w:adjustRightInd w:val="0"/>
              <w:snapToGrid w:val="0"/>
              <w:jc w:val="left"/>
              <w:rPr>
                <w:rFonts w:ascii="仿宋_GB2312" w:hAnsi="宋体" w:eastAsia="仿宋_GB2312" w:cs="黑体"/>
                <w:kern w:val="0"/>
                <w:sz w:val="24"/>
                <w:szCs w:val="21"/>
              </w:rPr>
            </w:pPr>
            <w:r>
              <w:rPr>
                <w:rFonts w:hint="eastAsia" w:ascii="仿宋_GB2312" w:hAnsi="宋体" w:eastAsia="仿宋_GB2312" w:cs="黑体"/>
                <w:kern w:val="0"/>
                <w:sz w:val="24"/>
                <w:szCs w:val="21"/>
              </w:rPr>
              <w:t>全社会研发支出占</w:t>
            </w:r>
            <w:r>
              <w:rPr>
                <w:rFonts w:ascii="仿宋_GB2312" w:hAnsi="宋体" w:eastAsia="仿宋_GB2312" w:cs="黑体"/>
                <w:kern w:val="0"/>
                <w:sz w:val="24"/>
                <w:szCs w:val="21"/>
              </w:rPr>
              <w:t>GDP比重</w:t>
            </w:r>
          </w:p>
        </w:tc>
        <w:tc>
          <w:tcPr>
            <w:tcW w:w="427" w:type="pct"/>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w:t>
            </w:r>
          </w:p>
        </w:tc>
        <w:tc>
          <w:tcPr>
            <w:tcW w:w="513"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w:t>
            </w:r>
          </w:p>
        </w:tc>
        <w:tc>
          <w:tcPr>
            <w:tcW w:w="513"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4.35</w:t>
            </w:r>
          </w:p>
        </w:tc>
        <w:tc>
          <w:tcPr>
            <w:tcW w:w="494"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4.5</w:t>
            </w:r>
          </w:p>
        </w:tc>
        <w:tc>
          <w:tcPr>
            <w:tcW w:w="493"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350" w:type="pct"/>
            <w:vMerge w:val="continue"/>
            <w:shd w:val="clear" w:color="auto" w:fill="auto"/>
            <w:vAlign w:val="center"/>
          </w:tcPr>
          <w:p>
            <w:pPr>
              <w:autoSpaceDE w:val="0"/>
              <w:autoSpaceDN w:val="0"/>
              <w:adjustRightInd w:val="0"/>
              <w:snapToGrid w:val="0"/>
              <w:jc w:val="center"/>
              <w:rPr>
                <w:rFonts w:ascii="仿宋_GB2312" w:hAnsi="宋体" w:eastAsia="仿宋_GB2312" w:cs="黑体"/>
                <w:b/>
                <w:kern w:val="0"/>
                <w:sz w:val="24"/>
                <w:szCs w:val="21"/>
              </w:rPr>
            </w:pPr>
          </w:p>
        </w:tc>
        <w:tc>
          <w:tcPr>
            <w:tcW w:w="330" w:type="pct"/>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2</w:t>
            </w:r>
          </w:p>
        </w:tc>
        <w:tc>
          <w:tcPr>
            <w:tcW w:w="1880" w:type="pct"/>
            <w:shd w:val="clear" w:color="auto" w:fill="auto"/>
            <w:vAlign w:val="center"/>
          </w:tcPr>
          <w:p>
            <w:pPr>
              <w:autoSpaceDE w:val="0"/>
              <w:autoSpaceDN w:val="0"/>
              <w:adjustRightInd w:val="0"/>
              <w:snapToGrid w:val="0"/>
              <w:jc w:val="left"/>
              <w:rPr>
                <w:rFonts w:ascii="仿宋_GB2312" w:hAnsi="宋体" w:eastAsia="仿宋_GB2312" w:cs="黑体"/>
                <w:kern w:val="0"/>
                <w:sz w:val="24"/>
                <w:szCs w:val="21"/>
              </w:rPr>
            </w:pPr>
            <w:r>
              <w:rPr>
                <w:rFonts w:hint="eastAsia" w:ascii="仿宋_GB2312" w:hAnsi="宋体" w:eastAsia="仿宋_GB2312" w:cs="黑体"/>
                <w:kern w:val="0"/>
                <w:sz w:val="24"/>
                <w:szCs w:val="21"/>
              </w:rPr>
              <w:t>重大科技基础设施</w:t>
            </w:r>
          </w:p>
        </w:tc>
        <w:tc>
          <w:tcPr>
            <w:tcW w:w="427" w:type="pct"/>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hint="eastAsia" w:ascii="仿宋_GB2312" w:hAnsi="宋体" w:eastAsia="仿宋_GB2312" w:cs="黑体"/>
                <w:kern w:val="0"/>
                <w:sz w:val="24"/>
                <w:szCs w:val="21"/>
              </w:rPr>
              <w:t>个</w:t>
            </w:r>
          </w:p>
        </w:tc>
        <w:tc>
          <w:tcPr>
            <w:tcW w:w="513"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0</w:t>
            </w:r>
          </w:p>
        </w:tc>
        <w:tc>
          <w:tcPr>
            <w:tcW w:w="513"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0</w:t>
            </w:r>
          </w:p>
        </w:tc>
        <w:tc>
          <w:tcPr>
            <w:tcW w:w="494"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6</w:t>
            </w:r>
          </w:p>
        </w:tc>
        <w:tc>
          <w:tcPr>
            <w:tcW w:w="493"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350" w:type="pct"/>
            <w:vMerge w:val="continue"/>
            <w:shd w:val="clear" w:color="auto" w:fill="auto"/>
            <w:vAlign w:val="center"/>
          </w:tcPr>
          <w:p>
            <w:pPr>
              <w:autoSpaceDE w:val="0"/>
              <w:autoSpaceDN w:val="0"/>
              <w:adjustRightInd w:val="0"/>
              <w:snapToGrid w:val="0"/>
              <w:jc w:val="center"/>
              <w:rPr>
                <w:rFonts w:ascii="仿宋_GB2312" w:hAnsi="宋体" w:eastAsia="仿宋_GB2312" w:cs="黑体"/>
                <w:b/>
                <w:kern w:val="0"/>
                <w:sz w:val="24"/>
                <w:szCs w:val="21"/>
              </w:rPr>
            </w:pPr>
          </w:p>
        </w:tc>
        <w:tc>
          <w:tcPr>
            <w:tcW w:w="330" w:type="pct"/>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3</w:t>
            </w:r>
          </w:p>
        </w:tc>
        <w:tc>
          <w:tcPr>
            <w:tcW w:w="1880" w:type="pct"/>
            <w:shd w:val="clear" w:color="auto" w:fill="auto"/>
            <w:vAlign w:val="center"/>
          </w:tcPr>
          <w:p>
            <w:pPr>
              <w:autoSpaceDE w:val="0"/>
              <w:autoSpaceDN w:val="0"/>
              <w:adjustRightInd w:val="0"/>
              <w:snapToGrid w:val="0"/>
              <w:jc w:val="left"/>
              <w:rPr>
                <w:rFonts w:ascii="仿宋_GB2312" w:hAnsi="宋体" w:eastAsia="仿宋_GB2312" w:cs="黑体"/>
                <w:kern w:val="0"/>
                <w:sz w:val="24"/>
                <w:szCs w:val="21"/>
              </w:rPr>
            </w:pPr>
            <w:r>
              <w:rPr>
                <w:rFonts w:hint="eastAsia" w:ascii="仿宋_GB2312" w:hAnsi="宋体" w:eastAsia="仿宋_GB2312" w:cs="黑体"/>
                <w:kern w:val="0"/>
                <w:sz w:val="24"/>
                <w:szCs w:val="21"/>
              </w:rPr>
              <w:t>每万人发明专利拥有量</w:t>
            </w:r>
          </w:p>
        </w:tc>
        <w:tc>
          <w:tcPr>
            <w:tcW w:w="427" w:type="pct"/>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hint="eastAsia" w:ascii="仿宋_GB2312" w:hAnsi="宋体" w:eastAsia="仿宋_GB2312" w:cs="黑体"/>
                <w:kern w:val="0"/>
                <w:sz w:val="24"/>
                <w:szCs w:val="21"/>
              </w:rPr>
              <w:t>件</w:t>
            </w:r>
          </w:p>
        </w:tc>
        <w:tc>
          <w:tcPr>
            <w:tcW w:w="513"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45</w:t>
            </w:r>
          </w:p>
        </w:tc>
        <w:tc>
          <w:tcPr>
            <w:tcW w:w="513"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68</w:t>
            </w:r>
          </w:p>
        </w:tc>
        <w:tc>
          <w:tcPr>
            <w:tcW w:w="494"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92.5</w:t>
            </w:r>
          </w:p>
        </w:tc>
        <w:tc>
          <w:tcPr>
            <w:tcW w:w="493"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350" w:type="pct"/>
            <w:vMerge w:val="continue"/>
            <w:shd w:val="clear" w:color="auto" w:fill="auto"/>
            <w:vAlign w:val="center"/>
          </w:tcPr>
          <w:p>
            <w:pPr>
              <w:autoSpaceDE w:val="0"/>
              <w:autoSpaceDN w:val="0"/>
              <w:adjustRightInd w:val="0"/>
              <w:snapToGrid w:val="0"/>
              <w:jc w:val="center"/>
              <w:rPr>
                <w:rFonts w:ascii="仿宋_GB2312" w:hAnsi="宋体" w:eastAsia="仿宋_GB2312" w:cs="黑体"/>
                <w:b/>
                <w:kern w:val="0"/>
                <w:sz w:val="24"/>
                <w:szCs w:val="21"/>
              </w:rPr>
            </w:pPr>
          </w:p>
        </w:tc>
        <w:tc>
          <w:tcPr>
            <w:tcW w:w="330" w:type="pct"/>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4</w:t>
            </w:r>
          </w:p>
        </w:tc>
        <w:tc>
          <w:tcPr>
            <w:tcW w:w="1880" w:type="pct"/>
            <w:shd w:val="clear" w:color="auto" w:fill="auto"/>
            <w:vAlign w:val="center"/>
          </w:tcPr>
          <w:p>
            <w:pPr>
              <w:autoSpaceDE w:val="0"/>
              <w:autoSpaceDN w:val="0"/>
              <w:adjustRightInd w:val="0"/>
              <w:snapToGrid w:val="0"/>
              <w:jc w:val="left"/>
              <w:rPr>
                <w:rFonts w:ascii="仿宋_GB2312" w:hAnsi="宋体" w:eastAsia="仿宋_GB2312" w:cs="黑体"/>
                <w:kern w:val="0"/>
                <w:sz w:val="24"/>
                <w:szCs w:val="21"/>
              </w:rPr>
            </w:pPr>
            <w:r>
              <w:rPr>
                <w:rFonts w:hint="eastAsia" w:ascii="仿宋_GB2312" w:hAnsi="宋体" w:eastAsia="仿宋_GB2312" w:cs="黑体"/>
                <w:kern w:val="0"/>
                <w:sz w:val="24"/>
                <w:szCs w:val="21"/>
              </w:rPr>
              <w:t>海外高层次人才</w:t>
            </w:r>
          </w:p>
        </w:tc>
        <w:tc>
          <w:tcPr>
            <w:tcW w:w="427" w:type="pct"/>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hint="eastAsia" w:ascii="仿宋_GB2312" w:hAnsi="宋体" w:eastAsia="仿宋_GB2312" w:cs="黑体"/>
                <w:kern w:val="0"/>
                <w:sz w:val="24"/>
                <w:szCs w:val="21"/>
              </w:rPr>
              <w:t>人</w:t>
            </w:r>
          </w:p>
        </w:tc>
        <w:tc>
          <w:tcPr>
            <w:tcW w:w="513"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36</w:t>
            </w:r>
          </w:p>
        </w:tc>
        <w:tc>
          <w:tcPr>
            <w:tcW w:w="513"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88</w:t>
            </w:r>
          </w:p>
        </w:tc>
        <w:tc>
          <w:tcPr>
            <w:tcW w:w="494"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hint="eastAsia" w:ascii="仿宋_GB2312" w:hAnsi="宋体" w:eastAsia="仿宋_GB2312" w:cs="黑体"/>
                <w:kern w:val="0"/>
                <w:sz w:val="24"/>
                <w:szCs w:val="21"/>
              </w:rPr>
              <w:t>1</w:t>
            </w:r>
            <w:r>
              <w:rPr>
                <w:rFonts w:ascii="仿宋_GB2312" w:hAnsi="宋体" w:eastAsia="仿宋_GB2312" w:cs="黑体"/>
                <w:kern w:val="0"/>
                <w:sz w:val="24"/>
                <w:szCs w:val="21"/>
              </w:rPr>
              <w:t>70</w:t>
            </w:r>
          </w:p>
        </w:tc>
        <w:tc>
          <w:tcPr>
            <w:tcW w:w="493"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350" w:type="pct"/>
            <w:vMerge w:val="restart"/>
            <w:shd w:val="clear" w:color="auto" w:fill="auto"/>
            <w:vAlign w:val="center"/>
          </w:tcPr>
          <w:p>
            <w:pPr>
              <w:autoSpaceDE w:val="0"/>
              <w:autoSpaceDN w:val="0"/>
              <w:adjustRightInd w:val="0"/>
              <w:snapToGrid w:val="0"/>
              <w:jc w:val="center"/>
              <w:rPr>
                <w:rFonts w:ascii="仿宋_GB2312" w:hAnsi="宋体" w:eastAsia="仿宋_GB2312" w:cs="黑体"/>
                <w:b/>
                <w:kern w:val="0"/>
                <w:sz w:val="24"/>
                <w:szCs w:val="21"/>
              </w:rPr>
            </w:pPr>
            <w:r>
              <w:rPr>
                <w:rFonts w:hint="eastAsia" w:ascii="仿宋_GB2312" w:hAnsi="宋体" w:eastAsia="仿宋_GB2312" w:cs="黑体"/>
                <w:b/>
                <w:kern w:val="0"/>
                <w:sz w:val="24"/>
                <w:szCs w:val="21"/>
              </w:rPr>
              <w:t>生态驱动</w:t>
            </w:r>
          </w:p>
        </w:tc>
        <w:tc>
          <w:tcPr>
            <w:tcW w:w="330" w:type="pct"/>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5</w:t>
            </w:r>
          </w:p>
        </w:tc>
        <w:tc>
          <w:tcPr>
            <w:tcW w:w="1880" w:type="pct"/>
            <w:shd w:val="clear" w:color="auto" w:fill="auto"/>
            <w:vAlign w:val="center"/>
          </w:tcPr>
          <w:p>
            <w:pPr>
              <w:autoSpaceDE w:val="0"/>
              <w:autoSpaceDN w:val="0"/>
              <w:adjustRightInd w:val="0"/>
              <w:snapToGrid w:val="0"/>
              <w:jc w:val="left"/>
              <w:rPr>
                <w:rFonts w:ascii="仿宋_GB2312" w:hAnsi="宋体" w:eastAsia="仿宋_GB2312" w:cs="黑体"/>
                <w:kern w:val="0"/>
                <w:sz w:val="24"/>
                <w:szCs w:val="21"/>
              </w:rPr>
            </w:pPr>
            <w:r>
              <w:rPr>
                <w:rFonts w:hint="eastAsia" w:ascii="仿宋_GB2312" w:hAnsi="宋体" w:eastAsia="仿宋_GB2312" w:cs="黑体"/>
                <w:kern w:val="0"/>
                <w:sz w:val="24"/>
                <w:szCs w:val="21"/>
              </w:rPr>
              <w:t>产业基础设施数量</w:t>
            </w:r>
          </w:p>
        </w:tc>
        <w:tc>
          <w:tcPr>
            <w:tcW w:w="427" w:type="pct"/>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hint="eastAsia" w:ascii="仿宋_GB2312" w:hAnsi="宋体" w:eastAsia="仿宋_GB2312" w:cs="黑体"/>
                <w:kern w:val="0"/>
                <w:sz w:val="24"/>
                <w:szCs w:val="21"/>
              </w:rPr>
              <w:t>个</w:t>
            </w:r>
          </w:p>
        </w:tc>
        <w:tc>
          <w:tcPr>
            <w:tcW w:w="513"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0</w:t>
            </w:r>
          </w:p>
        </w:tc>
        <w:tc>
          <w:tcPr>
            <w:tcW w:w="513"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3</w:t>
            </w:r>
          </w:p>
        </w:tc>
        <w:tc>
          <w:tcPr>
            <w:tcW w:w="494"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9</w:t>
            </w:r>
          </w:p>
        </w:tc>
        <w:tc>
          <w:tcPr>
            <w:tcW w:w="493"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350" w:type="pct"/>
            <w:vMerge w:val="continue"/>
            <w:shd w:val="clear" w:color="auto" w:fill="auto"/>
            <w:vAlign w:val="center"/>
          </w:tcPr>
          <w:p>
            <w:pPr>
              <w:autoSpaceDE w:val="0"/>
              <w:autoSpaceDN w:val="0"/>
              <w:adjustRightInd w:val="0"/>
              <w:snapToGrid w:val="0"/>
              <w:jc w:val="center"/>
              <w:rPr>
                <w:rFonts w:ascii="仿宋_GB2312" w:hAnsi="宋体" w:eastAsia="仿宋_GB2312" w:cs="黑体"/>
                <w:b/>
                <w:kern w:val="0"/>
                <w:sz w:val="24"/>
                <w:szCs w:val="21"/>
              </w:rPr>
            </w:pPr>
          </w:p>
        </w:tc>
        <w:tc>
          <w:tcPr>
            <w:tcW w:w="330" w:type="pct"/>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6</w:t>
            </w:r>
          </w:p>
        </w:tc>
        <w:tc>
          <w:tcPr>
            <w:tcW w:w="1880" w:type="pct"/>
            <w:shd w:val="clear" w:color="auto" w:fill="auto"/>
            <w:vAlign w:val="center"/>
          </w:tcPr>
          <w:p>
            <w:pPr>
              <w:autoSpaceDE w:val="0"/>
              <w:autoSpaceDN w:val="0"/>
              <w:adjustRightInd w:val="0"/>
              <w:snapToGrid w:val="0"/>
              <w:jc w:val="left"/>
              <w:rPr>
                <w:rFonts w:ascii="仿宋_GB2312" w:hAnsi="宋体" w:eastAsia="仿宋_GB2312" w:cs="黑体"/>
                <w:kern w:val="0"/>
                <w:sz w:val="24"/>
                <w:szCs w:val="21"/>
              </w:rPr>
            </w:pPr>
            <w:r>
              <w:rPr>
                <w:rFonts w:hint="eastAsia" w:ascii="仿宋_GB2312" w:hAnsi="宋体" w:eastAsia="仿宋_GB2312" w:cs="黑体"/>
                <w:kern w:val="0"/>
                <w:sz w:val="24"/>
                <w:szCs w:val="21"/>
              </w:rPr>
              <w:t>市级及以上创新载体数量</w:t>
            </w:r>
          </w:p>
        </w:tc>
        <w:tc>
          <w:tcPr>
            <w:tcW w:w="427" w:type="pct"/>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hint="eastAsia" w:ascii="仿宋_GB2312" w:hAnsi="宋体" w:eastAsia="仿宋_GB2312" w:cs="黑体"/>
                <w:kern w:val="0"/>
                <w:sz w:val="24"/>
                <w:szCs w:val="21"/>
              </w:rPr>
              <w:t>个</w:t>
            </w:r>
          </w:p>
        </w:tc>
        <w:tc>
          <w:tcPr>
            <w:tcW w:w="513"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69</w:t>
            </w:r>
          </w:p>
        </w:tc>
        <w:tc>
          <w:tcPr>
            <w:tcW w:w="513"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129</w:t>
            </w:r>
          </w:p>
        </w:tc>
        <w:tc>
          <w:tcPr>
            <w:tcW w:w="494"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207</w:t>
            </w:r>
          </w:p>
        </w:tc>
        <w:tc>
          <w:tcPr>
            <w:tcW w:w="493"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350" w:type="pct"/>
            <w:vMerge w:val="continue"/>
            <w:shd w:val="clear" w:color="auto" w:fill="auto"/>
            <w:vAlign w:val="center"/>
          </w:tcPr>
          <w:p>
            <w:pPr>
              <w:autoSpaceDE w:val="0"/>
              <w:autoSpaceDN w:val="0"/>
              <w:adjustRightInd w:val="0"/>
              <w:snapToGrid w:val="0"/>
              <w:jc w:val="center"/>
              <w:rPr>
                <w:rFonts w:ascii="仿宋_GB2312" w:hAnsi="宋体" w:eastAsia="仿宋_GB2312" w:cs="黑体"/>
                <w:b/>
                <w:kern w:val="0"/>
                <w:sz w:val="24"/>
                <w:szCs w:val="21"/>
              </w:rPr>
            </w:pPr>
          </w:p>
        </w:tc>
        <w:tc>
          <w:tcPr>
            <w:tcW w:w="330" w:type="pct"/>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7</w:t>
            </w:r>
          </w:p>
        </w:tc>
        <w:tc>
          <w:tcPr>
            <w:tcW w:w="1880" w:type="pct"/>
            <w:shd w:val="clear" w:color="auto" w:fill="auto"/>
            <w:vAlign w:val="center"/>
          </w:tcPr>
          <w:p>
            <w:pPr>
              <w:autoSpaceDE w:val="0"/>
              <w:autoSpaceDN w:val="0"/>
              <w:adjustRightInd w:val="0"/>
              <w:snapToGrid w:val="0"/>
              <w:jc w:val="left"/>
              <w:rPr>
                <w:rFonts w:ascii="仿宋_GB2312" w:hAnsi="宋体" w:eastAsia="仿宋_GB2312" w:cs="黑体"/>
                <w:kern w:val="0"/>
                <w:sz w:val="24"/>
                <w:szCs w:val="21"/>
              </w:rPr>
            </w:pPr>
            <w:r>
              <w:rPr>
                <w:rFonts w:hint="eastAsia" w:ascii="仿宋_GB2312" w:hAnsi="宋体" w:eastAsia="仿宋_GB2312" w:cs="黑体"/>
                <w:kern w:val="0"/>
                <w:sz w:val="24"/>
                <w:szCs w:val="21"/>
              </w:rPr>
              <w:t>经认定的众创空间和孵化器</w:t>
            </w:r>
          </w:p>
        </w:tc>
        <w:tc>
          <w:tcPr>
            <w:tcW w:w="427" w:type="pct"/>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hint="eastAsia" w:ascii="仿宋_GB2312" w:hAnsi="宋体" w:eastAsia="仿宋_GB2312" w:cs="黑体"/>
                <w:kern w:val="0"/>
                <w:sz w:val="24"/>
                <w:szCs w:val="21"/>
              </w:rPr>
              <w:t>个</w:t>
            </w:r>
          </w:p>
        </w:tc>
        <w:tc>
          <w:tcPr>
            <w:tcW w:w="513"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21</w:t>
            </w:r>
          </w:p>
        </w:tc>
        <w:tc>
          <w:tcPr>
            <w:tcW w:w="513"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35</w:t>
            </w:r>
          </w:p>
        </w:tc>
        <w:tc>
          <w:tcPr>
            <w:tcW w:w="494"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53</w:t>
            </w:r>
          </w:p>
        </w:tc>
        <w:tc>
          <w:tcPr>
            <w:tcW w:w="493"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350" w:type="pct"/>
            <w:vMerge w:val="continue"/>
            <w:shd w:val="clear" w:color="auto" w:fill="auto"/>
            <w:vAlign w:val="center"/>
          </w:tcPr>
          <w:p>
            <w:pPr>
              <w:autoSpaceDE w:val="0"/>
              <w:autoSpaceDN w:val="0"/>
              <w:adjustRightInd w:val="0"/>
              <w:snapToGrid w:val="0"/>
              <w:jc w:val="center"/>
              <w:rPr>
                <w:rFonts w:ascii="仿宋_GB2312" w:hAnsi="宋体" w:eastAsia="仿宋_GB2312" w:cs="黑体"/>
                <w:b/>
                <w:kern w:val="0"/>
                <w:sz w:val="24"/>
                <w:szCs w:val="21"/>
              </w:rPr>
            </w:pPr>
          </w:p>
        </w:tc>
        <w:tc>
          <w:tcPr>
            <w:tcW w:w="330" w:type="pct"/>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8</w:t>
            </w:r>
          </w:p>
        </w:tc>
        <w:tc>
          <w:tcPr>
            <w:tcW w:w="1880" w:type="pct"/>
            <w:shd w:val="clear" w:color="auto" w:fill="auto"/>
            <w:vAlign w:val="center"/>
          </w:tcPr>
          <w:p>
            <w:pPr>
              <w:autoSpaceDE w:val="0"/>
              <w:autoSpaceDN w:val="0"/>
              <w:adjustRightInd w:val="0"/>
              <w:snapToGrid w:val="0"/>
              <w:jc w:val="left"/>
              <w:rPr>
                <w:rFonts w:ascii="仿宋_GB2312" w:hAnsi="宋体" w:eastAsia="仿宋_GB2312" w:cs="黑体"/>
                <w:kern w:val="0"/>
                <w:sz w:val="24"/>
                <w:szCs w:val="21"/>
              </w:rPr>
            </w:pPr>
            <w:r>
              <w:rPr>
                <w:rFonts w:ascii="仿宋_GB2312" w:hAnsi="宋体" w:eastAsia="仿宋_GB2312" w:cs="黑体"/>
                <w:kern w:val="0"/>
                <w:sz w:val="24"/>
                <w:szCs w:val="21"/>
              </w:rPr>
              <w:t>技术合同成交金额</w:t>
            </w:r>
          </w:p>
        </w:tc>
        <w:tc>
          <w:tcPr>
            <w:tcW w:w="427" w:type="pct"/>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亿元</w:t>
            </w:r>
          </w:p>
        </w:tc>
        <w:tc>
          <w:tcPr>
            <w:tcW w:w="513"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0.66</w:t>
            </w:r>
          </w:p>
        </w:tc>
        <w:tc>
          <w:tcPr>
            <w:tcW w:w="513"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2.0</w:t>
            </w:r>
          </w:p>
        </w:tc>
        <w:tc>
          <w:tcPr>
            <w:tcW w:w="494"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hint="eastAsia" w:ascii="仿宋_GB2312" w:hAnsi="宋体" w:eastAsia="仿宋_GB2312" w:cs="黑体"/>
                <w:kern w:val="0"/>
                <w:sz w:val="24"/>
                <w:szCs w:val="21"/>
              </w:rPr>
              <w:t>5</w:t>
            </w:r>
            <w:r>
              <w:rPr>
                <w:rFonts w:ascii="仿宋_GB2312" w:hAnsi="宋体" w:eastAsia="仿宋_GB2312" w:cs="黑体"/>
                <w:kern w:val="0"/>
                <w:sz w:val="24"/>
                <w:szCs w:val="21"/>
              </w:rPr>
              <w:t>.2</w:t>
            </w:r>
          </w:p>
        </w:tc>
        <w:tc>
          <w:tcPr>
            <w:tcW w:w="493"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hint="eastAsia" w:ascii="仿宋_GB2312" w:hAnsi="宋体" w:eastAsia="仿宋_GB2312" w:cs="黑体"/>
                <w:kern w:val="0"/>
                <w:sz w:val="24"/>
                <w:szCs w:val="21"/>
              </w:rPr>
              <w:t>1</w:t>
            </w:r>
            <w:r>
              <w:rPr>
                <w:rFonts w:ascii="仿宋_GB2312" w:hAnsi="宋体" w:eastAsia="仿宋_GB2312" w:cs="黑体"/>
                <w:kern w:val="0"/>
                <w:sz w:val="24"/>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5" w:hRule="atLeast"/>
        </w:trPr>
        <w:tc>
          <w:tcPr>
            <w:tcW w:w="350" w:type="pct"/>
            <w:vMerge w:val="restart"/>
            <w:shd w:val="clear" w:color="auto" w:fill="auto"/>
            <w:vAlign w:val="center"/>
          </w:tcPr>
          <w:p>
            <w:pPr>
              <w:autoSpaceDE w:val="0"/>
              <w:autoSpaceDN w:val="0"/>
              <w:adjustRightInd w:val="0"/>
              <w:snapToGrid w:val="0"/>
              <w:jc w:val="center"/>
              <w:rPr>
                <w:rFonts w:ascii="仿宋_GB2312" w:hAnsi="宋体" w:eastAsia="仿宋_GB2312" w:cs="黑体"/>
                <w:b/>
                <w:kern w:val="0"/>
                <w:sz w:val="24"/>
                <w:szCs w:val="21"/>
              </w:rPr>
            </w:pPr>
            <w:r>
              <w:rPr>
                <w:rFonts w:hint="eastAsia" w:ascii="仿宋_GB2312" w:hAnsi="宋体" w:eastAsia="仿宋_GB2312" w:cs="黑体"/>
                <w:b/>
                <w:kern w:val="0"/>
                <w:sz w:val="24"/>
                <w:szCs w:val="21"/>
              </w:rPr>
              <w:t>协同发展</w:t>
            </w:r>
          </w:p>
        </w:tc>
        <w:tc>
          <w:tcPr>
            <w:tcW w:w="330" w:type="pct"/>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9</w:t>
            </w:r>
          </w:p>
        </w:tc>
        <w:tc>
          <w:tcPr>
            <w:tcW w:w="1880" w:type="pct"/>
            <w:shd w:val="clear" w:color="auto" w:fill="auto"/>
            <w:vAlign w:val="center"/>
          </w:tcPr>
          <w:p>
            <w:pPr>
              <w:autoSpaceDE w:val="0"/>
              <w:autoSpaceDN w:val="0"/>
              <w:adjustRightInd w:val="0"/>
              <w:snapToGrid w:val="0"/>
              <w:jc w:val="left"/>
              <w:rPr>
                <w:rFonts w:ascii="仿宋_GB2312" w:hAnsi="宋体" w:eastAsia="仿宋_GB2312" w:cs="黑体"/>
                <w:kern w:val="0"/>
                <w:sz w:val="24"/>
                <w:szCs w:val="21"/>
              </w:rPr>
            </w:pPr>
            <w:r>
              <w:rPr>
                <w:rFonts w:hint="eastAsia" w:ascii="仿宋_GB2312" w:hAnsi="宋体" w:eastAsia="仿宋_GB2312" w:cs="黑体"/>
                <w:kern w:val="0"/>
                <w:sz w:val="24"/>
                <w:szCs w:val="21"/>
              </w:rPr>
              <w:t>深港联合创新载体数</w:t>
            </w:r>
          </w:p>
        </w:tc>
        <w:tc>
          <w:tcPr>
            <w:tcW w:w="427" w:type="pct"/>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hint="eastAsia" w:ascii="仿宋_GB2312" w:hAnsi="宋体" w:eastAsia="仿宋_GB2312" w:cs="黑体"/>
                <w:kern w:val="0"/>
                <w:sz w:val="24"/>
                <w:szCs w:val="21"/>
              </w:rPr>
              <w:t>个</w:t>
            </w:r>
          </w:p>
        </w:tc>
        <w:tc>
          <w:tcPr>
            <w:tcW w:w="513"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0</w:t>
            </w:r>
          </w:p>
        </w:tc>
        <w:tc>
          <w:tcPr>
            <w:tcW w:w="513"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2</w:t>
            </w:r>
          </w:p>
        </w:tc>
        <w:tc>
          <w:tcPr>
            <w:tcW w:w="494"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5</w:t>
            </w:r>
          </w:p>
        </w:tc>
        <w:tc>
          <w:tcPr>
            <w:tcW w:w="493"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350" w:type="pct"/>
            <w:vMerge w:val="continue"/>
            <w:shd w:val="clear" w:color="auto" w:fill="auto"/>
            <w:vAlign w:val="center"/>
          </w:tcPr>
          <w:p>
            <w:pPr>
              <w:autoSpaceDE w:val="0"/>
              <w:autoSpaceDN w:val="0"/>
              <w:adjustRightInd w:val="0"/>
              <w:snapToGrid w:val="0"/>
              <w:jc w:val="center"/>
              <w:rPr>
                <w:rFonts w:ascii="仿宋_GB2312" w:hAnsi="宋体" w:eastAsia="仿宋_GB2312" w:cs="黑体"/>
                <w:b/>
                <w:kern w:val="0"/>
                <w:sz w:val="24"/>
                <w:szCs w:val="21"/>
              </w:rPr>
            </w:pPr>
          </w:p>
        </w:tc>
        <w:tc>
          <w:tcPr>
            <w:tcW w:w="330" w:type="pct"/>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10</w:t>
            </w:r>
          </w:p>
        </w:tc>
        <w:tc>
          <w:tcPr>
            <w:tcW w:w="1880" w:type="pct"/>
            <w:shd w:val="clear" w:color="auto" w:fill="auto"/>
            <w:vAlign w:val="center"/>
          </w:tcPr>
          <w:p>
            <w:pPr>
              <w:autoSpaceDE w:val="0"/>
              <w:autoSpaceDN w:val="0"/>
              <w:adjustRightInd w:val="0"/>
              <w:snapToGrid w:val="0"/>
              <w:jc w:val="left"/>
              <w:rPr>
                <w:rFonts w:ascii="仿宋_GB2312" w:hAnsi="宋体" w:eastAsia="仿宋_GB2312" w:cs="黑体"/>
                <w:kern w:val="0"/>
                <w:sz w:val="24"/>
                <w:szCs w:val="21"/>
              </w:rPr>
            </w:pPr>
            <w:r>
              <w:rPr>
                <w:rFonts w:hint="eastAsia" w:ascii="仿宋_GB2312" w:hAnsi="宋体" w:eastAsia="仿宋_GB2312" w:cs="黑体"/>
                <w:kern w:val="0"/>
                <w:sz w:val="24"/>
                <w:szCs w:val="21"/>
              </w:rPr>
              <w:t>跨国公司</w:t>
            </w:r>
            <w:r>
              <w:rPr>
                <w:rFonts w:ascii="仿宋_GB2312" w:hAnsi="宋体" w:eastAsia="仿宋_GB2312" w:cs="黑体"/>
                <w:kern w:val="0"/>
                <w:sz w:val="24"/>
                <w:szCs w:val="21"/>
              </w:rPr>
              <w:t>研发中心</w:t>
            </w:r>
          </w:p>
        </w:tc>
        <w:tc>
          <w:tcPr>
            <w:tcW w:w="427" w:type="pct"/>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hint="eastAsia" w:ascii="仿宋_GB2312" w:hAnsi="宋体" w:eastAsia="仿宋_GB2312" w:cs="黑体"/>
                <w:kern w:val="0"/>
                <w:sz w:val="24"/>
                <w:szCs w:val="21"/>
              </w:rPr>
              <w:t>个</w:t>
            </w:r>
          </w:p>
        </w:tc>
        <w:tc>
          <w:tcPr>
            <w:tcW w:w="513"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0</w:t>
            </w:r>
          </w:p>
        </w:tc>
        <w:tc>
          <w:tcPr>
            <w:tcW w:w="513"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4</w:t>
            </w:r>
          </w:p>
        </w:tc>
        <w:tc>
          <w:tcPr>
            <w:tcW w:w="494"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10</w:t>
            </w:r>
          </w:p>
        </w:tc>
        <w:tc>
          <w:tcPr>
            <w:tcW w:w="493"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hint="eastAsia" w:ascii="仿宋_GB2312" w:hAnsi="宋体" w:eastAsia="仿宋_GB2312" w:cs="黑体"/>
                <w:kern w:val="0"/>
                <w:sz w:val="24"/>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52" w:hRule="atLeast"/>
        </w:trPr>
        <w:tc>
          <w:tcPr>
            <w:tcW w:w="350" w:type="pct"/>
            <w:vMerge w:val="restart"/>
            <w:shd w:val="clear" w:color="auto" w:fill="auto"/>
            <w:vAlign w:val="center"/>
          </w:tcPr>
          <w:p>
            <w:pPr>
              <w:autoSpaceDE w:val="0"/>
              <w:autoSpaceDN w:val="0"/>
              <w:adjustRightInd w:val="0"/>
              <w:snapToGrid w:val="0"/>
              <w:jc w:val="center"/>
              <w:rPr>
                <w:rFonts w:ascii="仿宋_GB2312" w:hAnsi="宋体" w:eastAsia="仿宋_GB2312" w:cs="黑体"/>
                <w:b/>
                <w:kern w:val="0"/>
                <w:sz w:val="24"/>
                <w:szCs w:val="21"/>
              </w:rPr>
            </w:pPr>
          </w:p>
          <w:p>
            <w:pPr>
              <w:autoSpaceDE w:val="0"/>
              <w:autoSpaceDN w:val="0"/>
              <w:adjustRightInd w:val="0"/>
              <w:snapToGrid w:val="0"/>
              <w:jc w:val="center"/>
              <w:rPr>
                <w:rFonts w:ascii="仿宋_GB2312" w:hAnsi="宋体" w:eastAsia="仿宋_GB2312" w:cs="黑体"/>
                <w:b/>
                <w:kern w:val="0"/>
                <w:sz w:val="24"/>
                <w:szCs w:val="21"/>
              </w:rPr>
            </w:pPr>
          </w:p>
          <w:p>
            <w:pPr>
              <w:autoSpaceDE w:val="0"/>
              <w:autoSpaceDN w:val="0"/>
              <w:adjustRightInd w:val="0"/>
              <w:snapToGrid w:val="0"/>
              <w:jc w:val="center"/>
              <w:rPr>
                <w:rFonts w:ascii="仿宋_GB2312" w:hAnsi="宋体" w:eastAsia="仿宋_GB2312" w:cs="黑体"/>
                <w:b/>
                <w:kern w:val="0"/>
                <w:sz w:val="24"/>
                <w:szCs w:val="21"/>
              </w:rPr>
            </w:pPr>
          </w:p>
          <w:p>
            <w:pPr>
              <w:autoSpaceDE w:val="0"/>
              <w:autoSpaceDN w:val="0"/>
              <w:adjustRightInd w:val="0"/>
              <w:snapToGrid w:val="0"/>
              <w:jc w:val="center"/>
              <w:rPr>
                <w:rFonts w:ascii="仿宋_GB2312" w:hAnsi="宋体" w:eastAsia="仿宋_GB2312" w:cs="黑体"/>
                <w:b/>
                <w:kern w:val="0"/>
                <w:sz w:val="24"/>
                <w:szCs w:val="21"/>
              </w:rPr>
            </w:pPr>
            <w:r>
              <w:rPr>
                <w:rFonts w:hint="eastAsia" w:ascii="仿宋_GB2312" w:hAnsi="宋体" w:eastAsia="仿宋_GB2312" w:cs="黑体"/>
                <w:b/>
                <w:kern w:val="0"/>
                <w:sz w:val="24"/>
                <w:szCs w:val="21"/>
              </w:rPr>
              <w:t>产业发展</w:t>
            </w:r>
          </w:p>
        </w:tc>
        <w:tc>
          <w:tcPr>
            <w:tcW w:w="330" w:type="pct"/>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11</w:t>
            </w:r>
          </w:p>
        </w:tc>
        <w:tc>
          <w:tcPr>
            <w:tcW w:w="1880" w:type="pct"/>
            <w:shd w:val="clear" w:color="auto" w:fill="auto"/>
            <w:vAlign w:val="center"/>
          </w:tcPr>
          <w:p>
            <w:pPr>
              <w:autoSpaceDE w:val="0"/>
              <w:autoSpaceDN w:val="0"/>
              <w:adjustRightInd w:val="0"/>
              <w:snapToGrid w:val="0"/>
              <w:jc w:val="left"/>
              <w:rPr>
                <w:rFonts w:ascii="仿宋_GB2312" w:hAnsi="宋体" w:eastAsia="仿宋_GB2312" w:cs="黑体"/>
                <w:kern w:val="0"/>
                <w:sz w:val="24"/>
                <w:szCs w:val="21"/>
              </w:rPr>
            </w:pPr>
            <w:r>
              <w:rPr>
                <w:rFonts w:hint="eastAsia" w:ascii="仿宋_GB2312" w:hAnsi="宋体" w:eastAsia="仿宋_GB2312" w:cs="黑体"/>
                <w:kern w:val="0"/>
                <w:sz w:val="24"/>
                <w:szCs w:val="21"/>
              </w:rPr>
              <w:t>新兴产业增加值占</w:t>
            </w:r>
            <w:r>
              <w:rPr>
                <w:rFonts w:ascii="仿宋_GB2312" w:hAnsi="宋体" w:eastAsia="仿宋_GB2312" w:cs="黑体"/>
                <w:kern w:val="0"/>
                <w:sz w:val="24"/>
                <w:szCs w:val="21"/>
              </w:rPr>
              <w:t>GDP比重</w:t>
            </w:r>
          </w:p>
        </w:tc>
        <w:tc>
          <w:tcPr>
            <w:tcW w:w="427" w:type="pct"/>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w:t>
            </w:r>
          </w:p>
        </w:tc>
        <w:tc>
          <w:tcPr>
            <w:tcW w:w="513"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34.1</w:t>
            </w:r>
          </w:p>
        </w:tc>
        <w:tc>
          <w:tcPr>
            <w:tcW w:w="513"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38.2</w:t>
            </w:r>
          </w:p>
        </w:tc>
        <w:tc>
          <w:tcPr>
            <w:tcW w:w="494"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41.5</w:t>
            </w:r>
          </w:p>
        </w:tc>
        <w:tc>
          <w:tcPr>
            <w:tcW w:w="493"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350" w:type="pct"/>
            <w:vMerge w:val="continue"/>
            <w:shd w:val="clear" w:color="auto" w:fill="auto"/>
            <w:vAlign w:val="center"/>
          </w:tcPr>
          <w:p>
            <w:pPr>
              <w:autoSpaceDE w:val="0"/>
              <w:autoSpaceDN w:val="0"/>
              <w:adjustRightInd w:val="0"/>
              <w:snapToGrid w:val="0"/>
              <w:rPr>
                <w:rFonts w:ascii="仿宋_GB2312" w:hAnsi="宋体" w:eastAsia="仿宋_GB2312" w:cs="黑体"/>
                <w:kern w:val="0"/>
                <w:sz w:val="24"/>
                <w:szCs w:val="21"/>
              </w:rPr>
            </w:pPr>
          </w:p>
        </w:tc>
        <w:tc>
          <w:tcPr>
            <w:tcW w:w="330" w:type="pct"/>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12</w:t>
            </w:r>
          </w:p>
        </w:tc>
        <w:tc>
          <w:tcPr>
            <w:tcW w:w="1880" w:type="pct"/>
            <w:shd w:val="clear" w:color="auto" w:fill="auto"/>
            <w:vAlign w:val="center"/>
          </w:tcPr>
          <w:p>
            <w:pPr>
              <w:autoSpaceDE w:val="0"/>
              <w:autoSpaceDN w:val="0"/>
              <w:adjustRightInd w:val="0"/>
              <w:snapToGrid w:val="0"/>
              <w:jc w:val="left"/>
              <w:rPr>
                <w:rFonts w:ascii="仿宋_GB2312" w:hAnsi="宋体" w:eastAsia="仿宋_GB2312" w:cs="黑体"/>
                <w:kern w:val="0"/>
                <w:sz w:val="24"/>
                <w:szCs w:val="21"/>
              </w:rPr>
            </w:pPr>
            <w:r>
              <w:rPr>
                <w:rFonts w:hint="eastAsia" w:ascii="仿宋_GB2312" w:hAnsi="宋体" w:eastAsia="仿宋_GB2312" w:cs="黑体"/>
                <w:kern w:val="0"/>
                <w:sz w:val="24"/>
                <w:szCs w:val="21"/>
              </w:rPr>
              <w:t>第三产业增加值占</w:t>
            </w:r>
            <w:r>
              <w:rPr>
                <w:rFonts w:ascii="仿宋_GB2312" w:hAnsi="宋体" w:eastAsia="仿宋_GB2312" w:cs="黑体"/>
                <w:kern w:val="0"/>
                <w:sz w:val="24"/>
                <w:szCs w:val="21"/>
              </w:rPr>
              <w:t>GDP比重</w:t>
            </w:r>
          </w:p>
        </w:tc>
        <w:tc>
          <w:tcPr>
            <w:tcW w:w="427" w:type="pct"/>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w:t>
            </w:r>
          </w:p>
        </w:tc>
        <w:tc>
          <w:tcPr>
            <w:tcW w:w="513"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35.9</w:t>
            </w:r>
          </w:p>
        </w:tc>
        <w:tc>
          <w:tcPr>
            <w:tcW w:w="513"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37.8</w:t>
            </w:r>
          </w:p>
        </w:tc>
        <w:tc>
          <w:tcPr>
            <w:tcW w:w="494"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39.4</w:t>
            </w:r>
          </w:p>
        </w:tc>
        <w:tc>
          <w:tcPr>
            <w:tcW w:w="493"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350" w:type="pct"/>
            <w:vMerge w:val="continue"/>
            <w:shd w:val="clear" w:color="auto" w:fill="auto"/>
            <w:vAlign w:val="center"/>
          </w:tcPr>
          <w:p>
            <w:pPr>
              <w:autoSpaceDE w:val="0"/>
              <w:autoSpaceDN w:val="0"/>
              <w:adjustRightInd w:val="0"/>
              <w:snapToGrid w:val="0"/>
              <w:rPr>
                <w:rFonts w:ascii="仿宋_GB2312" w:hAnsi="宋体" w:eastAsia="仿宋_GB2312" w:cs="黑体"/>
                <w:kern w:val="0"/>
                <w:sz w:val="24"/>
                <w:szCs w:val="21"/>
              </w:rPr>
            </w:pPr>
          </w:p>
        </w:tc>
        <w:tc>
          <w:tcPr>
            <w:tcW w:w="330" w:type="pct"/>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13</w:t>
            </w:r>
          </w:p>
        </w:tc>
        <w:tc>
          <w:tcPr>
            <w:tcW w:w="1880" w:type="pct"/>
            <w:shd w:val="clear" w:color="auto" w:fill="auto"/>
            <w:vAlign w:val="center"/>
          </w:tcPr>
          <w:p>
            <w:pPr>
              <w:autoSpaceDE w:val="0"/>
              <w:autoSpaceDN w:val="0"/>
              <w:adjustRightInd w:val="0"/>
              <w:snapToGrid w:val="0"/>
              <w:jc w:val="left"/>
              <w:rPr>
                <w:rFonts w:ascii="仿宋_GB2312" w:hAnsi="宋体" w:eastAsia="仿宋_GB2312" w:cs="黑体"/>
                <w:kern w:val="0"/>
                <w:sz w:val="24"/>
                <w:szCs w:val="21"/>
              </w:rPr>
            </w:pPr>
            <w:r>
              <w:rPr>
                <w:rFonts w:hint="eastAsia" w:ascii="仿宋_GB2312" w:hAnsi="宋体" w:eastAsia="仿宋_GB2312" w:cs="黑体"/>
                <w:kern w:val="0"/>
                <w:sz w:val="24"/>
                <w:szCs w:val="21"/>
              </w:rPr>
              <w:t>智能产业规模</w:t>
            </w:r>
          </w:p>
        </w:tc>
        <w:tc>
          <w:tcPr>
            <w:tcW w:w="427" w:type="pct"/>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亿元</w:t>
            </w:r>
          </w:p>
        </w:tc>
        <w:tc>
          <w:tcPr>
            <w:tcW w:w="513"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718</w:t>
            </w:r>
          </w:p>
        </w:tc>
        <w:tc>
          <w:tcPr>
            <w:tcW w:w="513"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1050</w:t>
            </w:r>
          </w:p>
        </w:tc>
        <w:tc>
          <w:tcPr>
            <w:tcW w:w="494"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hint="eastAsia" w:ascii="仿宋_GB2312" w:hAnsi="宋体" w:eastAsia="仿宋_GB2312" w:cs="黑体"/>
                <w:kern w:val="0"/>
                <w:sz w:val="24"/>
                <w:szCs w:val="21"/>
              </w:rPr>
              <w:t>1</w:t>
            </w:r>
            <w:r>
              <w:rPr>
                <w:rFonts w:ascii="仿宋_GB2312" w:hAnsi="宋体" w:eastAsia="仿宋_GB2312" w:cs="黑体"/>
                <w:kern w:val="0"/>
                <w:sz w:val="24"/>
                <w:szCs w:val="21"/>
              </w:rPr>
              <w:t>400</w:t>
            </w:r>
          </w:p>
        </w:tc>
        <w:tc>
          <w:tcPr>
            <w:tcW w:w="493"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350" w:type="pct"/>
            <w:vMerge w:val="continue"/>
            <w:shd w:val="clear" w:color="auto" w:fill="auto"/>
            <w:vAlign w:val="center"/>
          </w:tcPr>
          <w:p>
            <w:pPr>
              <w:autoSpaceDE w:val="0"/>
              <w:autoSpaceDN w:val="0"/>
              <w:adjustRightInd w:val="0"/>
              <w:snapToGrid w:val="0"/>
              <w:rPr>
                <w:rFonts w:ascii="仿宋_GB2312" w:hAnsi="宋体" w:eastAsia="仿宋_GB2312" w:cs="黑体"/>
                <w:kern w:val="0"/>
                <w:sz w:val="24"/>
                <w:szCs w:val="21"/>
              </w:rPr>
            </w:pPr>
          </w:p>
        </w:tc>
        <w:tc>
          <w:tcPr>
            <w:tcW w:w="330" w:type="pct"/>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14</w:t>
            </w:r>
          </w:p>
        </w:tc>
        <w:tc>
          <w:tcPr>
            <w:tcW w:w="1880" w:type="pct"/>
            <w:shd w:val="clear" w:color="auto" w:fill="auto"/>
            <w:vAlign w:val="center"/>
          </w:tcPr>
          <w:p>
            <w:pPr>
              <w:autoSpaceDE w:val="0"/>
              <w:autoSpaceDN w:val="0"/>
              <w:adjustRightInd w:val="0"/>
              <w:snapToGrid w:val="0"/>
              <w:jc w:val="left"/>
              <w:rPr>
                <w:rFonts w:ascii="仿宋_GB2312" w:hAnsi="宋体" w:eastAsia="仿宋_GB2312" w:cs="黑体"/>
                <w:kern w:val="0"/>
                <w:sz w:val="24"/>
                <w:szCs w:val="21"/>
              </w:rPr>
            </w:pPr>
            <w:r>
              <w:rPr>
                <w:rFonts w:hint="eastAsia" w:ascii="仿宋_GB2312" w:hAnsi="宋体" w:eastAsia="仿宋_GB2312" w:cs="黑体"/>
                <w:kern w:val="0"/>
                <w:sz w:val="24"/>
                <w:szCs w:val="21"/>
              </w:rPr>
              <w:t>新材料产业</w:t>
            </w:r>
            <w:r>
              <w:rPr>
                <w:rFonts w:ascii="仿宋_GB2312" w:hAnsi="宋体" w:eastAsia="仿宋_GB2312" w:cs="黑体"/>
                <w:kern w:val="0"/>
                <w:sz w:val="24"/>
                <w:szCs w:val="21"/>
              </w:rPr>
              <w:t>规模</w:t>
            </w:r>
          </w:p>
        </w:tc>
        <w:tc>
          <w:tcPr>
            <w:tcW w:w="427" w:type="pct"/>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亿元</w:t>
            </w:r>
          </w:p>
        </w:tc>
        <w:tc>
          <w:tcPr>
            <w:tcW w:w="513"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314</w:t>
            </w:r>
          </w:p>
        </w:tc>
        <w:tc>
          <w:tcPr>
            <w:tcW w:w="513"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530</w:t>
            </w:r>
          </w:p>
        </w:tc>
        <w:tc>
          <w:tcPr>
            <w:tcW w:w="494"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800</w:t>
            </w:r>
          </w:p>
        </w:tc>
        <w:tc>
          <w:tcPr>
            <w:tcW w:w="493"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350" w:type="pct"/>
            <w:vMerge w:val="continue"/>
            <w:shd w:val="clear" w:color="auto" w:fill="auto"/>
            <w:vAlign w:val="center"/>
          </w:tcPr>
          <w:p>
            <w:pPr>
              <w:autoSpaceDE w:val="0"/>
              <w:autoSpaceDN w:val="0"/>
              <w:adjustRightInd w:val="0"/>
              <w:snapToGrid w:val="0"/>
              <w:rPr>
                <w:rFonts w:ascii="仿宋_GB2312" w:hAnsi="宋体" w:eastAsia="仿宋_GB2312" w:cs="黑体"/>
                <w:kern w:val="0"/>
                <w:sz w:val="24"/>
                <w:szCs w:val="21"/>
              </w:rPr>
            </w:pPr>
          </w:p>
        </w:tc>
        <w:tc>
          <w:tcPr>
            <w:tcW w:w="330" w:type="pct"/>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15</w:t>
            </w:r>
          </w:p>
        </w:tc>
        <w:tc>
          <w:tcPr>
            <w:tcW w:w="1880" w:type="pct"/>
            <w:shd w:val="clear" w:color="auto" w:fill="auto"/>
            <w:vAlign w:val="center"/>
          </w:tcPr>
          <w:p>
            <w:pPr>
              <w:autoSpaceDE w:val="0"/>
              <w:autoSpaceDN w:val="0"/>
              <w:adjustRightInd w:val="0"/>
              <w:snapToGrid w:val="0"/>
              <w:jc w:val="left"/>
              <w:rPr>
                <w:rFonts w:ascii="仿宋_GB2312" w:hAnsi="宋体" w:eastAsia="仿宋_GB2312" w:cs="黑体"/>
                <w:kern w:val="0"/>
                <w:sz w:val="24"/>
                <w:szCs w:val="21"/>
              </w:rPr>
            </w:pPr>
            <w:r>
              <w:rPr>
                <w:rFonts w:ascii="仿宋_GB2312" w:hAnsi="宋体" w:eastAsia="仿宋_GB2312" w:cs="黑体"/>
                <w:kern w:val="0"/>
                <w:sz w:val="24"/>
                <w:szCs w:val="21"/>
              </w:rPr>
              <w:t>生命科学产业规模</w:t>
            </w:r>
          </w:p>
        </w:tc>
        <w:tc>
          <w:tcPr>
            <w:tcW w:w="427" w:type="pct"/>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亿元</w:t>
            </w:r>
          </w:p>
        </w:tc>
        <w:tc>
          <w:tcPr>
            <w:tcW w:w="513"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10.6</w:t>
            </w:r>
          </w:p>
        </w:tc>
        <w:tc>
          <w:tcPr>
            <w:tcW w:w="513"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200</w:t>
            </w:r>
          </w:p>
        </w:tc>
        <w:tc>
          <w:tcPr>
            <w:tcW w:w="494"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450</w:t>
            </w:r>
          </w:p>
        </w:tc>
        <w:tc>
          <w:tcPr>
            <w:tcW w:w="493"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hint="eastAsia" w:ascii="仿宋_GB2312" w:hAnsi="宋体" w:eastAsia="仿宋_GB2312" w:cs="黑体"/>
                <w:kern w:val="0"/>
                <w:sz w:val="24"/>
                <w:szCs w:val="21"/>
              </w:rPr>
              <w:t>1</w:t>
            </w:r>
            <w:r>
              <w:rPr>
                <w:rFonts w:ascii="仿宋_GB2312" w:hAnsi="宋体" w:eastAsia="仿宋_GB2312" w:cs="黑体"/>
                <w:kern w:val="0"/>
                <w:sz w:val="24"/>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350" w:type="pct"/>
            <w:vMerge w:val="continue"/>
            <w:shd w:val="clear" w:color="auto" w:fill="auto"/>
            <w:vAlign w:val="center"/>
          </w:tcPr>
          <w:p>
            <w:pPr>
              <w:autoSpaceDE w:val="0"/>
              <w:autoSpaceDN w:val="0"/>
              <w:adjustRightInd w:val="0"/>
              <w:snapToGrid w:val="0"/>
              <w:rPr>
                <w:rFonts w:ascii="仿宋_GB2312" w:hAnsi="宋体" w:eastAsia="仿宋_GB2312" w:cs="黑体"/>
                <w:kern w:val="0"/>
                <w:sz w:val="24"/>
                <w:szCs w:val="21"/>
              </w:rPr>
            </w:pPr>
          </w:p>
        </w:tc>
        <w:tc>
          <w:tcPr>
            <w:tcW w:w="330" w:type="pct"/>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16</w:t>
            </w:r>
          </w:p>
        </w:tc>
        <w:tc>
          <w:tcPr>
            <w:tcW w:w="1880" w:type="pct"/>
            <w:shd w:val="clear" w:color="auto" w:fill="auto"/>
            <w:vAlign w:val="center"/>
          </w:tcPr>
          <w:p>
            <w:pPr>
              <w:autoSpaceDE w:val="0"/>
              <w:autoSpaceDN w:val="0"/>
              <w:adjustRightInd w:val="0"/>
              <w:snapToGrid w:val="0"/>
              <w:jc w:val="left"/>
              <w:rPr>
                <w:rFonts w:ascii="仿宋_GB2312" w:hAnsi="宋体" w:eastAsia="仿宋_GB2312" w:cs="黑体"/>
                <w:kern w:val="0"/>
                <w:sz w:val="24"/>
                <w:szCs w:val="21"/>
              </w:rPr>
            </w:pPr>
            <w:r>
              <w:rPr>
                <w:rFonts w:hint="eastAsia" w:ascii="仿宋_GB2312" w:hAnsi="宋体" w:eastAsia="仿宋_GB2312" w:cs="黑体"/>
                <w:kern w:val="0"/>
                <w:sz w:val="24"/>
                <w:szCs w:val="21"/>
              </w:rPr>
              <w:t>科技服务业占服务业比重</w:t>
            </w:r>
          </w:p>
        </w:tc>
        <w:tc>
          <w:tcPr>
            <w:tcW w:w="427" w:type="pct"/>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w:t>
            </w:r>
          </w:p>
        </w:tc>
        <w:tc>
          <w:tcPr>
            <w:tcW w:w="513"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4.35</w:t>
            </w:r>
          </w:p>
        </w:tc>
        <w:tc>
          <w:tcPr>
            <w:tcW w:w="513"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7.7</w:t>
            </w:r>
          </w:p>
        </w:tc>
        <w:tc>
          <w:tcPr>
            <w:tcW w:w="494"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11.9</w:t>
            </w:r>
          </w:p>
        </w:tc>
        <w:tc>
          <w:tcPr>
            <w:tcW w:w="493"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350" w:type="pct"/>
            <w:vMerge w:val="continue"/>
            <w:shd w:val="clear" w:color="auto" w:fill="auto"/>
            <w:vAlign w:val="center"/>
          </w:tcPr>
          <w:p>
            <w:pPr>
              <w:autoSpaceDE w:val="0"/>
              <w:autoSpaceDN w:val="0"/>
              <w:adjustRightInd w:val="0"/>
              <w:snapToGrid w:val="0"/>
              <w:rPr>
                <w:rFonts w:ascii="仿宋_GB2312" w:hAnsi="宋体" w:eastAsia="仿宋_GB2312" w:cs="黑体"/>
                <w:kern w:val="0"/>
                <w:sz w:val="24"/>
                <w:szCs w:val="21"/>
              </w:rPr>
            </w:pPr>
          </w:p>
        </w:tc>
        <w:tc>
          <w:tcPr>
            <w:tcW w:w="330" w:type="pct"/>
            <w:vAlign w:val="center"/>
          </w:tcPr>
          <w:p>
            <w:pPr>
              <w:autoSpaceDE w:val="0"/>
              <w:autoSpaceDN w:val="0"/>
              <w:adjustRightInd w:val="0"/>
              <w:snapToGrid w:val="0"/>
              <w:jc w:val="center"/>
              <w:rPr>
                <w:rFonts w:ascii="仿宋_GB2312" w:hAnsi="宋体" w:eastAsia="仿宋_GB2312" w:cs="黑体"/>
                <w:kern w:val="0"/>
                <w:sz w:val="24"/>
                <w:szCs w:val="21"/>
              </w:rPr>
            </w:pPr>
            <w:r>
              <w:rPr>
                <w:rFonts w:hint="eastAsia" w:ascii="仿宋_GB2312" w:hAnsi="宋体" w:eastAsia="仿宋_GB2312" w:cs="黑体"/>
                <w:kern w:val="0"/>
                <w:sz w:val="24"/>
                <w:szCs w:val="21"/>
              </w:rPr>
              <w:t>1</w:t>
            </w:r>
            <w:r>
              <w:rPr>
                <w:rFonts w:ascii="仿宋_GB2312" w:hAnsi="宋体" w:eastAsia="仿宋_GB2312" w:cs="黑体"/>
                <w:kern w:val="0"/>
                <w:sz w:val="24"/>
                <w:szCs w:val="21"/>
              </w:rPr>
              <w:t>7</w:t>
            </w:r>
          </w:p>
        </w:tc>
        <w:tc>
          <w:tcPr>
            <w:tcW w:w="1880" w:type="pct"/>
            <w:shd w:val="clear" w:color="auto" w:fill="auto"/>
            <w:vAlign w:val="center"/>
          </w:tcPr>
          <w:p>
            <w:pPr>
              <w:autoSpaceDE w:val="0"/>
              <w:autoSpaceDN w:val="0"/>
              <w:adjustRightInd w:val="0"/>
              <w:snapToGrid w:val="0"/>
              <w:jc w:val="left"/>
              <w:rPr>
                <w:rFonts w:ascii="仿宋_GB2312" w:hAnsi="宋体" w:eastAsia="仿宋_GB2312" w:cs="黑体"/>
                <w:kern w:val="0"/>
                <w:sz w:val="24"/>
                <w:szCs w:val="21"/>
              </w:rPr>
            </w:pPr>
            <w:r>
              <w:rPr>
                <w:rFonts w:hint="eastAsia" w:ascii="仿宋_GB2312" w:hAnsi="宋体" w:eastAsia="仿宋_GB2312" w:cs="黑体"/>
                <w:kern w:val="0"/>
                <w:sz w:val="24"/>
                <w:szCs w:val="21"/>
              </w:rPr>
              <w:t>高新技术企业数</w:t>
            </w:r>
          </w:p>
        </w:tc>
        <w:tc>
          <w:tcPr>
            <w:tcW w:w="427" w:type="pct"/>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hint="eastAsia" w:ascii="仿宋_GB2312" w:hAnsi="宋体" w:eastAsia="仿宋_GB2312" w:cs="黑体"/>
                <w:kern w:val="0"/>
                <w:sz w:val="24"/>
                <w:szCs w:val="21"/>
              </w:rPr>
              <w:t>个</w:t>
            </w:r>
          </w:p>
        </w:tc>
        <w:tc>
          <w:tcPr>
            <w:tcW w:w="513" w:type="pct"/>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987</w:t>
            </w:r>
          </w:p>
        </w:tc>
        <w:tc>
          <w:tcPr>
            <w:tcW w:w="513" w:type="pct"/>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1280</w:t>
            </w:r>
          </w:p>
        </w:tc>
        <w:tc>
          <w:tcPr>
            <w:tcW w:w="494" w:type="pct"/>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1560</w:t>
            </w:r>
          </w:p>
        </w:tc>
        <w:tc>
          <w:tcPr>
            <w:tcW w:w="493" w:type="pct"/>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350" w:type="pct"/>
            <w:vMerge w:val="continue"/>
            <w:shd w:val="clear" w:color="auto" w:fill="auto"/>
            <w:vAlign w:val="center"/>
          </w:tcPr>
          <w:p>
            <w:pPr>
              <w:autoSpaceDE w:val="0"/>
              <w:autoSpaceDN w:val="0"/>
              <w:adjustRightInd w:val="0"/>
              <w:snapToGrid w:val="0"/>
              <w:rPr>
                <w:rFonts w:ascii="仿宋_GB2312" w:hAnsi="宋体" w:eastAsia="仿宋_GB2312" w:cs="黑体"/>
                <w:kern w:val="0"/>
                <w:sz w:val="24"/>
                <w:szCs w:val="21"/>
              </w:rPr>
            </w:pPr>
          </w:p>
        </w:tc>
        <w:tc>
          <w:tcPr>
            <w:tcW w:w="330" w:type="pct"/>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18</w:t>
            </w:r>
          </w:p>
        </w:tc>
        <w:tc>
          <w:tcPr>
            <w:tcW w:w="1880" w:type="pct"/>
            <w:shd w:val="clear" w:color="auto" w:fill="auto"/>
            <w:vAlign w:val="center"/>
          </w:tcPr>
          <w:p>
            <w:pPr>
              <w:autoSpaceDE w:val="0"/>
              <w:autoSpaceDN w:val="0"/>
              <w:adjustRightInd w:val="0"/>
              <w:snapToGrid w:val="0"/>
              <w:jc w:val="left"/>
              <w:rPr>
                <w:rFonts w:ascii="仿宋_GB2312" w:hAnsi="宋体" w:eastAsia="仿宋_GB2312" w:cs="黑体"/>
                <w:kern w:val="0"/>
                <w:sz w:val="24"/>
                <w:szCs w:val="21"/>
              </w:rPr>
            </w:pPr>
            <w:r>
              <w:rPr>
                <w:rFonts w:hint="eastAsia" w:ascii="仿宋_GB2312" w:hAnsi="宋体" w:eastAsia="仿宋_GB2312" w:cs="黑体"/>
                <w:kern w:val="0"/>
                <w:sz w:val="24"/>
                <w:szCs w:val="21"/>
              </w:rPr>
              <w:t>万元</w:t>
            </w:r>
            <w:r>
              <w:rPr>
                <w:rFonts w:ascii="仿宋_GB2312" w:hAnsi="宋体" w:eastAsia="仿宋_GB2312" w:cs="黑体"/>
                <w:kern w:val="0"/>
                <w:sz w:val="24"/>
                <w:szCs w:val="21"/>
              </w:rPr>
              <w:t>GDP建设用地</w:t>
            </w:r>
          </w:p>
        </w:tc>
        <w:tc>
          <w:tcPr>
            <w:tcW w:w="427" w:type="pct"/>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hint="eastAsia" w:ascii="仿宋_GB2312" w:hAnsi="宋体" w:eastAsia="仿宋_GB2312" w:cs="黑体"/>
                <w:kern w:val="0"/>
                <w:sz w:val="24"/>
                <w:szCs w:val="21"/>
              </w:rPr>
              <w:t>平方米</w:t>
            </w:r>
          </w:p>
        </w:tc>
        <w:tc>
          <w:tcPr>
            <w:tcW w:w="513"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6.62</w:t>
            </w:r>
          </w:p>
        </w:tc>
        <w:tc>
          <w:tcPr>
            <w:tcW w:w="513"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4.98</w:t>
            </w:r>
          </w:p>
        </w:tc>
        <w:tc>
          <w:tcPr>
            <w:tcW w:w="494"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4.02</w:t>
            </w:r>
          </w:p>
        </w:tc>
        <w:tc>
          <w:tcPr>
            <w:tcW w:w="493" w:type="pct"/>
            <w:tcBorders>
              <w:bottom w:val="single" w:color="auto" w:sz="4" w:space="0"/>
            </w:tcBorders>
            <w:shd w:val="clear" w:color="auto" w:fill="auto"/>
            <w:vAlign w:val="center"/>
          </w:tcPr>
          <w:p>
            <w:pPr>
              <w:autoSpaceDE w:val="0"/>
              <w:autoSpaceDN w:val="0"/>
              <w:adjustRightInd w:val="0"/>
              <w:snapToGrid w:val="0"/>
              <w:jc w:val="center"/>
              <w:rPr>
                <w:rFonts w:ascii="仿宋_GB2312" w:hAnsi="宋体" w:eastAsia="仿宋_GB2312" w:cs="黑体"/>
                <w:kern w:val="0"/>
                <w:sz w:val="24"/>
                <w:szCs w:val="21"/>
              </w:rPr>
            </w:pPr>
            <w:r>
              <w:rPr>
                <w:rFonts w:ascii="仿宋_GB2312" w:hAnsi="宋体" w:eastAsia="仿宋_GB2312" w:cs="黑体"/>
                <w:kern w:val="0"/>
                <w:sz w:val="24"/>
                <w:szCs w:val="21"/>
              </w:rPr>
              <w:t>1.97</w:t>
            </w:r>
          </w:p>
        </w:tc>
      </w:tr>
    </w:tbl>
    <w:p>
      <w:pPr>
        <w:pStyle w:val="2"/>
        <w:spacing w:line="560" w:lineRule="exact"/>
        <w:ind w:firstLine="640"/>
      </w:pPr>
      <w:bookmarkStart w:id="31" w:name="_Toc3583584"/>
      <w:bookmarkStart w:id="32" w:name="_Toc535441315"/>
      <w:r>
        <w:rPr>
          <w:rFonts w:hint="eastAsia"/>
        </w:rPr>
        <w:t>三、打造具有国际竞争力的新兴产业集群</w:t>
      </w:r>
      <w:bookmarkEnd w:id="31"/>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立足光明的产业基础和优势，聚焦战略前沿领域，结合大科学装置建设和运行过程中关联产业和核心技术，坚持“优势优先、新兴培育、提质增效”的产业发展原则，构建以智能产业、新材料产业、生命科学产业为主导，以特色服务业为支撑的“3+1”现代产业体系。</w:t>
      </w:r>
    </w:p>
    <w:p>
      <w:pPr>
        <w:spacing w:line="560" w:lineRule="exact"/>
        <w:ind w:firstLine="642" w:firstLineChars="200"/>
        <w:outlineLvl w:val="1"/>
        <w:rPr>
          <w:rFonts w:ascii="楷体" w:hAnsi="楷体" w:eastAsia="楷体" w:cs="黑体"/>
          <w:b/>
          <w:bCs/>
          <w:sz w:val="32"/>
          <w:szCs w:val="30"/>
          <w:vertAlign w:val="superscript"/>
        </w:rPr>
      </w:pPr>
      <w:bookmarkStart w:id="33" w:name="_Toc3583585"/>
      <w:r>
        <w:rPr>
          <w:rFonts w:hint="eastAsia" w:ascii="楷体" w:hAnsi="楷体" w:eastAsia="楷体" w:cs="黑体"/>
          <w:b/>
          <w:bCs/>
          <w:sz w:val="32"/>
          <w:szCs w:val="30"/>
        </w:rPr>
        <w:t>（一）智能产业</w:t>
      </w:r>
      <w:r>
        <w:rPr>
          <w:rStyle w:val="24"/>
          <w:rFonts w:ascii="仿宋_GB2312" w:hAnsi="仿宋" w:eastAsia="仿宋_GB2312"/>
          <w:b/>
          <w:sz w:val="32"/>
          <w:szCs w:val="32"/>
        </w:rPr>
        <w:footnoteReference w:id="0"/>
      </w:r>
      <w:bookmarkEnd w:id="33"/>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聚焦下一代信息技术产业发展前沿，按照立足当前、注重长远的原则，以人工智能为头部引领，以新型显示为支柱，布局下一代移动通信和柔性电子，瞄向智能产业前沿技术领域，建设成为国际知名的智能产业发展高地</w:t>
      </w:r>
      <w:r>
        <w:rPr>
          <w:rFonts w:ascii="仿宋_GB2312" w:hAnsi="仿宋" w:eastAsia="仿宋_GB2312"/>
          <w:sz w:val="32"/>
          <w:szCs w:val="32"/>
        </w:rPr>
        <w:t>。</w:t>
      </w:r>
    </w:p>
    <w:p>
      <w:pPr>
        <w:pStyle w:val="30"/>
        <w:numPr>
          <w:ilvl w:val="0"/>
          <w:numId w:val="1"/>
        </w:numPr>
        <w:spacing w:line="560" w:lineRule="exact"/>
        <w:ind w:firstLineChars="0"/>
        <w:outlineLvl w:val="2"/>
        <w:rPr>
          <w:rFonts w:ascii="仿宋_GB2312" w:hAnsi="仿宋" w:eastAsia="仿宋_GB2312"/>
          <w:b/>
          <w:sz w:val="32"/>
          <w:szCs w:val="32"/>
        </w:rPr>
      </w:pPr>
      <w:bookmarkStart w:id="34" w:name="_Toc3583586"/>
      <w:r>
        <w:rPr>
          <w:rFonts w:hint="eastAsia" w:ascii="仿宋_GB2312" w:hAnsi="仿宋" w:eastAsia="仿宋_GB2312"/>
          <w:b/>
          <w:sz w:val="32"/>
          <w:szCs w:val="32"/>
        </w:rPr>
        <w:t>人工智能</w:t>
      </w:r>
      <w:bookmarkEnd w:id="34"/>
    </w:p>
    <w:p>
      <w:pPr>
        <w:spacing w:line="560" w:lineRule="exact"/>
        <w:ind w:firstLine="642" w:firstLineChars="200"/>
        <w:rPr>
          <w:rFonts w:ascii="仿宋_GB2312" w:hAnsi="宋体" w:eastAsia="仿宋_GB2312" w:cs="黑体"/>
          <w:bCs/>
          <w:sz w:val="32"/>
          <w:szCs w:val="30"/>
        </w:rPr>
      </w:pPr>
      <w:r>
        <w:rPr>
          <w:rFonts w:hint="eastAsia" w:ascii="仿宋_GB2312" w:hAnsi="宋体" w:eastAsia="仿宋_GB2312" w:cs="黑体"/>
          <w:b/>
          <w:bCs/>
          <w:sz w:val="32"/>
          <w:szCs w:val="30"/>
        </w:rPr>
        <w:t>智能软硬件。</w:t>
      </w:r>
      <w:r>
        <w:rPr>
          <w:rFonts w:hint="eastAsia" w:ascii="仿宋_GB2312" w:hAnsi="宋体" w:eastAsia="仿宋_GB2312" w:cs="黑体"/>
          <w:bCs/>
          <w:sz w:val="32"/>
          <w:szCs w:val="30"/>
        </w:rPr>
        <w:t>攻关智能芯片关键技术，发展面向细分领域的神经网络芯片和类脑芯片等智能芯片；研制工业级传感器和3</w:t>
      </w:r>
      <w:r>
        <w:rPr>
          <w:rFonts w:ascii="仿宋_GB2312" w:hAnsi="宋体" w:eastAsia="仿宋_GB2312" w:cs="黑体"/>
          <w:bCs/>
          <w:sz w:val="32"/>
          <w:szCs w:val="30"/>
        </w:rPr>
        <w:t>D</w:t>
      </w:r>
      <w:r>
        <w:rPr>
          <w:rFonts w:hint="eastAsia" w:ascii="仿宋_GB2312" w:hAnsi="宋体" w:eastAsia="仿宋_GB2312" w:cs="黑体"/>
          <w:bCs/>
          <w:sz w:val="32"/>
          <w:szCs w:val="30"/>
        </w:rPr>
        <w:t>图像和视频识别、智能语音识别、激光雷达等消费电子类传感器；支持开发视频图像识别系统、智能语音交互系统和智能翻译系统。</w:t>
      </w:r>
    </w:p>
    <w:p>
      <w:pPr>
        <w:spacing w:line="560" w:lineRule="exact"/>
        <w:ind w:firstLine="642" w:firstLineChars="200"/>
        <w:rPr>
          <w:rFonts w:ascii="仿宋_GB2312" w:hAnsi="仿宋" w:eastAsia="仿宋_GB2312"/>
          <w:sz w:val="32"/>
          <w:szCs w:val="32"/>
        </w:rPr>
      </w:pPr>
      <w:r>
        <w:rPr>
          <w:rFonts w:hint="eastAsia" w:ascii="仿宋_GB2312" w:hAnsi="仿宋" w:eastAsia="仿宋_GB2312"/>
          <w:b/>
          <w:sz w:val="32"/>
          <w:szCs w:val="32"/>
        </w:rPr>
        <w:t>智能无人机。</w:t>
      </w:r>
      <w:r>
        <w:rPr>
          <w:rFonts w:hint="eastAsia" w:ascii="仿宋_GB2312" w:hAnsi="仿宋" w:eastAsia="仿宋_GB2312"/>
          <w:sz w:val="32"/>
          <w:szCs w:val="32"/>
        </w:rPr>
        <w:t>突破智能无人机环境深度感知技术、手势检测识别技术、多传感器融合技术、视觉蔽障、集群智能技术等关键共性技术，</w:t>
      </w:r>
      <w:r>
        <w:rPr>
          <w:rFonts w:ascii="仿宋_GB2312" w:hAnsi="仿宋" w:eastAsia="仿宋_GB2312"/>
          <w:sz w:val="32"/>
          <w:szCs w:val="32"/>
        </w:rPr>
        <w:t>支持智能无人机在现代物流、智能交通、</w:t>
      </w:r>
      <w:r>
        <w:rPr>
          <w:rFonts w:hint="eastAsia" w:ascii="仿宋_GB2312" w:hAnsi="仿宋" w:eastAsia="仿宋_GB2312"/>
          <w:sz w:val="32"/>
          <w:szCs w:val="32"/>
        </w:rPr>
        <w:t>违建抓拍等领域的应用。</w:t>
      </w:r>
    </w:p>
    <w:p>
      <w:pPr>
        <w:spacing w:line="560" w:lineRule="exact"/>
        <w:ind w:firstLine="642" w:firstLineChars="200"/>
        <w:rPr>
          <w:rFonts w:ascii="仿宋_GB2312" w:hAnsi="仿宋" w:eastAsia="仿宋_GB2312" w:cs="Calibri"/>
          <w:sz w:val="32"/>
          <w:szCs w:val="32"/>
        </w:rPr>
      </w:pPr>
      <w:r>
        <w:rPr>
          <w:rFonts w:hint="eastAsia" w:ascii="仿宋_GB2312" w:hAnsi="仿宋" w:eastAsia="仿宋_GB2312"/>
          <w:b/>
          <w:sz w:val="32"/>
          <w:szCs w:val="32"/>
        </w:rPr>
        <w:t>智能机器人。</w:t>
      </w:r>
      <w:r>
        <w:rPr>
          <w:rFonts w:hint="eastAsia" w:ascii="仿宋_GB2312" w:hAnsi="仿宋" w:eastAsia="仿宋_GB2312" w:cs="Calibri"/>
          <w:sz w:val="32"/>
          <w:szCs w:val="32"/>
        </w:rPr>
        <w:t>重点支持智能机器人感知、认知、执行等算法的研发，突破</w:t>
      </w:r>
      <w:r>
        <w:rPr>
          <w:rFonts w:ascii="仿宋_GB2312" w:hAnsi="仿宋" w:eastAsia="仿宋_GB2312" w:cs="Calibri"/>
          <w:sz w:val="32"/>
          <w:szCs w:val="32"/>
        </w:rPr>
        <w:t>三维成像定位、智能精准安全操控、人机协作接口等关键</w:t>
      </w:r>
      <w:r>
        <w:rPr>
          <w:rFonts w:hint="eastAsia" w:ascii="仿宋_GB2312" w:hAnsi="仿宋" w:eastAsia="仿宋_GB2312" w:cs="Calibri"/>
          <w:sz w:val="32"/>
          <w:szCs w:val="32"/>
        </w:rPr>
        <w:t>共性</w:t>
      </w:r>
      <w:r>
        <w:rPr>
          <w:rFonts w:ascii="仿宋_GB2312" w:hAnsi="仿宋" w:eastAsia="仿宋_GB2312" w:cs="Calibri"/>
          <w:sz w:val="32"/>
          <w:szCs w:val="32"/>
        </w:rPr>
        <w:t>技术，</w:t>
      </w:r>
      <w:r>
        <w:rPr>
          <w:rFonts w:hint="eastAsia" w:ascii="仿宋_GB2312" w:hAnsi="仿宋" w:eastAsia="仿宋_GB2312" w:cs="Calibri"/>
          <w:sz w:val="32"/>
          <w:szCs w:val="32"/>
        </w:rPr>
        <w:t>攻关减速器、驱动器和控制器等三大核心零部件，发展工业机器人和服务机器人。</w:t>
      </w:r>
    </w:p>
    <w:p>
      <w:pPr>
        <w:spacing w:line="560" w:lineRule="exact"/>
        <w:ind w:firstLine="642" w:firstLineChars="200"/>
        <w:rPr>
          <w:rFonts w:ascii="仿宋_GB2312" w:hAnsi="宋体" w:eastAsia="仿宋_GB2312" w:cs="黑体"/>
          <w:bCs/>
          <w:sz w:val="32"/>
          <w:szCs w:val="30"/>
        </w:rPr>
      </w:pPr>
      <w:r>
        <w:rPr>
          <w:rFonts w:hint="eastAsia" w:ascii="仿宋_GB2312" w:hAnsi="宋体" w:eastAsia="仿宋_GB2312" w:cs="黑体"/>
          <w:b/>
          <w:bCs/>
          <w:sz w:val="32"/>
          <w:szCs w:val="30"/>
        </w:rPr>
        <w:t>智能产品及应用。</w:t>
      </w:r>
      <w:r>
        <w:rPr>
          <w:rFonts w:hint="eastAsia" w:ascii="仿宋_GB2312" w:hAnsi="宋体" w:eastAsia="仿宋_GB2312" w:cs="黑体"/>
          <w:bCs/>
          <w:sz w:val="32"/>
          <w:szCs w:val="30"/>
        </w:rPr>
        <w:t>支持发展智能驾驶、智能家居、智能环保</w:t>
      </w:r>
      <w:r>
        <w:rPr>
          <w:rFonts w:ascii="仿宋_GB2312" w:hAnsi="宋体" w:eastAsia="仿宋_GB2312" w:cs="黑体"/>
          <w:bCs/>
          <w:sz w:val="32"/>
          <w:szCs w:val="30"/>
        </w:rPr>
        <w:t>装备、</w:t>
      </w:r>
      <w:r>
        <w:rPr>
          <w:rFonts w:hint="eastAsia" w:ascii="仿宋_GB2312" w:hAnsi="宋体" w:eastAsia="仿宋_GB2312" w:cs="黑体"/>
          <w:bCs/>
          <w:sz w:val="32"/>
          <w:szCs w:val="30"/>
        </w:rPr>
        <w:t>智能终端、可穿戴设备、A</w:t>
      </w:r>
      <w:r>
        <w:rPr>
          <w:rFonts w:ascii="仿宋_GB2312" w:hAnsi="宋体" w:eastAsia="仿宋_GB2312" w:cs="黑体"/>
          <w:bCs/>
          <w:sz w:val="32"/>
          <w:szCs w:val="30"/>
        </w:rPr>
        <w:t>R/VR</w:t>
      </w:r>
      <w:r>
        <w:rPr>
          <w:rFonts w:hint="eastAsia" w:ascii="仿宋_GB2312" w:hAnsi="宋体" w:eastAsia="仿宋_GB2312" w:cs="黑体"/>
          <w:bCs/>
          <w:sz w:val="32"/>
          <w:szCs w:val="30"/>
        </w:rPr>
        <w:t>等人工智能新兴产业和智能医疗、智能安防、智能金融、智能商务、智能零售等人工智能应用产业。支持钟表、模具等优势</w:t>
      </w:r>
      <w:r>
        <w:rPr>
          <w:rFonts w:ascii="仿宋_GB2312" w:hAnsi="宋体" w:eastAsia="仿宋_GB2312" w:cs="黑体"/>
          <w:bCs/>
          <w:sz w:val="32"/>
          <w:szCs w:val="30"/>
        </w:rPr>
        <w:t>传统产业</w:t>
      </w:r>
      <w:r>
        <w:rPr>
          <w:rFonts w:hint="eastAsia" w:ascii="仿宋_GB2312" w:hAnsi="宋体" w:eastAsia="仿宋_GB2312" w:cs="黑体"/>
          <w:bCs/>
          <w:sz w:val="32"/>
          <w:szCs w:val="30"/>
        </w:rPr>
        <w:t>智能化升级。</w:t>
      </w:r>
    </w:p>
    <w:p>
      <w:pPr>
        <w:pStyle w:val="30"/>
        <w:numPr>
          <w:ilvl w:val="0"/>
          <w:numId w:val="1"/>
        </w:numPr>
        <w:spacing w:line="560" w:lineRule="exact"/>
        <w:ind w:firstLineChars="0"/>
        <w:outlineLvl w:val="2"/>
        <w:rPr>
          <w:rFonts w:ascii="仿宋_GB2312" w:hAnsi="Arial" w:eastAsia="仿宋_GB2312" w:cs="Arial"/>
          <w:kern w:val="0"/>
          <w:sz w:val="32"/>
          <w:szCs w:val="32"/>
        </w:rPr>
      </w:pPr>
      <w:bookmarkStart w:id="35" w:name="_Toc3583587"/>
      <w:r>
        <w:rPr>
          <w:rFonts w:hint="eastAsia" w:ascii="仿宋_GB2312" w:hAnsi="宋体" w:eastAsia="仿宋_GB2312" w:cs="黑体"/>
          <w:b/>
          <w:bCs/>
          <w:sz w:val="32"/>
          <w:szCs w:val="30"/>
        </w:rPr>
        <w:t>下一代移动通信</w:t>
      </w:r>
      <w:bookmarkEnd w:id="35"/>
    </w:p>
    <w:p>
      <w:pPr>
        <w:spacing w:line="560" w:lineRule="exact"/>
        <w:ind w:firstLine="640" w:firstLineChars="200"/>
        <w:rPr>
          <w:rFonts w:ascii="仿宋_GB2312" w:hAnsi="Arial" w:eastAsia="仿宋_GB2312" w:cs="Arial"/>
          <w:kern w:val="0"/>
          <w:sz w:val="32"/>
          <w:szCs w:val="32"/>
        </w:rPr>
      </w:pPr>
      <w:r>
        <w:rPr>
          <w:rFonts w:hint="eastAsia" w:ascii="仿宋_GB2312" w:hAnsi="Arial" w:eastAsia="仿宋_GB2312" w:cs="Arial"/>
          <w:kern w:val="0"/>
          <w:sz w:val="32"/>
          <w:szCs w:val="32"/>
        </w:rPr>
        <w:t>围绕5G无线技术、网络与业务、关键设备模块及5G创新平台、5G公共服务平台等重点方向，研发大规模天线阵列、网络切片等5G关键核心技术，开发5G芯片、5G运营、5G应用服务等重点产品，重点推动基于5G的工业互联网、联网无人机、智能网联汽车和云VR/AR等行业示范应用。支持太赫兹通信技术、光网络、天地一体化信息网络、量子网络等下一代网络通信关键技术的超前研发。</w:t>
      </w:r>
    </w:p>
    <w:p>
      <w:pPr>
        <w:pStyle w:val="30"/>
        <w:numPr>
          <w:ilvl w:val="0"/>
          <w:numId w:val="1"/>
        </w:numPr>
        <w:spacing w:line="560" w:lineRule="exact"/>
        <w:ind w:firstLineChars="0"/>
        <w:outlineLvl w:val="2"/>
        <w:rPr>
          <w:rFonts w:ascii="仿宋_GB2312" w:hAnsi="Arial" w:eastAsia="仿宋_GB2312" w:cs="Arial"/>
          <w:kern w:val="0"/>
          <w:sz w:val="32"/>
          <w:szCs w:val="32"/>
        </w:rPr>
      </w:pPr>
      <w:bookmarkStart w:id="36" w:name="_Toc3583588"/>
      <w:r>
        <w:rPr>
          <w:rFonts w:hint="eastAsia" w:ascii="仿宋_GB2312" w:hAnsi="宋体" w:eastAsia="仿宋_GB2312" w:cs="黑体"/>
          <w:b/>
          <w:bCs/>
          <w:sz w:val="32"/>
          <w:szCs w:val="30"/>
        </w:rPr>
        <w:t>柔性电子</w:t>
      </w:r>
      <w:bookmarkEnd w:id="36"/>
    </w:p>
    <w:p>
      <w:pPr>
        <w:spacing w:line="560" w:lineRule="exact"/>
        <w:ind w:firstLine="640" w:firstLineChars="200"/>
        <w:rPr>
          <w:rFonts w:ascii="仿宋_GB2312" w:hAnsi="宋体" w:eastAsia="仿宋_GB2312" w:cs="黑体"/>
          <w:b/>
          <w:bCs/>
          <w:sz w:val="32"/>
          <w:szCs w:val="30"/>
        </w:rPr>
      </w:pPr>
      <w:r>
        <w:rPr>
          <w:rFonts w:hint="eastAsia" w:ascii="仿宋_GB2312" w:hAnsi="Arial" w:eastAsia="仿宋_GB2312" w:cs="Arial"/>
          <w:kern w:val="0"/>
          <w:sz w:val="32"/>
          <w:szCs w:val="32"/>
        </w:rPr>
        <w:t>支持开展柔性印刷显示、柔性</w:t>
      </w:r>
      <w:r>
        <w:rPr>
          <w:rFonts w:ascii="仿宋_GB2312" w:hAnsi="Arial" w:eastAsia="仿宋_GB2312" w:cs="Arial"/>
          <w:kern w:val="0"/>
          <w:sz w:val="32"/>
          <w:szCs w:val="32"/>
        </w:rPr>
        <w:t>材料、柔性制造、</w:t>
      </w:r>
      <w:r>
        <w:rPr>
          <w:rFonts w:hint="eastAsia" w:ascii="仿宋_GB2312" w:hAnsi="Arial" w:eastAsia="仿宋_GB2312" w:cs="Arial"/>
          <w:kern w:val="0"/>
          <w:sz w:val="32"/>
          <w:szCs w:val="32"/>
        </w:rPr>
        <w:t>柔性</w:t>
      </w:r>
      <w:r>
        <w:rPr>
          <w:rFonts w:ascii="仿宋_GB2312" w:hAnsi="Arial" w:eastAsia="仿宋_GB2312" w:cs="Arial"/>
          <w:kern w:val="0"/>
          <w:sz w:val="32"/>
          <w:szCs w:val="32"/>
        </w:rPr>
        <w:t>器件等</w:t>
      </w:r>
      <w:r>
        <w:rPr>
          <w:rFonts w:hint="eastAsia" w:ascii="仿宋_GB2312" w:hAnsi="Arial" w:eastAsia="仿宋_GB2312" w:cs="Arial"/>
          <w:kern w:val="0"/>
          <w:sz w:val="32"/>
          <w:szCs w:val="32"/>
        </w:rPr>
        <w:t>技术</w:t>
      </w:r>
      <w:r>
        <w:rPr>
          <w:rFonts w:ascii="仿宋_GB2312" w:hAnsi="Arial" w:eastAsia="仿宋_GB2312" w:cs="Arial"/>
          <w:kern w:val="0"/>
          <w:sz w:val="32"/>
          <w:szCs w:val="32"/>
        </w:rPr>
        <w:t>攻关</w:t>
      </w:r>
      <w:r>
        <w:rPr>
          <w:rFonts w:hint="eastAsia" w:ascii="仿宋_GB2312" w:hAnsi="Arial" w:eastAsia="仿宋_GB2312" w:cs="Arial"/>
          <w:kern w:val="0"/>
          <w:sz w:val="32"/>
          <w:szCs w:val="32"/>
        </w:rPr>
        <w:t>，研发具有应力、压力、运动、温度和化学传感及存储等特性的柔性原型器件，推动柔性显示、柔性连接器、电子皮肤、柔性能源等领域产业化。</w:t>
      </w:r>
    </w:p>
    <w:p>
      <w:pPr>
        <w:pStyle w:val="30"/>
        <w:numPr>
          <w:ilvl w:val="0"/>
          <w:numId w:val="1"/>
        </w:numPr>
        <w:spacing w:line="560" w:lineRule="exact"/>
        <w:ind w:firstLineChars="0"/>
        <w:outlineLvl w:val="2"/>
        <w:rPr>
          <w:rFonts w:ascii="仿宋_GB2312" w:hAnsi="Arial" w:eastAsia="仿宋_GB2312" w:cs="Arial"/>
          <w:kern w:val="0"/>
          <w:sz w:val="32"/>
          <w:szCs w:val="32"/>
        </w:rPr>
      </w:pPr>
      <w:bookmarkStart w:id="37" w:name="_Toc3583589"/>
      <w:r>
        <w:rPr>
          <w:rFonts w:hint="eastAsia" w:ascii="仿宋_GB2312" w:hAnsi="宋体" w:eastAsia="仿宋_GB2312" w:cs="黑体"/>
          <w:b/>
          <w:bCs/>
          <w:sz w:val="32"/>
          <w:szCs w:val="30"/>
        </w:rPr>
        <w:t>新型显示</w:t>
      </w:r>
      <w:bookmarkEnd w:id="37"/>
    </w:p>
    <w:p>
      <w:pPr>
        <w:spacing w:line="560" w:lineRule="exact"/>
        <w:ind w:firstLine="640" w:firstLineChars="200"/>
        <w:rPr>
          <w:rFonts w:ascii="仿宋_GB2312" w:hAnsi="仿宋" w:eastAsia="仿宋_GB2312" w:cs="Calibri"/>
          <w:sz w:val="32"/>
          <w:szCs w:val="32"/>
        </w:rPr>
      </w:pPr>
      <w:r>
        <w:rPr>
          <w:rFonts w:hint="eastAsia" w:ascii="仿宋_GB2312" w:hAnsi="仿宋" w:eastAsia="仿宋_GB2312" w:cs="Calibri"/>
          <w:sz w:val="32"/>
          <w:szCs w:val="32"/>
        </w:rPr>
        <w:t>发展T</w:t>
      </w:r>
      <w:r>
        <w:rPr>
          <w:rFonts w:ascii="仿宋_GB2312" w:hAnsi="仿宋" w:eastAsia="仿宋_GB2312" w:cs="Calibri"/>
          <w:sz w:val="32"/>
          <w:szCs w:val="32"/>
        </w:rPr>
        <w:t>FT-LCD</w:t>
      </w:r>
      <w:r>
        <w:rPr>
          <w:rFonts w:hint="eastAsia" w:ascii="仿宋_GB2312" w:hAnsi="仿宋" w:eastAsia="仿宋_GB2312" w:cs="Calibri"/>
          <w:sz w:val="32"/>
          <w:szCs w:val="32"/>
        </w:rPr>
        <w:t>、A</w:t>
      </w:r>
      <w:r>
        <w:rPr>
          <w:rFonts w:ascii="仿宋_GB2312" w:hAnsi="仿宋" w:eastAsia="仿宋_GB2312" w:cs="Calibri"/>
          <w:sz w:val="32"/>
          <w:szCs w:val="32"/>
        </w:rPr>
        <w:t>MOLED</w:t>
      </w:r>
      <w:r>
        <w:rPr>
          <w:rFonts w:hint="eastAsia" w:ascii="仿宋_GB2312" w:hAnsi="仿宋" w:eastAsia="仿宋_GB2312" w:cs="Calibri"/>
          <w:sz w:val="32"/>
          <w:szCs w:val="32"/>
        </w:rPr>
        <w:t>、</w:t>
      </w:r>
      <w:r>
        <w:rPr>
          <w:rFonts w:ascii="仿宋_GB2312" w:hAnsi="仿宋" w:eastAsia="仿宋_GB2312" w:cs="Calibri"/>
          <w:sz w:val="32"/>
          <w:szCs w:val="32"/>
        </w:rPr>
        <w:t>QLED</w:t>
      </w:r>
      <w:r>
        <w:rPr>
          <w:rFonts w:hint="eastAsia" w:ascii="仿宋_GB2312" w:hAnsi="仿宋" w:eastAsia="仿宋_GB2312" w:cs="Calibri"/>
          <w:sz w:val="32"/>
          <w:szCs w:val="32"/>
        </w:rPr>
        <w:t>、</w:t>
      </w:r>
      <w:r>
        <w:rPr>
          <w:rFonts w:ascii="仿宋_GB2312" w:hAnsi="仿宋" w:eastAsia="仿宋_GB2312" w:cs="Calibri"/>
          <w:sz w:val="32"/>
          <w:szCs w:val="32"/>
        </w:rPr>
        <w:t>Micro LED</w:t>
      </w:r>
      <w:r>
        <w:rPr>
          <w:rFonts w:hint="eastAsia" w:ascii="仿宋_GB2312" w:hAnsi="仿宋" w:eastAsia="仿宋_GB2312" w:cs="Calibri"/>
          <w:sz w:val="32"/>
          <w:szCs w:val="32"/>
        </w:rPr>
        <w:t>、立体显示、激光显示等新型显示器件。重点突破化学气相沉积设备、溅射设备、阵列曝光机、有机蒸镀设备、喷墨打印设备等上游关键设备。推进商业显示、超清视频、车载显示、V</w:t>
      </w:r>
      <w:r>
        <w:rPr>
          <w:rFonts w:ascii="仿宋_GB2312" w:hAnsi="仿宋" w:eastAsia="仿宋_GB2312" w:cs="Calibri"/>
          <w:sz w:val="32"/>
          <w:szCs w:val="32"/>
        </w:rPr>
        <w:t>R/AR</w:t>
      </w:r>
      <w:r>
        <w:rPr>
          <w:rFonts w:hint="eastAsia" w:ascii="仿宋_GB2312" w:hAnsi="仿宋" w:eastAsia="仿宋_GB2312" w:cs="Calibri"/>
          <w:sz w:val="32"/>
          <w:szCs w:val="32"/>
        </w:rPr>
        <w:t>显示等下游新兴领域的产业化应用。</w:t>
      </w:r>
    </w:p>
    <w:p>
      <w:pPr>
        <w:spacing w:line="560" w:lineRule="exact"/>
        <w:ind w:firstLine="642" w:firstLineChars="200"/>
        <w:outlineLvl w:val="2"/>
        <w:rPr>
          <w:rFonts w:ascii="仿宋_GB2312" w:hAnsi="宋体" w:eastAsia="仿宋_GB2312" w:cs="黑体"/>
          <w:b/>
          <w:bCs/>
          <w:sz w:val="32"/>
          <w:szCs w:val="30"/>
        </w:rPr>
      </w:pPr>
      <w:bookmarkStart w:id="38" w:name="_Toc3583590"/>
      <w:r>
        <w:rPr>
          <w:rFonts w:hint="eastAsia" w:ascii="仿宋_GB2312" w:hAnsi="宋体" w:eastAsia="仿宋_GB2312" w:cs="黑体"/>
          <w:b/>
          <w:bCs/>
          <w:sz w:val="32"/>
          <w:szCs w:val="30"/>
        </w:rPr>
        <w:t>5</w:t>
      </w:r>
      <w:r>
        <w:rPr>
          <w:rFonts w:ascii="仿宋_GB2312" w:hAnsi="宋体" w:eastAsia="仿宋_GB2312" w:cs="黑体"/>
          <w:b/>
          <w:bCs/>
          <w:sz w:val="32"/>
          <w:szCs w:val="30"/>
        </w:rPr>
        <w:t>.</w:t>
      </w:r>
      <w:r>
        <w:rPr>
          <w:rFonts w:hint="eastAsia" w:ascii="仿宋_GB2312" w:hAnsi="宋体" w:eastAsia="仿宋_GB2312" w:cs="黑体"/>
          <w:b/>
          <w:bCs/>
          <w:sz w:val="32"/>
          <w:szCs w:val="30"/>
        </w:rPr>
        <w:t>前沿技术</w:t>
      </w:r>
      <w:bookmarkEnd w:id="38"/>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依托光明科学城的重大科技基础设施集群，开展新型架构芯片设计、脑科学与类脑算法、石墨烯存储新原理组件、高级机器学习理论、量子通信与量子计算机、人类增强等智能产业前沿技术领域的研究。</w:t>
      </w:r>
    </w:p>
    <w:tbl>
      <w:tblPr>
        <w:tblStyle w:val="18"/>
        <w:tblW w:w="84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7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92" w:type="dxa"/>
            <w:gridSpan w:val="2"/>
          </w:tcPr>
          <w:p>
            <w:pPr>
              <w:spacing w:line="560" w:lineRule="exact"/>
              <w:jc w:val="center"/>
              <w:rPr>
                <w:rFonts w:ascii="黑体" w:hAnsi="黑体" w:eastAsia="黑体" w:cs="Times New Roman"/>
                <w:kern w:val="0"/>
                <w:sz w:val="32"/>
                <w:szCs w:val="32"/>
              </w:rPr>
            </w:pPr>
            <w:r>
              <w:rPr>
                <w:rFonts w:ascii="黑体" w:hAnsi="黑体" w:eastAsia="黑体" w:cs="Times New Roman"/>
                <w:kern w:val="0"/>
                <w:sz w:val="28"/>
                <w:szCs w:val="32"/>
              </w:rPr>
              <w:t>专栏1  智能产业发展路线图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vAlign w:val="center"/>
          </w:tcPr>
          <w:p>
            <w:pPr>
              <w:spacing w:line="276" w:lineRule="auto"/>
              <w:jc w:val="center"/>
              <w:rPr>
                <w:rFonts w:ascii="仿宋_GB2312" w:hAnsi="Times New Roman" w:eastAsia="仿宋_GB2312" w:cs="Times New Roman"/>
                <w:b/>
                <w:kern w:val="0"/>
                <w:sz w:val="24"/>
                <w:szCs w:val="24"/>
              </w:rPr>
            </w:pPr>
            <w:r>
              <w:rPr>
                <w:rFonts w:hint="eastAsia" w:ascii="仿宋_GB2312" w:hAnsi="Times New Roman" w:eastAsia="仿宋_GB2312" w:cs="Times New Roman"/>
                <w:b/>
                <w:kern w:val="0"/>
                <w:sz w:val="24"/>
                <w:szCs w:val="24"/>
              </w:rPr>
              <w:t>重点领域</w:t>
            </w:r>
          </w:p>
        </w:tc>
        <w:tc>
          <w:tcPr>
            <w:tcW w:w="7221" w:type="dxa"/>
          </w:tcPr>
          <w:p>
            <w:pPr>
              <w:spacing w:line="276" w:lineRule="auto"/>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人工智能、下一代移动通信、柔性电子、新型显示、前沿技术（脑科学与类脑算法、量子通信与量子计算机等）。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vAlign w:val="center"/>
          </w:tcPr>
          <w:p>
            <w:pPr>
              <w:spacing w:line="276" w:lineRule="auto"/>
              <w:jc w:val="center"/>
              <w:rPr>
                <w:rFonts w:ascii="仿宋_GB2312" w:hAnsi="Times New Roman" w:eastAsia="仿宋_GB2312" w:cs="Times New Roman"/>
                <w:b/>
                <w:kern w:val="0"/>
                <w:sz w:val="24"/>
                <w:szCs w:val="24"/>
              </w:rPr>
            </w:pPr>
            <w:r>
              <w:rPr>
                <w:rFonts w:ascii="仿宋_GB2312" w:hAnsi="Times New Roman" w:eastAsia="仿宋_GB2312" w:cs="Times New Roman"/>
                <w:b/>
                <w:kern w:val="0"/>
                <w:sz w:val="24"/>
                <w:szCs w:val="24"/>
              </w:rPr>
              <w:t>重点任务</w:t>
            </w:r>
          </w:p>
        </w:tc>
        <w:tc>
          <w:tcPr>
            <w:tcW w:w="7221" w:type="dxa"/>
          </w:tcPr>
          <w:p>
            <w:pPr>
              <w:pStyle w:val="30"/>
              <w:numPr>
                <w:ilvl w:val="0"/>
                <w:numId w:val="2"/>
              </w:numPr>
              <w:spacing w:line="276" w:lineRule="auto"/>
              <w:ind w:firstLineChars="0"/>
              <w:rPr>
                <w:rFonts w:ascii="仿宋_GB2312" w:hAnsi="Times New Roman" w:eastAsia="仿宋_GB2312" w:cs="Times New Roman"/>
                <w:b/>
                <w:kern w:val="0"/>
                <w:sz w:val="24"/>
                <w:szCs w:val="24"/>
              </w:rPr>
            </w:pPr>
            <w:r>
              <w:rPr>
                <w:rFonts w:hint="eastAsia" w:ascii="仿宋_GB2312" w:hAnsi="Times New Roman" w:eastAsia="仿宋_GB2312" w:cs="Times New Roman"/>
                <w:b/>
                <w:kern w:val="0"/>
                <w:sz w:val="24"/>
                <w:szCs w:val="24"/>
              </w:rPr>
              <w:t>第一阶段：打造粤港澳大湾区智能产业发展先导区</w:t>
            </w:r>
          </w:p>
          <w:p>
            <w:pPr>
              <w:spacing w:line="276" w:lineRule="auto"/>
              <w:rPr>
                <w:rFonts w:ascii="仿宋_GB2312" w:hAnsi="Times New Roman" w:eastAsia="仿宋_GB2312" w:cs="Times New Roman"/>
                <w:kern w:val="0"/>
                <w:sz w:val="24"/>
                <w:szCs w:val="24"/>
              </w:rPr>
            </w:pPr>
            <w:r>
              <w:rPr>
                <w:rFonts w:hint="eastAsia" w:ascii="仿宋_GB2312" w:hAnsi="Times New Roman" w:eastAsia="仿宋_GB2312" w:cs="Times New Roman"/>
                <w:b/>
                <w:kern w:val="0"/>
                <w:sz w:val="24"/>
                <w:szCs w:val="24"/>
              </w:rPr>
              <w:t>1</w:t>
            </w:r>
            <w:r>
              <w:rPr>
                <w:rFonts w:ascii="仿宋_GB2312" w:hAnsi="Times New Roman" w:eastAsia="仿宋_GB2312" w:cs="Times New Roman"/>
                <w:b/>
                <w:kern w:val="0"/>
                <w:sz w:val="24"/>
                <w:szCs w:val="24"/>
              </w:rPr>
              <w:t>.</w:t>
            </w:r>
            <w:r>
              <w:rPr>
                <w:rFonts w:hint="eastAsia" w:ascii="仿宋_GB2312" w:hAnsi="Times New Roman" w:eastAsia="仿宋_GB2312" w:cs="Times New Roman"/>
                <w:b/>
                <w:kern w:val="0"/>
                <w:sz w:val="24"/>
                <w:szCs w:val="24"/>
              </w:rPr>
              <w:t>开展智能制造示范应用。</w:t>
            </w:r>
            <w:r>
              <w:rPr>
                <w:rFonts w:hint="eastAsia" w:ascii="仿宋_GB2312" w:hAnsi="Times New Roman" w:eastAsia="仿宋_GB2312" w:cs="Times New Roman"/>
                <w:kern w:val="0"/>
                <w:sz w:val="24"/>
                <w:szCs w:val="24"/>
              </w:rPr>
              <w:t>推进优势传统产业向智能制造转型升级，在模具和钟表产业进行智能制造示范；建设新型显示、3C电子行业等领域工业互联网平台，推动高端制造业数字化、网络化；在柔性电子等领域布局市级制造业创新中心，争取将新型显示和石墨烯制造业创新中心升级为国家级制造业创新中心；优选10个细分领域，依托行业龙头企业与高校、科研院所合作开展“创新链+产业链”项目。</w:t>
            </w:r>
          </w:p>
          <w:p>
            <w:pPr>
              <w:spacing w:line="276" w:lineRule="auto"/>
              <w:rPr>
                <w:rFonts w:ascii="仿宋_GB2312" w:hAnsi="Times New Roman" w:eastAsia="仿宋_GB2312" w:cs="Times New Roman"/>
                <w:kern w:val="0"/>
                <w:sz w:val="24"/>
                <w:szCs w:val="24"/>
              </w:rPr>
            </w:pPr>
            <w:r>
              <w:rPr>
                <w:rFonts w:hint="eastAsia" w:ascii="仿宋_GB2312" w:hAnsi="Times New Roman" w:eastAsia="仿宋_GB2312" w:cs="Times New Roman"/>
                <w:b/>
                <w:kern w:val="0"/>
                <w:sz w:val="24"/>
                <w:szCs w:val="24"/>
              </w:rPr>
              <w:t>2</w:t>
            </w:r>
            <w:r>
              <w:rPr>
                <w:rFonts w:ascii="仿宋_GB2312" w:hAnsi="Times New Roman" w:eastAsia="仿宋_GB2312" w:cs="Times New Roman"/>
                <w:b/>
                <w:kern w:val="0"/>
                <w:sz w:val="24"/>
                <w:szCs w:val="24"/>
              </w:rPr>
              <w:t>.</w:t>
            </w:r>
            <w:r>
              <w:rPr>
                <w:rFonts w:hint="eastAsia" w:ascii="仿宋_GB2312" w:hAnsi="Times New Roman" w:eastAsia="仿宋_GB2312" w:cs="Times New Roman"/>
                <w:b/>
                <w:kern w:val="0"/>
                <w:sz w:val="24"/>
                <w:szCs w:val="24"/>
              </w:rPr>
              <w:t>打造人工智能产业研发集聚地。</w:t>
            </w:r>
            <w:r>
              <w:rPr>
                <w:rFonts w:hint="eastAsia" w:ascii="仿宋_GB2312" w:hAnsi="Times New Roman" w:eastAsia="仿宋_GB2312" w:cs="Times New Roman"/>
                <w:kern w:val="0"/>
                <w:sz w:val="24"/>
                <w:szCs w:val="24"/>
              </w:rPr>
              <w:t>重点引进一批优势高校和科研机构，推进国家级、省级和市级创新载体的建设，提高原始创新能力和技术创新能力；吸引一批世界领先的企业研发总部和优秀团队落户光明，加速推进科技成果产业化。</w:t>
            </w:r>
          </w:p>
          <w:p>
            <w:pPr>
              <w:spacing w:line="276" w:lineRule="auto"/>
              <w:rPr>
                <w:rFonts w:ascii="仿宋_GB2312" w:hAnsi="Times New Roman" w:eastAsia="仿宋_GB2312" w:cs="Times New Roman"/>
                <w:kern w:val="0"/>
                <w:sz w:val="24"/>
                <w:szCs w:val="24"/>
              </w:rPr>
            </w:pPr>
            <w:r>
              <w:rPr>
                <w:rFonts w:hint="eastAsia" w:ascii="仿宋_GB2312" w:hAnsi="Times New Roman" w:eastAsia="仿宋_GB2312" w:cs="Times New Roman"/>
                <w:b/>
                <w:kern w:val="0"/>
                <w:sz w:val="24"/>
                <w:szCs w:val="24"/>
              </w:rPr>
              <w:t>3</w:t>
            </w:r>
            <w:r>
              <w:rPr>
                <w:rFonts w:ascii="仿宋_GB2312" w:hAnsi="Times New Roman" w:eastAsia="仿宋_GB2312" w:cs="Times New Roman"/>
                <w:b/>
                <w:kern w:val="0"/>
                <w:sz w:val="24"/>
                <w:szCs w:val="24"/>
              </w:rPr>
              <w:t>.</w:t>
            </w:r>
            <w:r>
              <w:rPr>
                <w:rFonts w:hint="eastAsia" w:ascii="仿宋_GB2312" w:hAnsi="Times New Roman" w:eastAsia="仿宋_GB2312" w:cs="Times New Roman"/>
                <w:b/>
                <w:kern w:val="0"/>
                <w:sz w:val="24"/>
                <w:szCs w:val="24"/>
              </w:rPr>
              <w:t>规划布局数字基础设施。</w:t>
            </w:r>
            <w:r>
              <w:rPr>
                <w:rFonts w:hint="eastAsia" w:ascii="仿宋_GB2312" w:hAnsi="Times New Roman" w:eastAsia="仿宋_GB2312" w:cs="Times New Roman"/>
                <w:kern w:val="0"/>
                <w:sz w:val="24"/>
                <w:szCs w:val="24"/>
              </w:rPr>
              <w:t>加快建设5G通信网络、物联网基础设施、数据中心等基础设施；选取智能机器人、智能无人机、智能软硬件、关键算法等领域，建设一批人工智能开放创新平台。</w:t>
            </w:r>
          </w:p>
          <w:p>
            <w:pPr>
              <w:spacing w:line="276" w:lineRule="auto"/>
              <w:rPr>
                <w:rFonts w:ascii="仿宋_GB2312" w:hAnsi="Times New Roman" w:eastAsia="仿宋_GB2312" w:cs="Times New Roman"/>
                <w:b/>
                <w:kern w:val="0"/>
                <w:sz w:val="24"/>
                <w:szCs w:val="24"/>
              </w:rPr>
            </w:pPr>
            <w:r>
              <w:rPr>
                <w:rFonts w:hint="eastAsia" w:ascii="仿宋_GB2312" w:hAnsi="Times New Roman" w:eastAsia="仿宋_GB2312" w:cs="Times New Roman"/>
                <w:b/>
                <w:kern w:val="0"/>
                <w:sz w:val="24"/>
                <w:szCs w:val="24"/>
              </w:rPr>
              <w:t>4</w:t>
            </w:r>
            <w:r>
              <w:rPr>
                <w:rFonts w:ascii="仿宋_GB2312" w:hAnsi="Times New Roman" w:eastAsia="仿宋_GB2312" w:cs="Times New Roman"/>
                <w:b/>
                <w:kern w:val="0"/>
                <w:sz w:val="24"/>
                <w:szCs w:val="24"/>
              </w:rPr>
              <w:t>.</w:t>
            </w:r>
            <w:r>
              <w:rPr>
                <w:rFonts w:hint="eastAsia" w:ascii="仿宋_GB2312" w:hAnsi="Times New Roman" w:eastAsia="仿宋_GB2312" w:cs="Times New Roman"/>
                <w:b/>
                <w:kern w:val="0"/>
                <w:sz w:val="24"/>
                <w:szCs w:val="24"/>
              </w:rPr>
              <w:t>抢先建设5</w:t>
            </w:r>
            <w:r>
              <w:rPr>
                <w:rFonts w:ascii="仿宋_GB2312" w:hAnsi="Times New Roman" w:eastAsia="仿宋_GB2312" w:cs="Times New Roman"/>
                <w:b/>
                <w:kern w:val="0"/>
                <w:sz w:val="24"/>
                <w:szCs w:val="24"/>
              </w:rPr>
              <w:t>G</w:t>
            </w:r>
            <w:r>
              <w:rPr>
                <w:rFonts w:hint="eastAsia" w:ascii="仿宋_GB2312" w:hAnsi="Times New Roman" w:eastAsia="仿宋_GB2312" w:cs="Times New Roman"/>
                <w:b/>
                <w:kern w:val="0"/>
                <w:sz w:val="24"/>
                <w:szCs w:val="24"/>
              </w:rPr>
              <w:t>应用先导区。</w:t>
            </w:r>
            <w:r>
              <w:rPr>
                <w:rFonts w:hint="eastAsia" w:ascii="仿宋_GB2312" w:hAnsi="Times New Roman" w:eastAsia="仿宋_GB2312" w:cs="Times New Roman"/>
                <w:kern w:val="0"/>
                <w:sz w:val="24"/>
                <w:szCs w:val="24"/>
              </w:rPr>
              <w:t>紧抓5</w:t>
            </w:r>
            <w:r>
              <w:rPr>
                <w:rFonts w:ascii="仿宋_GB2312" w:hAnsi="Times New Roman" w:eastAsia="仿宋_GB2312" w:cs="Times New Roman"/>
                <w:kern w:val="0"/>
                <w:sz w:val="24"/>
                <w:szCs w:val="24"/>
              </w:rPr>
              <w:t>G</w:t>
            </w:r>
            <w:r>
              <w:rPr>
                <w:rFonts w:hint="eastAsia" w:ascii="仿宋_GB2312" w:hAnsi="Times New Roman" w:eastAsia="仿宋_GB2312" w:cs="Times New Roman"/>
                <w:kern w:val="0"/>
                <w:sz w:val="24"/>
                <w:szCs w:val="24"/>
              </w:rPr>
              <w:t>移动通信建设发展战略机遇，在云AR/VR、联网无人机、工业互联网、智慧医疗、智慧城市、智慧能源、智慧安防、智能网联汽车等领域打造5</w:t>
            </w:r>
            <w:r>
              <w:rPr>
                <w:rFonts w:ascii="仿宋_GB2312" w:hAnsi="Times New Roman" w:eastAsia="仿宋_GB2312" w:cs="Times New Roman"/>
                <w:kern w:val="0"/>
                <w:sz w:val="24"/>
                <w:szCs w:val="24"/>
              </w:rPr>
              <w:t>G</w:t>
            </w:r>
            <w:r>
              <w:rPr>
                <w:rFonts w:hint="eastAsia" w:ascii="仿宋_GB2312" w:hAnsi="Times New Roman" w:eastAsia="仿宋_GB2312" w:cs="Times New Roman"/>
                <w:kern w:val="0"/>
                <w:sz w:val="24"/>
                <w:szCs w:val="24"/>
              </w:rPr>
              <w:t>示范应用标杆项目。</w:t>
            </w:r>
          </w:p>
          <w:p>
            <w:pPr>
              <w:pStyle w:val="30"/>
              <w:numPr>
                <w:ilvl w:val="0"/>
                <w:numId w:val="2"/>
              </w:numPr>
              <w:spacing w:line="276" w:lineRule="auto"/>
              <w:ind w:firstLineChars="0"/>
              <w:rPr>
                <w:rFonts w:ascii="仿宋_GB2312" w:hAnsi="Times New Roman" w:eastAsia="仿宋_GB2312" w:cs="Times New Roman"/>
                <w:b/>
                <w:kern w:val="0"/>
                <w:sz w:val="24"/>
                <w:szCs w:val="24"/>
              </w:rPr>
            </w:pPr>
            <w:r>
              <w:rPr>
                <w:rFonts w:hint="eastAsia" w:ascii="仿宋_GB2312" w:hAnsi="Times New Roman" w:eastAsia="仿宋_GB2312" w:cs="Times New Roman"/>
                <w:b/>
                <w:kern w:val="0"/>
                <w:sz w:val="24"/>
                <w:szCs w:val="24"/>
              </w:rPr>
              <w:t>第二阶段：建成国际知名的智能产业发展高地</w:t>
            </w:r>
          </w:p>
          <w:p>
            <w:pPr>
              <w:spacing w:line="276" w:lineRule="auto"/>
              <w:rPr>
                <w:rFonts w:ascii="仿宋_GB2312" w:hAnsi="Times New Roman" w:eastAsia="仿宋_GB2312" w:cs="Times New Roman"/>
                <w:b/>
                <w:kern w:val="0"/>
                <w:sz w:val="20"/>
                <w:szCs w:val="20"/>
              </w:rPr>
            </w:pPr>
            <w:r>
              <w:rPr>
                <w:rFonts w:hint="eastAsia" w:ascii="仿宋_GB2312" w:hAnsi="Times New Roman" w:eastAsia="仿宋_GB2312" w:cs="Times New Roman"/>
                <w:b/>
                <w:kern w:val="0"/>
                <w:sz w:val="24"/>
                <w:szCs w:val="24"/>
              </w:rPr>
              <w:t>5.建设柔性电子产业基地。</w:t>
            </w:r>
            <w:r>
              <w:rPr>
                <w:rFonts w:hint="eastAsia" w:ascii="仿宋_GB2312" w:hAnsi="Times New Roman" w:eastAsia="仿宋_GB2312" w:cs="Times New Roman"/>
                <w:kern w:val="0"/>
                <w:sz w:val="24"/>
                <w:szCs w:val="24"/>
              </w:rPr>
              <w:t>吸引柔性电子领域全球高端人才和团队落户光明，依托高校、科研院所、行业领军企业等组建柔性电子研发机构；推进柔性电子领域国家级、省级和市级创新载体的建设，提高技术创新能力；引进和培育柔性电子领域独角兽企业，在柔性显示屏、柔性传感器、电子皮肤、柔性能源等领域开展应用示范。</w:t>
            </w:r>
          </w:p>
          <w:p>
            <w:pPr>
              <w:spacing w:line="276" w:lineRule="auto"/>
              <w:rPr>
                <w:rFonts w:ascii="仿宋_GB2312" w:hAnsi="Times New Roman" w:eastAsia="仿宋_GB2312" w:cs="Times New Roman"/>
                <w:kern w:val="0"/>
                <w:sz w:val="24"/>
                <w:szCs w:val="24"/>
              </w:rPr>
            </w:pPr>
            <w:r>
              <w:rPr>
                <w:rFonts w:hint="eastAsia" w:ascii="仿宋_GB2312" w:hAnsi="Times New Roman" w:eastAsia="仿宋_GB2312" w:cs="Times New Roman"/>
                <w:b/>
                <w:kern w:val="0"/>
                <w:sz w:val="24"/>
                <w:szCs w:val="24"/>
              </w:rPr>
              <w:t>6</w:t>
            </w:r>
            <w:r>
              <w:rPr>
                <w:rFonts w:ascii="仿宋_GB2312" w:hAnsi="Times New Roman" w:eastAsia="仿宋_GB2312" w:cs="Times New Roman"/>
                <w:b/>
                <w:kern w:val="0"/>
                <w:sz w:val="24"/>
                <w:szCs w:val="24"/>
              </w:rPr>
              <w:t>.</w:t>
            </w:r>
            <w:r>
              <w:rPr>
                <w:rFonts w:hint="eastAsia" w:ascii="仿宋_GB2312" w:hAnsi="Times New Roman" w:eastAsia="仿宋_GB2312" w:cs="Times New Roman"/>
                <w:b/>
                <w:kern w:val="0"/>
                <w:sz w:val="24"/>
                <w:szCs w:val="24"/>
              </w:rPr>
              <w:t>构筑智能产业前沿技术策源区。</w:t>
            </w:r>
            <w:r>
              <w:rPr>
                <w:rFonts w:hint="eastAsia" w:ascii="仿宋_GB2312" w:hAnsi="Times New Roman" w:eastAsia="仿宋_GB2312" w:cs="Times New Roman"/>
                <w:kern w:val="0"/>
                <w:sz w:val="24"/>
                <w:szCs w:val="24"/>
              </w:rPr>
              <w:t>依托脑解析脑模拟重大科技基础设施，瞄准类脑智能、高级机器学习理论、人类增强等前沿技术“无人区”，组建前沿技术研究院和面向工程技术研发的新型科研机构。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vAlign w:val="center"/>
          </w:tcPr>
          <w:p>
            <w:pPr>
              <w:spacing w:line="276" w:lineRule="auto"/>
              <w:jc w:val="center"/>
              <w:rPr>
                <w:rFonts w:ascii="仿宋_GB2312" w:hAnsi="Times New Roman" w:eastAsia="仿宋_GB2312" w:cs="Times New Roman"/>
                <w:b/>
                <w:kern w:val="0"/>
                <w:sz w:val="24"/>
                <w:szCs w:val="24"/>
              </w:rPr>
            </w:pPr>
            <w:r>
              <w:rPr>
                <w:rFonts w:hint="eastAsia" w:ascii="仿宋_GB2312" w:hAnsi="Times New Roman" w:eastAsia="仿宋_GB2312" w:cs="Times New Roman"/>
                <w:b/>
                <w:kern w:val="0"/>
                <w:sz w:val="24"/>
                <w:szCs w:val="24"/>
              </w:rPr>
              <w:t>发展目标</w:t>
            </w:r>
          </w:p>
        </w:tc>
        <w:tc>
          <w:tcPr>
            <w:tcW w:w="7221" w:type="dxa"/>
          </w:tcPr>
          <w:p>
            <w:pPr>
              <w:spacing w:line="276" w:lineRule="auto"/>
              <w:rPr>
                <w:rFonts w:ascii="仿宋_GB2312" w:hAnsi="Times New Roman" w:eastAsia="仿宋_GB2312" w:cs="Times New Roman"/>
                <w:kern w:val="0"/>
                <w:sz w:val="24"/>
                <w:szCs w:val="24"/>
              </w:rPr>
            </w:pPr>
            <w:r>
              <w:rPr>
                <w:rFonts w:ascii="仿宋_GB2312" w:hAnsi="Times New Roman" w:eastAsia="仿宋_GB2312" w:cs="Times New Roman"/>
                <w:kern w:val="0"/>
                <w:sz w:val="24"/>
                <w:szCs w:val="24"/>
              </w:rPr>
              <w:t>到</w:t>
            </w:r>
            <w:r>
              <w:rPr>
                <w:rFonts w:hint="eastAsia" w:ascii="仿宋_GB2312" w:hAnsi="Times New Roman" w:eastAsia="仿宋_GB2312" w:cs="Times New Roman"/>
                <w:kern w:val="0"/>
                <w:sz w:val="24"/>
                <w:szCs w:val="24"/>
              </w:rPr>
              <w:t>2</w:t>
            </w:r>
            <w:r>
              <w:rPr>
                <w:rFonts w:ascii="仿宋_GB2312" w:hAnsi="Times New Roman" w:eastAsia="仿宋_GB2312" w:cs="Times New Roman"/>
                <w:kern w:val="0"/>
                <w:sz w:val="24"/>
                <w:szCs w:val="24"/>
              </w:rPr>
              <w:t>025年</w:t>
            </w:r>
            <w:r>
              <w:rPr>
                <w:rFonts w:hint="eastAsia" w:ascii="仿宋_GB2312" w:hAnsi="Times New Roman" w:eastAsia="仿宋_GB2312" w:cs="Times New Roman"/>
                <w:kern w:val="0"/>
                <w:sz w:val="24"/>
                <w:szCs w:val="24"/>
              </w:rPr>
              <w:t>产业规模达到1</w:t>
            </w:r>
            <w:r>
              <w:rPr>
                <w:rFonts w:ascii="仿宋_GB2312" w:hAnsi="Times New Roman" w:eastAsia="仿宋_GB2312" w:cs="Times New Roman"/>
                <w:kern w:val="0"/>
                <w:sz w:val="24"/>
                <w:szCs w:val="24"/>
              </w:rPr>
              <w:t>400</w:t>
            </w:r>
            <w:r>
              <w:rPr>
                <w:rFonts w:hint="eastAsia" w:ascii="仿宋_GB2312" w:hAnsi="Times New Roman" w:eastAsia="仿宋_GB2312" w:cs="Times New Roman"/>
                <w:kern w:val="0"/>
                <w:sz w:val="24"/>
                <w:szCs w:val="24"/>
              </w:rPr>
              <w:t>亿元；</w:t>
            </w:r>
            <w:r>
              <w:rPr>
                <w:rFonts w:ascii="仿宋_GB2312" w:hAnsi="Times New Roman" w:eastAsia="仿宋_GB2312" w:cs="Times New Roman"/>
                <w:kern w:val="0"/>
                <w:sz w:val="24"/>
                <w:szCs w:val="24"/>
              </w:rPr>
              <w:t>到</w:t>
            </w:r>
            <w:r>
              <w:rPr>
                <w:rFonts w:hint="eastAsia" w:ascii="仿宋_GB2312" w:hAnsi="Times New Roman" w:eastAsia="仿宋_GB2312" w:cs="Times New Roman"/>
                <w:kern w:val="0"/>
                <w:sz w:val="24"/>
                <w:szCs w:val="24"/>
              </w:rPr>
              <w:t>2</w:t>
            </w:r>
            <w:r>
              <w:rPr>
                <w:rFonts w:ascii="仿宋_GB2312" w:hAnsi="Times New Roman" w:eastAsia="仿宋_GB2312" w:cs="Times New Roman"/>
                <w:kern w:val="0"/>
                <w:sz w:val="24"/>
                <w:szCs w:val="24"/>
              </w:rPr>
              <w:t>035年</w:t>
            </w:r>
            <w:r>
              <w:rPr>
                <w:rFonts w:hint="eastAsia" w:ascii="仿宋_GB2312" w:hAnsi="Times New Roman" w:eastAsia="仿宋_GB2312" w:cs="Times New Roman"/>
                <w:kern w:val="0"/>
                <w:sz w:val="24"/>
                <w:szCs w:val="24"/>
              </w:rPr>
              <w:t>产业规模达到</w:t>
            </w:r>
            <w:r>
              <w:rPr>
                <w:rFonts w:ascii="仿宋_GB2312" w:hAnsi="Times New Roman" w:eastAsia="仿宋_GB2312" w:cs="Times New Roman"/>
                <w:kern w:val="0"/>
                <w:sz w:val="24"/>
                <w:szCs w:val="24"/>
              </w:rPr>
              <w:t>2500</w:t>
            </w:r>
            <w:r>
              <w:rPr>
                <w:rFonts w:hint="eastAsia" w:ascii="仿宋_GB2312" w:hAnsi="Times New Roman" w:eastAsia="仿宋_GB2312" w:cs="Times New Roman"/>
                <w:kern w:val="0"/>
                <w:sz w:val="24"/>
                <w:szCs w:val="24"/>
              </w:rPr>
              <w:t>亿元。</w:t>
            </w:r>
          </w:p>
        </w:tc>
      </w:tr>
    </w:tbl>
    <w:p>
      <w:pPr>
        <w:spacing w:line="560" w:lineRule="exact"/>
        <w:ind w:firstLine="642" w:firstLineChars="200"/>
        <w:outlineLvl w:val="1"/>
        <w:rPr>
          <w:rFonts w:ascii="楷体_GB2312" w:hAnsi="仿宋" w:eastAsia="楷体_GB2312" w:cs="Calibri"/>
          <w:b/>
          <w:sz w:val="32"/>
          <w:szCs w:val="32"/>
        </w:rPr>
      </w:pPr>
      <w:bookmarkStart w:id="39" w:name="_Toc3583591"/>
      <w:r>
        <w:rPr>
          <w:rFonts w:hint="eastAsia" w:ascii="楷体_GB2312" w:hAnsi="仿宋" w:eastAsia="楷体_GB2312" w:cs="Calibri"/>
          <w:b/>
          <w:sz w:val="32"/>
          <w:szCs w:val="32"/>
        </w:rPr>
        <w:t>（二）新材料产业</w:t>
      </w:r>
      <w:bookmarkEnd w:id="39"/>
    </w:p>
    <w:p>
      <w:pPr>
        <w:spacing w:line="560" w:lineRule="exact"/>
        <w:ind w:firstLine="640" w:firstLineChars="200"/>
        <w:rPr>
          <w:rFonts w:ascii="仿宋_GB2312" w:hAnsi="仿宋" w:eastAsia="仿宋_GB2312" w:cs="Calibri"/>
          <w:sz w:val="32"/>
          <w:szCs w:val="32"/>
        </w:rPr>
      </w:pPr>
      <w:r>
        <w:rPr>
          <w:rFonts w:hint="eastAsia" w:ascii="仿宋_GB2312" w:hAnsi="仿宋" w:eastAsia="仿宋_GB2312" w:cs="Calibri"/>
          <w:sz w:val="32"/>
          <w:szCs w:val="32"/>
        </w:rPr>
        <w:t>顺应当前全球新材料产业发展趋势，继续做大做强优势材料，大力发展关键战略材料，布局发展前沿材料，搭建新材料测试评价平台和技术转化平台，推动新材料在下游产业的示范应用，建成全国新材料创新应用示范基地。</w:t>
      </w:r>
    </w:p>
    <w:p>
      <w:pPr>
        <w:spacing w:line="560" w:lineRule="exact"/>
        <w:ind w:firstLine="642" w:firstLineChars="200"/>
        <w:outlineLvl w:val="2"/>
        <w:rPr>
          <w:rFonts w:ascii="仿宋_GB2312" w:hAnsi="仿宋" w:eastAsia="仿宋_GB2312" w:cs="Calibri"/>
          <w:b/>
          <w:sz w:val="32"/>
          <w:szCs w:val="32"/>
        </w:rPr>
      </w:pPr>
      <w:bookmarkStart w:id="40" w:name="_Toc3583592"/>
      <w:r>
        <w:rPr>
          <w:rFonts w:ascii="仿宋_GB2312" w:hAnsi="仿宋" w:eastAsia="仿宋_GB2312" w:cs="Calibri"/>
          <w:b/>
          <w:sz w:val="32"/>
          <w:szCs w:val="32"/>
        </w:rPr>
        <w:t>1.优势材料</w:t>
      </w:r>
      <w:bookmarkEnd w:id="40"/>
    </w:p>
    <w:p>
      <w:pPr>
        <w:spacing w:line="560" w:lineRule="exact"/>
        <w:ind w:firstLine="642" w:firstLineChars="200"/>
        <w:rPr>
          <w:rFonts w:ascii="仿宋_GB2312" w:hAnsi="仿宋" w:eastAsia="仿宋_GB2312" w:cs="Calibri"/>
          <w:sz w:val="32"/>
          <w:szCs w:val="32"/>
        </w:rPr>
      </w:pPr>
      <w:r>
        <w:rPr>
          <w:rFonts w:hint="eastAsia" w:ascii="仿宋_GB2312" w:hAnsi="仿宋" w:eastAsia="仿宋_GB2312" w:cs="Calibri"/>
          <w:b/>
          <w:sz w:val="32"/>
          <w:szCs w:val="32"/>
        </w:rPr>
        <w:t>新型</w:t>
      </w:r>
      <w:r>
        <w:rPr>
          <w:rFonts w:ascii="仿宋_GB2312" w:hAnsi="仿宋" w:eastAsia="仿宋_GB2312" w:cs="Calibri"/>
          <w:b/>
          <w:sz w:val="32"/>
          <w:szCs w:val="32"/>
        </w:rPr>
        <w:t>显示材料。</w:t>
      </w:r>
      <w:r>
        <w:rPr>
          <w:rFonts w:hint="eastAsia" w:ascii="仿宋_GB2312" w:hAnsi="仿宋" w:eastAsia="仿宋_GB2312" w:cs="Calibri"/>
          <w:sz w:val="32"/>
          <w:szCs w:val="32"/>
        </w:rPr>
        <w:t>开展</w:t>
      </w:r>
      <w:r>
        <w:rPr>
          <w:rFonts w:ascii="仿宋_GB2312" w:hAnsi="仿宋" w:eastAsia="仿宋_GB2312" w:cs="Calibri"/>
          <w:sz w:val="32"/>
          <w:szCs w:val="32"/>
        </w:rPr>
        <w:t>高性能光学薄膜、透明导电膜玻璃等研究</w:t>
      </w:r>
      <w:r>
        <w:rPr>
          <w:rFonts w:hint="eastAsia" w:ascii="仿宋_GB2312" w:hAnsi="仿宋" w:eastAsia="仿宋_GB2312" w:cs="Calibri"/>
          <w:sz w:val="32"/>
          <w:szCs w:val="32"/>
        </w:rPr>
        <w:t>，突破</w:t>
      </w:r>
      <w:r>
        <w:rPr>
          <w:rFonts w:ascii="仿宋_GB2312" w:hAnsi="仿宋" w:eastAsia="仿宋_GB2312" w:cs="Calibri"/>
          <w:sz w:val="32"/>
          <w:szCs w:val="32"/>
        </w:rPr>
        <w:t>高世代</w:t>
      </w:r>
      <w:r>
        <w:rPr>
          <w:rFonts w:hint="eastAsia" w:ascii="仿宋_GB2312" w:hAnsi="仿宋" w:eastAsia="仿宋_GB2312" w:cs="Calibri"/>
          <w:sz w:val="32"/>
          <w:szCs w:val="32"/>
        </w:rPr>
        <w:t>/超薄</w:t>
      </w:r>
      <w:r>
        <w:rPr>
          <w:rFonts w:ascii="仿宋_GB2312" w:hAnsi="仿宋" w:eastAsia="仿宋_GB2312" w:cs="Calibri"/>
          <w:sz w:val="32"/>
          <w:szCs w:val="32"/>
        </w:rPr>
        <w:t>液晶玻璃</w:t>
      </w:r>
      <w:r>
        <w:rPr>
          <w:rFonts w:hint="eastAsia" w:ascii="仿宋_GB2312" w:hAnsi="仿宋" w:eastAsia="仿宋_GB2312" w:cs="Calibri"/>
          <w:sz w:val="32"/>
          <w:szCs w:val="32"/>
        </w:rPr>
        <w:t>基板、柔性</w:t>
      </w:r>
      <w:r>
        <w:rPr>
          <w:rFonts w:ascii="仿宋_GB2312" w:hAnsi="仿宋" w:eastAsia="仿宋_GB2312" w:cs="Calibri"/>
          <w:sz w:val="32"/>
          <w:szCs w:val="32"/>
        </w:rPr>
        <w:t>显示材料</w:t>
      </w:r>
      <w:r>
        <w:rPr>
          <w:rFonts w:hint="eastAsia" w:ascii="仿宋_GB2312" w:hAnsi="仿宋" w:eastAsia="仿宋_GB2312" w:cs="Calibri"/>
          <w:sz w:val="32"/>
          <w:szCs w:val="32"/>
        </w:rPr>
        <w:t>等关键</w:t>
      </w:r>
      <w:r>
        <w:rPr>
          <w:rFonts w:ascii="仿宋_GB2312" w:hAnsi="仿宋" w:eastAsia="仿宋_GB2312" w:cs="Calibri"/>
          <w:sz w:val="32"/>
          <w:szCs w:val="32"/>
        </w:rPr>
        <w:t>技术</w:t>
      </w:r>
      <w:r>
        <w:rPr>
          <w:rFonts w:hint="eastAsia" w:ascii="仿宋_GB2312" w:hAnsi="仿宋" w:eastAsia="仿宋_GB2312" w:cs="Calibri"/>
          <w:sz w:val="32"/>
          <w:szCs w:val="32"/>
        </w:rPr>
        <w:t>，推进大尺寸</w:t>
      </w:r>
      <w:r>
        <w:rPr>
          <w:rFonts w:ascii="仿宋_GB2312" w:hAnsi="仿宋" w:eastAsia="仿宋_GB2312" w:cs="Calibri"/>
          <w:sz w:val="32"/>
          <w:szCs w:val="32"/>
        </w:rPr>
        <w:t>高精度掩膜版、超薄偏光片、彩色滤光片</w:t>
      </w:r>
      <w:r>
        <w:rPr>
          <w:rFonts w:hint="eastAsia" w:ascii="仿宋_GB2312" w:hAnsi="仿宋" w:eastAsia="仿宋_GB2312" w:cs="Calibri"/>
          <w:sz w:val="32"/>
          <w:szCs w:val="32"/>
        </w:rPr>
        <w:t>等研发和</w:t>
      </w:r>
      <w:r>
        <w:rPr>
          <w:rFonts w:ascii="仿宋_GB2312" w:hAnsi="仿宋" w:eastAsia="仿宋_GB2312" w:cs="Calibri"/>
          <w:sz w:val="32"/>
          <w:szCs w:val="32"/>
        </w:rPr>
        <w:t>产业化。</w:t>
      </w:r>
    </w:p>
    <w:p>
      <w:pPr>
        <w:spacing w:line="560" w:lineRule="exact"/>
        <w:ind w:firstLine="642" w:firstLineChars="200"/>
        <w:rPr>
          <w:rFonts w:ascii="仿宋_GB2312" w:hAnsi="仿宋" w:eastAsia="仿宋_GB2312" w:cs="Calibri"/>
          <w:sz w:val="32"/>
          <w:szCs w:val="32"/>
        </w:rPr>
      </w:pPr>
      <w:r>
        <w:rPr>
          <w:rFonts w:hint="eastAsia" w:ascii="仿宋_GB2312" w:hAnsi="仿宋" w:eastAsia="仿宋_GB2312" w:cs="Calibri"/>
          <w:b/>
          <w:sz w:val="32"/>
          <w:szCs w:val="32"/>
        </w:rPr>
        <w:t>锂离子</w:t>
      </w:r>
      <w:r>
        <w:rPr>
          <w:rFonts w:ascii="仿宋_GB2312" w:hAnsi="仿宋" w:eastAsia="仿宋_GB2312" w:cs="Calibri"/>
          <w:b/>
          <w:sz w:val="32"/>
          <w:szCs w:val="32"/>
        </w:rPr>
        <w:t>电池</w:t>
      </w:r>
      <w:r>
        <w:rPr>
          <w:rFonts w:hint="eastAsia" w:ascii="仿宋_GB2312" w:hAnsi="仿宋" w:eastAsia="仿宋_GB2312" w:cs="Calibri"/>
          <w:b/>
          <w:sz w:val="32"/>
          <w:szCs w:val="32"/>
        </w:rPr>
        <w:t>关键材料</w:t>
      </w:r>
      <w:r>
        <w:rPr>
          <w:rFonts w:ascii="仿宋_GB2312" w:hAnsi="仿宋" w:eastAsia="仿宋_GB2312" w:cs="Calibri"/>
          <w:b/>
          <w:sz w:val="32"/>
          <w:szCs w:val="32"/>
        </w:rPr>
        <w:t>。</w:t>
      </w:r>
      <w:r>
        <w:rPr>
          <w:rFonts w:hint="eastAsia" w:ascii="仿宋_GB2312" w:hAnsi="仿宋" w:eastAsia="仿宋_GB2312" w:cs="Calibri"/>
          <w:sz w:val="32"/>
          <w:szCs w:val="32"/>
        </w:rPr>
        <w:t>重点</w:t>
      </w:r>
      <w:r>
        <w:rPr>
          <w:rFonts w:ascii="仿宋_GB2312" w:hAnsi="仿宋" w:eastAsia="仿宋_GB2312" w:cs="Calibri"/>
          <w:sz w:val="32"/>
          <w:szCs w:val="32"/>
        </w:rPr>
        <w:t>发展高能量密度及长循环寿命的电池正负极材料、</w:t>
      </w:r>
      <w:r>
        <w:rPr>
          <w:rFonts w:hint="eastAsia" w:ascii="仿宋_GB2312" w:hAnsi="仿宋" w:eastAsia="仿宋_GB2312" w:cs="Calibri"/>
          <w:sz w:val="32"/>
          <w:szCs w:val="32"/>
        </w:rPr>
        <w:t>耐高温</w:t>
      </w:r>
      <w:r>
        <w:rPr>
          <w:rFonts w:ascii="仿宋_GB2312" w:hAnsi="仿宋" w:eastAsia="仿宋_GB2312" w:cs="Calibri"/>
          <w:sz w:val="32"/>
          <w:szCs w:val="32"/>
        </w:rPr>
        <w:t>低电阻电池隔膜等锂离子电池关键材料</w:t>
      </w:r>
      <w:r>
        <w:rPr>
          <w:rFonts w:hint="eastAsia" w:ascii="仿宋_GB2312" w:hAnsi="仿宋" w:eastAsia="仿宋_GB2312" w:cs="Calibri"/>
          <w:sz w:val="32"/>
          <w:szCs w:val="32"/>
        </w:rPr>
        <w:t>，</w:t>
      </w:r>
      <w:r>
        <w:rPr>
          <w:rFonts w:ascii="仿宋_GB2312" w:hAnsi="仿宋" w:eastAsia="仿宋_GB2312" w:cs="Calibri"/>
          <w:sz w:val="32"/>
          <w:szCs w:val="32"/>
        </w:rPr>
        <w:t>提高锂离子电池容量、安全性能与循环寿命。</w:t>
      </w:r>
    </w:p>
    <w:p>
      <w:pPr>
        <w:spacing w:line="560" w:lineRule="exact"/>
        <w:ind w:firstLine="642" w:firstLineChars="200"/>
        <w:rPr>
          <w:rFonts w:ascii="仿宋_GB2312" w:hAnsi="仿宋" w:eastAsia="仿宋_GB2312" w:cs="Calibri"/>
          <w:sz w:val="32"/>
          <w:szCs w:val="32"/>
        </w:rPr>
      </w:pPr>
      <w:r>
        <w:rPr>
          <w:rFonts w:hint="eastAsia" w:ascii="仿宋_GB2312" w:hAnsi="仿宋" w:eastAsia="仿宋_GB2312" w:cs="Calibri"/>
          <w:b/>
          <w:sz w:val="32"/>
          <w:szCs w:val="32"/>
        </w:rPr>
        <w:t>合金</w:t>
      </w:r>
      <w:r>
        <w:rPr>
          <w:rFonts w:ascii="仿宋_GB2312" w:hAnsi="仿宋" w:eastAsia="仿宋_GB2312" w:cs="Calibri"/>
          <w:b/>
          <w:sz w:val="32"/>
          <w:szCs w:val="32"/>
        </w:rPr>
        <w:t>材料。</w:t>
      </w:r>
      <w:r>
        <w:rPr>
          <w:rFonts w:hint="eastAsia" w:ascii="仿宋_GB2312" w:hAnsi="仿宋" w:eastAsia="仿宋_GB2312" w:cs="Calibri"/>
          <w:sz w:val="32"/>
          <w:szCs w:val="32"/>
        </w:rPr>
        <w:t>进一步</w:t>
      </w:r>
      <w:r>
        <w:rPr>
          <w:rFonts w:ascii="仿宋_GB2312" w:hAnsi="仿宋" w:eastAsia="仿宋_GB2312" w:cs="Calibri"/>
          <w:sz w:val="32"/>
          <w:szCs w:val="32"/>
        </w:rPr>
        <w:t>提</w:t>
      </w:r>
      <w:r>
        <w:rPr>
          <w:rFonts w:hint="eastAsia" w:ascii="仿宋_GB2312" w:hAnsi="仿宋" w:eastAsia="仿宋_GB2312" w:cs="Calibri"/>
          <w:sz w:val="32"/>
          <w:szCs w:val="32"/>
        </w:rPr>
        <w:t>升</w:t>
      </w:r>
      <w:r>
        <w:rPr>
          <w:rFonts w:ascii="仿宋_GB2312" w:hAnsi="仿宋" w:eastAsia="仿宋_GB2312" w:cs="Calibri"/>
          <w:sz w:val="32"/>
          <w:szCs w:val="32"/>
        </w:rPr>
        <w:t>铝合金/</w:t>
      </w:r>
      <w:r>
        <w:rPr>
          <w:rFonts w:hint="eastAsia" w:ascii="仿宋_GB2312" w:hAnsi="仿宋" w:eastAsia="仿宋_GB2312" w:cs="Calibri"/>
          <w:sz w:val="32"/>
          <w:szCs w:val="32"/>
        </w:rPr>
        <w:t>钛合金/镁合金材料的</w:t>
      </w:r>
      <w:r>
        <w:rPr>
          <w:rFonts w:ascii="仿宋_GB2312" w:hAnsi="仿宋" w:eastAsia="仿宋_GB2312" w:cs="Calibri"/>
          <w:sz w:val="32"/>
          <w:szCs w:val="32"/>
        </w:rPr>
        <w:t>性能</w:t>
      </w:r>
      <w:r>
        <w:rPr>
          <w:rFonts w:hint="eastAsia" w:ascii="仿宋_GB2312" w:hAnsi="仿宋" w:eastAsia="仿宋_GB2312" w:cs="Calibri"/>
          <w:sz w:val="32"/>
          <w:szCs w:val="32"/>
        </w:rPr>
        <w:t>和工艺</w:t>
      </w:r>
      <w:r>
        <w:rPr>
          <w:rFonts w:ascii="仿宋_GB2312" w:hAnsi="仿宋" w:eastAsia="仿宋_GB2312" w:cs="Calibri"/>
          <w:sz w:val="32"/>
          <w:szCs w:val="32"/>
        </w:rPr>
        <w:t>水平，</w:t>
      </w:r>
      <w:r>
        <w:rPr>
          <w:rFonts w:hint="eastAsia" w:ascii="仿宋_GB2312" w:hAnsi="仿宋" w:eastAsia="仿宋_GB2312" w:cs="Calibri"/>
          <w:sz w:val="32"/>
          <w:szCs w:val="32"/>
        </w:rPr>
        <w:t>开展</w:t>
      </w:r>
      <w:r>
        <w:rPr>
          <w:rFonts w:ascii="仿宋_GB2312" w:hAnsi="仿宋" w:eastAsia="仿宋_GB2312" w:cs="Calibri"/>
          <w:sz w:val="32"/>
          <w:szCs w:val="32"/>
        </w:rPr>
        <w:t>高温</w:t>
      </w:r>
      <w:r>
        <w:rPr>
          <w:rFonts w:hint="eastAsia" w:ascii="仿宋_GB2312" w:hAnsi="仿宋" w:eastAsia="仿宋_GB2312" w:cs="Calibri"/>
          <w:sz w:val="32"/>
          <w:szCs w:val="32"/>
        </w:rPr>
        <w:t>、</w:t>
      </w:r>
      <w:r>
        <w:rPr>
          <w:rFonts w:ascii="仿宋_GB2312" w:hAnsi="仿宋" w:eastAsia="仿宋_GB2312" w:cs="Calibri"/>
          <w:sz w:val="32"/>
          <w:szCs w:val="32"/>
        </w:rPr>
        <w:t>高强合金材料</w:t>
      </w:r>
      <w:r>
        <w:rPr>
          <w:rFonts w:hint="eastAsia" w:ascii="仿宋_GB2312" w:hAnsi="仿宋" w:eastAsia="仿宋_GB2312" w:cs="Calibri"/>
          <w:sz w:val="32"/>
          <w:szCs w:val="32"/>
        </w:rPr>
        <w:t>熔炼</w:t>
      </w:r>
      <w:r>
        <w:rPr>
          <w:rFonts w:ascii="仿宋_GB2312" w:hAnsi="仿宋" w:eastAsia="仿宋_GB2312" w:cs="Calibri"/>
          <w:sz w:val="32"/>
          <w:szCs w:val="32"/>
        </w:rPr>
        <w:t>、加工</w:t>
      </w:r>
      <w:r>
        <w:rPr>
          <w:rFonts w:hint="eastAsia" w:ascii="仿宋_GB2312" w:hAnsi="仿宋" w:eastAsia="仿宋_GB2312" w:cs="Calibri"/>
          <w:sz w:val="32"/>
          <w:szCs w:val="32"/>
        </w:rPr>
        <w:t>工艺和</w:t>
      </w:r>
      <w:r>
        <w:rPr>
          <w:rFonts w:ascii="仿宋_GB2312" w:hAnsi="仿宋" w:eastAsia="仿宋_GB2312" w:cs="Calibri"/>
          <w:sz w:val="32"/>
          <w:szCs w:val="32"/>
        </w:rPr>
        <w:t>技术</w:t>
      </w:r>
      <w:r>
        <w:rPr>
          <w:rFonts w:hint="eastAsia" w:ascii="仿宋_GB2312" w:hAnsi="仿宋" w:eastAsia="仿宋_GB2312" w:cs="Calibri"/>
          <w:sz w:val="32"/>
          <w:szCs w:val="32"/>
        </w:rPr>
        <w:t>攻关</w:t>
      </w:r>
      <w:r>
        <w:rPr>
          <w:rFonts w:ascii="仿宋_GB2312" w:hAnsi="仿宋" w:eastAsia="仿宋_GB2312" w:cs="Calibri"/>
          <w:sz w:val="32"/>
          <w:szCs w:val="32"/>
        </w:rPr>
        <w:t>，完善高温合金技术体系及测试数据。</w:t>
      </w:r>
    </w:p>
    <w:p>
      <w:pPr>
        <w:spacing w:line="560" w:lineRule="exact"/>
        <w:ind w:firstLine="642" w:firstLineChars="200"/>
        <w:outlineLvl w:val="2"/>
        <w:rPr>
          <w:rFonts w:ascii="仿宋_GB2312" w:hAnsi="仿宋" w:eastAsia="仿宋_GB2312" w:cs="Calibri"/>
          <w:b/>
          <w:sz w:val="32"/>
          <w:szCs w:val="32"/>
        </w:rPr>
      </w:pPr>
      <w:bookmarkStart w:id="41" w:name="_Toc3583593"/>
      <w:r>
        <w:rPr>
          <w:rFonts w:ascii="仿宋_GB2312" w:hAnsi="仿宋" w:eastAsia="仿宋_GB2312" w:cs="Calibri"/>
          <w:b/>
          <w:sz w:val="32"/>
          <w:szCs w:val="32"/>
        </w:rPr>
        <w:t>2</w:t>
      </w:r>
      <w:r>
        <w:rPr>
          <w:rFonts w:hint="eastAsia" w:ascii="仿宋_GB2312" w:hAnsi="仿宋" w:eastAsia="仿宋_GB2312" w:cs="Calibri"/>
          <w:b/>
          <w:sz w:val="32"/>
          <w:szCs w:val="32"/>
        </w:rPr>
        <w:t>.关键</w:t>
      </w:r>
      <w:r>
        <w:rPr>
          <w:rFonts w:ascii="仿宋_GB2312" w:hAnsi="仿宋" w:eastAsia="仿宋_GB2312" w:cs="Calibri"/>
          <w:b/>
          <w:sz w:val="32"/>
          <w:szCs w:val="32"/>
        </w:rPr>
        <w:t>战略材料</w:t>
      </w:r>
      <w:bookmarkEnd w:id="41"/>
    </w:p>
    <w:p>
      <w:pPr>
        <w:spacing w:line="560" w:lineRule="exact"/>
        <w:ind w:firstLine="642" w:firstLineChars="200"/>
        <w:rPr>
          <w:rFonts w:ascii="仿宋_GB2312" w:hAnsi="仿宋" w:eastAsia="仿宋_GB2312" w:cs="Calibri"/>
          <w:sz w:val="32"/>
          <w:szCs w:val="32"/>
        </w:rPr>
      </w:pPr>
      <w:r>
        <w:rPr>
          <w:rFonts w:hint="eastAsia" w:ascii="仿宋_GB2312" w:hAnsi="仿宋" w:eastAsia="仿宋_GB2312" w:cs="Calibri"/>
          <w:b/>
          <w:sz w:val="32"/>
          <w:szCs w:val="32"/>
        </w:rPr>
        <w:t>碳纤维</w:t>
      </w:r>
      <w:r>
        <w:rPr>
          <w:rFonts w:ascii="仿宋_GB2312" w:hAnsi="仿宋" w:eastAsia="仿宋_GB2312" w:cs="Calibri"/>
          <w:b/>
          <w:sz w:val="32"/>
          <w:szCs w:val="32"/>
        </w:rPr>
        <w:t>复合</w:t>
      </w:r>
      <w:r>
        <w:rPr>
          <w:rFonts w:hint="eastAsia" w:ascii="仿宋_GB2312" w:hAnsi="仿宋" w:eastAsia="仿宋_GB2312" w:cs="Calibri"/>
          <w:b/>
          <w:sz w:val="32"/>
          <w:szCs w:val="32"/>
        </w:rPr>
        <w:t>材料</w:t>
      </w:r>
      <w:r>
        <w:rPr>
          <w:rFonts w:ascii="仿宋_GB2312" w:hAnsi="仿宋" w:eastAsia="仿宋_GB2312" w:cs="Calibri"/>
          <w:b/>
          <w:sz w:val="32"/>
          <w:szCs w:val="32"/>
        </w:rPr>
        <w:t>。</w:t>
      </w:r>
      <w:r>
        <w:rPr>
          <w:rFonts w:hint="eastAsia" w:ascii="仿宋_GB2312" w:hAnsi="仿宋" w:eastAsia="仿宋_GB2312" w:cs="Calibri"/>
          <w:sz w:val="32"/>
          <w:szCs w:val="32"/>
        </w:rPr>
        <w:t>重点</w:t>
      </w:r>
      <w:r>
        <w:rPr>
          <w:rFonts w:ascii="仿宋_GB2312" w:hAnsi="仿宋" w:eastAsia="仿宋_GB2312" w:cs="Calibri"/>
          <w:sz w:val="32"/>
          <w:szCs w:val="32"/>
        </w:rPr>
        <w:t>开展碳纤维</w:t>
      </w:r>
      <w:r>
        <w:rPr>
          <w:rFonts w:hint="eastAsia" w:ascii="仿宋_GB2312" w:hAnsi="仿宋" w:eastAsia="仿宋_GB2312" w:cs="Calibri"/>
          <w:sz w:val="32"/>
          <w:szCs w:val="32"/>
        </w:rPr>
        <w:t>/树脂</w:t>
      </w:r>
      <w:r>
        <w:rPr>
          <w:rFonts w:ascii="仿宋_GB2312" w:hAnsi="仿宋" w:eastAsia="仿宋_GB2312" w:cs="Calibri"/>
          <w:sz w:val="32"/>
          <w:szCs w:val="32"/>
        </w:rPr>
        <w:t>基复合材料、碳纤维</w:t>
      </w:r>
      <w:r>
        <w:rPr>
          <w:rFonts w:hint="eastAsia" w:ascii="仿宋_GB2312" w:hAnsi="仿宋" w:eastAsia="仿宋_GB2312" w:cs="Calibri"/>
          <w:sz w:val="32"/>
          <w:szCs w:val="32"/>
        </w:rPr>
        <w:t>/陶瓷</w:t>
      </w:r>
      <w:r>
        <w:rPr>
          <w:rFonts w:ascii="仿宋_GB2312" w:hAnsi="仿宋" w:eastAsia="仿宋_GB2312" w:cs="Calibri"/>
          <w:sz w:val="32"/>
          <w:szCs w:val="32"/>
        </w:rPr>
        <w:t>基复合材料、</w:t>
      </w:r>
      <w:r>
        <w:rPr>
          <w:rFonts w:hint="eastAsia" w:ascii="仿宋_GB2312" w:hAnsi="仿宋" w:eastAsia="仿宋_GB2312" w:cs="Calibri"/>
          <w:sz w:val="32"/>
          <w:szCs w:val="32"/>
        </w:rPr>
        <w:t>碳纤维/碳</w:t>
      </w:r>
      <w:r>
        <w:rPr>
          <w:rFonts w:ascii="仿宋_GB2312" w:hAnsi="仿宋" w:eastAsia="仿宋_GB2312" w:cs="Calibri"/>
          <w:sz w:val="32"/>
          <w:szCs w:val="32"/>
        </w:rPr>
        <w:t>基复合材料、</w:t>
      </w:r>
      <w:r>
        <w:rPr>
          <w:rFonts w:hint="eastAsia" w:ascii="仿宋_GB2312" w:hAnsi="仿宋" w:eastAsia="仿宋_GB2312" w:cs="Calibri"/>
          <w:sz w:val="32"/>
          <w:szCs w:val="32"/>
        </w:rPr>
        <w:t>碳纤维/金属基</w:t>
      </w:r>
      <w:r>
        <w:rPr>
          <w:rFonts w:ascii="仿宋_GB2312" w:hAnsi="仿宋" w:eastAsia="仿宋_GB2312" w:cs="Calibri"/>
          <w:sz w:val="32"/>
          <w:szCs w:val="32"/>
        </w:rPr>
        <w:t>复合材料等碳纤维复合材料的</w:t>
      </w:r>
      <w:r>
        <w:rPr>
          <w:rFonts w:hint="eastAsia" w:ascii="仿宋_GB2312" w:hAnsi="仿宋" w:eastAsia="仿宋_GB2312" w:cs="Calibri"/>
          <w:sz w:val="32"/>
          <w:szCs w:val="32"/>
        </w:rPr>
        <w:t>研发和</w:t>
      </w:r>
      <w:r>
        <w:rPr>
          <w:rFonts w:ascii="仿宋_GB2312" w:hAnsi="仿宋" w:eastAsia="仿宋_GB2312" w:cs="Calibri"/>
          <w:sz w:val="32"/>
          <w:szCs w:val="32"/>
        </w:rPr>
        <w:t>产业化</w:t>
      </w:r>
      <w:r>
        <w:rPr>
          <w:rFonts w:hint="eastAsia" w:ascii="仿宋_GB2312" w:hAnsi="仿宋" w:eastAsia="仿宋_GB2312" w:cs="Calibri"/>
          <w:sz w:val="32"/>
          <w:szCs w:val="32"/>
        </w:rPr>
        <w:t>，鼓励发展航天航空级碳纤维复合材料。</w:t>
      </w:r>
    </w:p>
    <w:p>
      <w:pPr>
        <w:spacing w:line="560" w:lineRule="exact"/>
        <w:ind w:firstLine="642" w:firstLineChars="200"/>
        <w:rPr>
          <w:rFonts w:ascii="仿宋_GB2312" w:hAnsi="仿宋" w:eastAsia="仿宋_GB2312" w:cs="Calibri"/>
          <w:sz w:val="32"/>
          <w:szCs w:val="32"/>
        </w:rPr>
      </w:pPr>
      <w:r>
        <w:rPr>
          <w:rFonts w:hint="eastAsia" w:ascii="仿宋_GB2312" w:hAnsi="仿宋" w:eastAsia="仿宋_GB2312" w:cs="Calibri"/>
          <w:b/>
          <w:sz w:val="32"/>
          <w:szCs w:val="32"/>
        </w:rPr>
        <w:t>第三代</w:t>
      </w:r>
      <w:r>
        <w:rPr>
          <w:rFonts w:ascii="仿宋_GB2312" w:hAnsi="仿宋" w:eastAsia="仿宋_GB2312" w:cs="Calibri"/>
          <w:b/>
          <w:sz w:val="32"/>
          <w:szCs w:val="32"/>
        </w:rPr>
        <w:t>半导体材料。</w:t>
      </w:r>
      <w:r>
        <w:rPr>
          <w:rFonts w:hint="eastAsia" w:ascii="仿宋_GB2312" w:hAnsi="仿宋" w:eastAsia="仿宋_GB2312" w:cs="Calibri"/>
          <w:sz w:val="32"/>
          <w:szCs w:val="32"/>
        </w:rPr>
        <w:t>开展碳化硅</w:t>
      </w:r>
      <w:r>
        <w:rPr>
          <w:rFonts w:ascii="仿宋_GB2312" w:hAnsi="仿宋" w:eastAsia="仿宋_GB2312" w:cs="Calibri"/>
          <w:sz w:val="32"/>
          <w:szCs w:val="32"/>
        </w:rPr>
        <w:t>和氮化镓单晶</w:t>
      </w:r>
      <w:r>
        <w:rPr>
          <w:rFonts w:hint="eastAsia" w:ascii="仿宋_GB2312" w:hAnsi="仿宋" w:eastAsia="仿宋_GB2312" w:cs="Calibri"/>
          <w:sz w:val="32"/>
          <w:szCs w:val="32"/>
        </w:rPr>
        <w:t>材料</w:t>
      </w:r>
      <w:r>
        <w:rPr>
          <w:rFonts w:ascii="仿宋_GB2312" w:hAnsi="仿宋" w:eastAsia="仿宋_GB2312" w:cs="Calibri"/>
          <w:sz w:val="32"/>
          <w:szCs w:val="32"/>
        </w:rPr>
        <w:t>的基础研究，</w:t>
      </w:r>
      <w:r>
        <w:rPr>
          <w:rFonts w:hint="eastAsia" w:ascii="仿宋_GB2312" w:hAnsi="仿宋" w:eastAsia="仿宋_GB2312" w:cs="Calibri"/>
          <w:sz w:val="32"/>
          <w:szCs w:val="32"/>
        </w:rPr>
        <w:t>重点突破大尺寸的</w:t>
      </w:r>
      <w:r>
        <w:rPr>
          <w:rFonts w:ascii="仿宋_GB2312" w:hAnsi="仿宋" w:eastAsia="仿宋_GB2312" w:cs="Calibri"/>
          <w:sz w:val="32"/>
          <w:szCs w:val="32"/>
        </w:rPr>
        <w:t>碳化硅衬底材料</w:t>
      </w:r>
      <w:r>
        <w:rPr>
          <w:rFonts w:hint="eastAsia" w:ascii="仿宋_GB2312" w:hAnsi="仿宋" w:eastAsia="仿宋_GB2312" w:cs="Calibri"/>
          <w:sz w:val="32"/>
          <w:szCs w:val="32"/>
        </w:rPr>
        <w:t>和</w:t>
      </w:r>
      <w:r>
        <w:rPr>
          <w:rFonts w:ascii="仿宋_GB2312" w:hAnsi="仿宋" w:eastAsia="仿宋_GB2312" w:cs="Calibri"/>
          <w:sz w:val="32"/>
          <w:szCs w:val="32"/>
        </w:rPr>
        <w:t>外延片</w:t>
      </w:r>
      <w:r>
        <w:rPr>
          <w:rFonts w:hint="eastAsia" w:ascii="仿宋_GB2312" w:hAnsi="仿宋" w:eastAsia="仿宋_GB2312" w:cs="Calibri"/>
          <w:sz w:val="32"/>
          <w:szCs w:val="32"/>
        </w:rPr>
        <w:t>、</w:t>
      </w:r>
      <w:r>
        <w:rPr>
          <w:rFonts w:ascii="仿宋_GB2312" w:hAnsi="仿宋" w:eastAsia="仿宋_GB2312" w:cs="Calibri"/>
          <w:sz w:val="32"/>
          <w:szCs w:val="32"/>
        </w:rPr>
        <w:t>氮化镓</w:t>
      </w:r>
      <w:r>
        <w:rPr>
          <w:rFonts w:hint="eastAsia" w:ascii="仿宋_GB2312" w:hAnsi="仿宋" w:eastAsia="仿宋_GB2312" w:cs="Calibri"/>
          <w:sz w:val="32"/>
          <w:szCs w:val="32"/>
        </w:rPr>
        <w:t>衬底</w:t>
      </w:r>
      <w:r>
        <w:rPr>
          <w:rFonts w:ascii="仿宋_GB2312" w:hAnsi="仿宋" w:eastAsia="仿宋_GB2312" w:cs="Calibri"/>
          <w:sz w:val="32"/>
          <w:szCs w:val="32"/>
        </w:rPr>
        <w:t>材料和外延片的工艺，解决大规模集成电路材料</w:t>
      </w:r>
      <w:r>
        <w:rPr>
          <w:rFonts w:hint="eastAsia" w:ascii="仿宋_GB2312" w:hAnsi="仿宋" w:eastAsia="仿宋_GB2312" w:cs="Calibri"/>
          <w:sz w:val="32"/>
          <w:szCs w:val="32"/>
        </w:rPr>
        <w:t>制约</w:t>
      </w:r>
      <w:r>
        <w:rPr>
          <w:rFonts w:ascii="仿宋_GB2312" w:hAnsi="仿宋" w:eastAsia="仿宋_GB2312" w:cs="Calibri"/>
          <w:sz w:val="32"/>
          <w:szCs w:val="32"/>
        </w:rPr>
        <w:t>。</w:t>
      </w:r>
    </w:p>
    <w:p>
      <w:pPr>
        <w:spacing w:line="560" w:lineRule="exact"/>
        <w:ind w:firstLine="642" w:firstLineChars="200"/>
        <w:rPr>
          <w:rFonts w:ascii="仿宋_GB2312" w:hAnsi="仿宋" w:eastAsia="仿宋_GB2312" w:cs="Calibri"/>
          <w:sz w:val="32"/>
          <w:szCs w:val="32"/>
        </w:rPr>
      </w:pPr>
      <w:r>
        <w:rPr>
          <w:rFonts w:hint="eastAsia" w:ascii="仿宋_GB2312" w:hAnsi="仿宋" w:eastAsia="仿宋_GB2312" w:cs="Calibri"/>
          <w:b/>
          <w:sz w:val="32"/>
          <w:szCs w:val="32"/>
        </w:rPr>
        <w:t>氢燃料</w:t>
      </w:r>
      <w:r>
        <w:rPr>
          <w:rFonts w:ascii="仿宋_GB2312" w:hAnsi="仿宋" w:eastAsia="仿宋_GB2312" w:cs="Calibri"/>
          <w:b/>
          <w:sz w:val="32"/>
          <w:szCs w:val="32"/>
        </w:rPr>
        <w:t>电池关键材料</w:t>
      </w:r>
      <w:r>
        <w:rPr>
          <w:rFonts w:hint="eastAsia" w:ascii="仿宋_GB2312" w:hAnsi="仿宋" w:eastAsia="仿宋_GB2312" w:cs="Calibri"/>
          <w:b/>
          <w:sz w:val="32"/>
          <w:szCs w:val="32"/>
        </w:rPr>
        <w:t>。</w:t>
      </w:r>
      <w:r>
        <w:rPr>
          <w:rFonts w:hint="eastAsia" w:ascii="仿宋_GB2312" w:hAnsi="仿宋" w:eastAsia="仿宋_GB2312" w:cs="Calibri"/>
          <w:sz w:val="32"/>
          <w:szCs w:val="32"/>
        </w:rPr>
        <w:t>开展</w:t>
      </w:r>
      <w:r>
        <w:rPr>
          <w:rFonts w:ascii="仿宋_GB2312" w:hAnsi="仿宋" w:eastAsia="仿宋_GB2312" w:cs="Calibri"/>
          <w:sz w:val="32"/>
          <w:szCs w:val="32"/>
        </w:rPr>
        <w:t>高容量储氢材料</w:t>
      </w:r>
      <w:r>
        <w:rPr>
          <w:rFonts w:hint="eastAsia" w:ascii="仿宋_GB2312" w:hAnsi="仿宋" w:eastAsia="仿宋_GB2312" w:cs="Calibri"/>
          <w:sz w:val="32"/>
          <w:szCs w:val="32"/>
        </w:rPr>
        <w:t>、</w:t>
      </w:r>
      <w:r>
        <w:rPr>
          <w:rFonts w:ascii="仿宋_GB2312" w:hAnsi="仿宋" w:eastAsia="仿宋_GB2312" w:cs="Calibri"/>
          <w:sz w:val="32"/>
          <w:szCs w:val="32"/>
        </w:rPr>
        <w:t>质子交换膜</w:t>
      </w:r>
      <w:r>
        <w:rPr>
          <w:rFonts w:hint="eastAsia" w:ascii="仿宋_GB2312" w:hAnsi="仿宋" w:eastAsia="仿宋_GB2312" w:cs="Calibri"/>
          <w:sz w:val="32"/>
          <w:szCs w:val="32"/>
        </w:rPr>
        <w:t>材料、催化剂</w:t>
      </w:r>
      <w:r>
        <w:rPr>
          <w:rFonts w:ascii="仿宋_GB2312" w:hAnsi="仿宋" w:eastAsia="仿宋_GB2312" w:cs="Calibri"/>
          <w:sz w:val="32"/>
          <w:szCs w:val="32"/>
        </w:rPr>
        <w:t>、气体扩散层和双极板等材料的基础研究，</w:t>
      </w:r>
      <w:r>
        <w:rPr>
          <w:rFonts w:hint="eastAsia" w:ascii="仿宋_GB2312" w:hAnsi="仿宋" w:eastAsia="仿宋_GB2312" w:cs="Calibri"/>
          <w:sz w:val="32"/>
          <w:szCs w:val="32"/>
        </w:rPr>
        <w:t>加速</w:t>
      </w:r>
      <w:r>
        <w:rPr>
          <w:rFonts w:ascii="仿宋_GB2312" w:hAnsi="仿宋" w:eastAsia="仿宋_GB2312" w:cs="Calibri"/>
          <w:sz w:val="32"/>
          <w:szCs w:val="32"/>
        </w:rPr>
        <w:t>储氢材料自主化配套进程。</w:t>
      </w:r>
    </w:p>
    <w:p>
      <w:pPr>
        <w:spacing w:line="560" w:lineRule="exact"/>
        <w:ind w:firstLine="642" w:firstLineChars="200"/>
        <w:rPr>
          <w:rFonts w:ascii="仿宋_GB2312" w:hAnsi="仿宋" w:eastAsia="仿宋_GB2312" w:cs="Calibri"/>
          <w:sz w:val="32"/>
          <w:szCs w:val="32"/>
        </w:rPr>
      </w:pPr>
      <w:r>
        <w:rPr>
          <w:rFonts w:hint="eastAsia" w:ascii="仿宋_GB2312" w:hAnsi="仿宋" w:eastAsia="仿宋_GB2312" w:cs="Calibri"/>
          <w:b/>
          <w:sz w:val="32"/>
          <w:szCs w:val="32"/>
        </w:rPr>
        <w:t>节能环保</w:t>
      </w:r>
      <w:r>
        <w:rPr>
          <w:rFonts w:ascii="仿宋_GB2312" w:hAnsi="仿宋" w:eastAsia="仿宋_GB2312" w:cs="Calibri"/>
          <w:b/>
          <w:sz w:val="32"/>
          <w:szCs w:val="32"/>
        </w:rPr>
        <w:t>材料。</w:t>
      </w:r>
      <w:r>
        <w:rPr>
          <w:rFonts w:hint="eastAsia" w:ascii="仿宋_GB2312" w:hAnsi="仿宋" w:eastAsia="仿宋_GB2312" w:cs="Calibri"/>
          <w:sz w:val="32"/>
          <w:szCs w:val="32"/>
        </w:rPr>
        <w:t>重点</w:t>
      </w:r>
      <w:r>
        <w:rPr>
          <w:rFonts w:ascii="仿宋_GB2312" w:hAnsi="仿宋" w:eastAsia="仿宋_GB2312" w:cs="Calibri"/>
          <w:sz w:val="32"/>
          <w:szCs w:val="32"/>
        </w:rPr>
        <w:t>发展</w:t>
      </w:r>
      <w:r>
        <w:rPr>
          <w:rFonts w:hint="eastAsia" w:ascii="仿宋_GB2312" w:hAnsi="仿宋" w:eastAsia="仿宋_GB2312" w:cs="Calibri"/>
          <w:sz w:val="32"/>
          <w:szCs w:val="32"/>
        </w:rPr>
        <w:t>环保</w:t>
      </w:r>
      <w:r>
        <w:rPr>
          <w:rFonts w:ascii="仿宋_GB2312" w:hAnsi="仿宋" w:eastAsia="仿宋_GB2312" w:cs="Calibri"/>
          <w:sz w:val="32"/>
          <w:szCs w:val="32"/>
        </w:rPr>
        <w:t>包装材料、水基环保涂料、</w:t>
      </w:r>
      <w:r>
        <w:rPr>
          <w:rFonts w:hint="eastAsia" w:ascii="仿宋_GB2312" w:hAnsi="仿宋" w:eastAsia="仿宋_GB2312" w:cs="Calibri"/>
          <w:sz w:val="32"/>
          <w:szCs w:val="32"/>
        </w:rPr>
        <w:t>节能</w:t>
      </w:r>
      <w:r>
        <w:rPr>
          <w:rFonts w:ascii="仿宋_GB2312" w:hAnsi="仿宋" w:eastAsia="仿宋_GB2312" w:cs="Calibri"/>
          <w:sz w:val="32"/>
          <w:szCs w:val="32"/>
        </w:rPr>
        <w:t>环保建筑材料、</w:t>
      </w:r>
      <w:r>
        <w:rPr>
          <w:rFonts w:hint="eastAsia" w:ascii="仿宋_GB2312" w:hAnsi="仿宋" w:eastAsia="仿宋_GB2312" w:cs="Calibri"/>
          <w:sz w:val="32"/>
          <w:szCs w:val="32"/>
        </w:rPr>
        <w:t>废弃</w:t>
      </w:r>
      <w:r>
        <w:rPr>
          <w:rFonts w:ascii="仿宋_GB2312" w:hAnsi="仿宋" w:eastAsia="仿宋_GB2312" w:cs="Calibri"/>
          <w:sz w:val="32"/>
          <w:szCs w:val="32"/>
        </w:rPr>
        <w:t>物回收再利用建材、</w:t>
      </w:r>
      <w:r>
        <w:rPr>
          <w:rFonts w:hint="eastAsia" w:ascii="仿宋_GB2312" w:hAnsi="仿宋" w:eastAsia="仿宋_GB2312" w:cs="Calibri"/>
          <w:sz w:val="32"/>
          <w:szCs w:val="32"/>
        </w:rPr>
        <w:t>生物基</w:t>
      </w:r>
      <w:r>
        <w:rPr>
          <w:rFonts w:ascii="仿宋_GB2312" w:hAnsi="仿宋" w:eastAsia="仿宋_GB2312" w:cs="Calibri"/>
          <w:sz w:val="32"/>
          <w:szCs w:val="32"/>
        </w:rPr>
        <w:t>可降解塑料制品等环保材料。</w:t>
      </w:r>
    </w:p>
    <w:p>
      <w:pPr>
        <w:spacing w:line="560" w:lineRule="exact"/>
        <w:ind w:firstLine="642" w:firstLineChars="200"/>
        <w:outlineLvl w:val="2"/>
        <w:rPr>
          <w:rFonts w:ascii="仿宋_GB2312" w:hAnsi="仿宋" w:eastAsia="仿宋_GB2312" w:cs="Calibri"/>
          <w:b/>
          <w:sz w:val="32"/>
          <w:szCs w:val="32"/>
        </w:rPr>
      </w:pPr>
      <w:bookmarkStart w:id="42" w:name="_Toc3583594"/>
      <w:r>
        <w:rPr>
          <w:rFonts w:ascii="仿宋_GB2312" w:hAnsi="仿宋" w:eastAsia="仿宋_GB2312" w:cs="Calibri"/>
          <w:b/>
          <w:sz w:val="32"/>
          <w:szCs w:val="32"/>
        </w:rPr>
        <w:t>3</w:t>
      </w:r>
      <w:r>
        <w:rPr>
          <w:rFonts w:hint="eastAsia" w:ascii="仿宋_GB2312" w:hAnsi="仿宋" w:eastAsia="仿宋_GB2312" w:cs="Calibri"/>
          <w:b/>
          <w:sz w:val="32"/>
          <w:szCs w:val="32"/>
        </w:rPr>
        <w:t>.</w:t>
      </w:r>
      <w:r>
        <w:rPr>
          <w:rFonts w:ascii="仿宋_GB2312" w:hAnsi="仿宋" w:eastAsia="仿宋_GB2312" w:cs="Calibri"/>
          <w:b/>
          <w:sz w:val="32"/>
          <w:szCs w:val="32"/>
        </w:rPr>
        <w:t>前沿材料</w:t>
      </w:r>
      <w:bookmarkEnd w:id="42"/>
    </w:p>
    <w:p>
      <w:pPr>
        <w:spacing w:line="560" w:lineRule="exact"/>
        <w:ind w:firstLine="642" w:firstLineChars="200"/>
        <w:rPr>
          <w:rFonts w:ascii="仿宋_GB2312" w:hAnsi="仿宋" w:eastAsia="仿宋_GB2312" w:cs="Calibri"/>
          <w:sz w:val="32"/>
          <w:szCs w:val="32"/>
        </w:rPr>
      </w:pPr>
      <w:r>
        <w:rPr>
          <w:rFonts w:hint="eastAsia" w:ascii="仿宋_GB2312" w:hAnsi="仿宋" w:eastAsia="仿宋_GB2312" w:cs="Calibri"/>
          <w:b/>
          <w:sz w:val="32"/>
          <w:szCs w:val="32"/>
        </w:rPr>
        <w:t>石墨烯</w:t>
      </w:r>
      <w:r>
        <w:rPr>
          <w:rFonts w:ascii="仿宋_GB2312" w:hAnsi="仿宋" w:eastAsia="仿宋_GB2312" w:cs="Calibri"/>
          <w:b/>
          <w:sz w:val="32"/>
          <w:szCs w:val="32"/>
        </w:rPr>
        <w:t>等二维材料。</w:t>
      </w:r>
      <w:r>
        <w:rPr>
          <w:rFonts w:ascii="仿宋_GB2312" w:hAnsi="仿宋" w:eastAsia="仿宋_GB2312" w:cs="Calibri"/>
          <w:sz w:val="32"/>
          <w:szCs w:val="32"/>
        </w:rPr>
        <w:t>突破</w:t>
      </w:r>
      <w:r>
        <w:rPr>
          <w:rFonts w:hint="eastAsia" w:ascii="仿宋_GB2312" w:hAnsi="仿宋" w:eastAsia="仿宋_GB2312" w:cs="Calibri"/>
          <w:sz w:val="32"/>
          <w:szCs w:val="32"/>
        </w:rPr>
        <w:t>石墨烯</w:t>
      </w:r>
      <w:r>
        <w:rPr>
          <w:rFonts w:ascii="仿宋_GB2312" w:hAnsi="仿宋" w:eastAsia="仿宋_GB2312" w:cs="Calibri"/>
          <w:sz w:val="32"/>
          <w:szCs w:val="32"/>
        </w:rPr>
        <w:t>材料规模化制备和微纳结构测量表征等关键共性技术，实现对石墨烯层数、尺寸等关键参数的有效控制</w:t>
      </w:r>
      <w:r>
        <w:rPr>
          <w:rFonts w:hint="eastAsia" w:ascii="仿宋_GB2312" w:hAnsi="仿宋" w:eastAsia="仿宋_GB2312" w:cs="Calibri"/>
          <w:sz w:val="32"/>
          <w:szCs w:val="32"/>
        </w:rPr>
        <w:t>，推动石墨烯在储能</w:t>
      </w:r>
      <w:r>
        <w:rPr>
          <w:rFonts w:ascii="仿宋_GB2312" w:hAnsi="仿宋" w:eastAsia="仿宋_GB2312" w:cs="Calibri"/>
          <w:sz w:val="32"/>
          <w:szCs w:val="32"/>
        </w:rPr>
        <w:t>器件</w:t>
      </w:r>
      <w:r>
        <w:rPr>
          <w:rFonts w:hint="eastAsia" w:ascii="仿宋_GB2312" w:hAnsi="仿宋" w:eastAsia="仿宋_GB2312" w:cs="Calibri"/>
          <w:sz w:val="32"/>
          <w:szCs w:val="32"/>
        </w:rPr>
        <w:t>、</w:t>
      </w:r>
      <w:r>
        <w:rPr>
          <w:rFonts w:ascii="仿宋_GB2312" w:hAnsi="仿宋" w:eastAsia="仿宋_GB2312" w:cs="Calibri"/>
          <w:sz w:val="32"/>
          <w:szCs w:val="32"/>
        </w:rPr>
        <w:t>功能涂料</w:t>
      </w:r>
      <w:r>
        <w:rPr>
          <w:rFonts w:hint="eastAsia" w:ascii="仿宋_GB2312" w:hAnsi="仿宋" w:eastAsia="仿宋_GB2312" w:cs="Calibri"/>
          <w:sz w:val="32"/>
          <w:szCs w:val="32"/>
        </w:rPr>
        <w:t>、柔性传感材料</w:t>
      </w:r>
      <w:r>
        <w:rPr>
          <w:rFonts w:ascii="仿宋_GB2312" w:hAnsi="仿宋" w:eastAsia="仿宋_GB2312" w:cs="Calibri"/>
          <w:sz w:val="32"/>
          <w:szCs w:val="32"/>
        </w:rPr>
        <w:t>、触控器件</w:t>
      </w:r>
      <w:r>
        <w:rPr>
          <w:rFonts w:hint="eastAsia" w:ascii="仿宋_GB2312" w:hAnsi="仿宋" w:eastAsia="仿宋_GB2312" w:cs="Calibri"/>
          <w:sz w:val="32"/>
          <w:szCs w:val="32"/>
        </w:rPr>
        <w:t>、</w:t>
      </w:r>
      <w:r>
        <w:rPr>
          <w:rFonts w:ascii="仿宋_GB2312" w:hAnsi="仿宋" w:eastAsia="仿宋_GB2312" w:cs="Calibri"/>
          <w:sz w:val="32"/>
          <w:szCs w:val="32"/>
        </w:rPr>
        <w:t>电子元器件等</w:t>
      </w:r>
      <w:r>
        <w:rPr>
          <w:rFonts w:hint="eastAsia" w:ascii="仿宋_GB2312" w:hAnsi="仿宋" w:eastAsia="仿宋_GB2312" w:cs="Calibri"/>
          <w:sz w:val="32"/>
          <w:szCs w:val="32"/>
        </w:rPr>
        <w:t>领域</w:t>
      </w:r>
      <w:r>
        <w:rPr>
          <w:rFonts w:ascii="仿宋_GB2312" w:hAnsi="仿宋" w:eastAsia="仿宋_GB2312" w:cs="Calibri"/>
          <w:sz w:val="32"/>
          <w:szCs w:val="32"/>
        </w:rPr>
        <w:t>的应用。</w:t>
      </w:r>
    </w:p>
    <w:p>
      <w:pPr>
        <w:spacing w:line="560" w:lineRule="exact"/>
        <w:ind w:firstLine="642" w:firstLineChars="200"/>
        <w:rPr>
          <w:rFonts w:ascii="仿宋_GB2312" w:hAnsi="仿宋_GB2312" w:eastAsia="仿宋_GB2312" w:cs="仿宋_GB2312"/>
          <w:color w:val="000000"/>
          <w:sz w:val="32"/>
          <w:szCs w:val="32"/>
        </w:rPr>
      </w:pPr>
      <w:r>
        <w:rPr>
          <w:rFonts w:ascii="仿宋_GB2312" w:hAnsi="仿宋" w:eastAsia="仿宋_GB2312" w:cs="Calibri"/>
          <w:b/>
          <w:sz w:val="32"/>
          <w:szCs w:val="32"/>
        </w:rPr>
        <w:t>3D</w:t>
      </w:r>
      <w:r>
        <w:rPr>
          <w:rFonts w:hint="eastAsia" w:ascii="仿宋_GB2312" w:hAnsi="仿宋" w:eastAsia="仿宋_GB2312" w:cs="Calibri"/>
          <w:b/>
          <w:sz w:val="32"/>
          <w:szCs w:val="32"/>
        </w:rPr>
        <w:t>打印</w:t>
      </w:r>
      <w:r>
        <w:rPr>
          <w:rFonts w:ascii="仿宋_GB2312" w:hAnsi="仿宋" w:eastAsia="仿宋_GB2312" w:cs="Calibri"/>
          <w:b/>
          <w:sz w:val="32"/>
          <w:szCs w:val="32"/>
        </w:rPr>
        <w:t>材料。</w:t>
      </w:r>
      <w:r>
        <w:rPr>
          <w:rFonts w:hint="eastAsia" w:ascii="仿宋_GB2312" w:hAnsi="仿宋" w:eastAsia="仿宋_GB2312" w:cs="Calibri"/>
          <w:sz w:val="32"/>
          <w:szCs w:val="32"/>
        </w:rPr>
        <w:t>重点</w:t>
      </w:r>
      <w:r>
        <w:rPr>
          <w:rFonts w:ascii="仿宋_GB2312" w:hAnsi="仿宋" w:eastAsia="仿宋_GB2312" w:cs="Calibri"/>
          <w:sz w:val="32"/>
          <w:szCs w:val="32"/>
        </w:rPr>
        <w:t>开发高品质</w:t>
      </w:r>
      <w:r>
        <w:rPr>
          <w:rFonts w:hint="eastAsia" w:ascii="仿宋_GB2312" w:hAnsi="仿宋" w:eastAsia="仿宋_GB2312" w:cs="Calibri"/>
          <w:sz w:val="32"/>
          <w:szCs w:val="32"/>
        </w:rPr>
        <w:t>钛合金</w:t>
      </w:r>
      <w:r>
        <w:rPr>
          <w:rFonts w:ascii="仿宋_GB2312" w:hAnsi="仿宋" w:eastAsia="仿宋_GB2312" w:cs="Calibri"/>
          <w:sz w:val="32"/>
          <w:szCs w:val="32"/>
        </w:rPr>
        <w:t>、高温合金、铝合金等金属基</w:t>
      </w:r>
      <w:r>
        <w:rPr>
          <w:rFonts w:hint="eastAsia" w:ascii="仿宋_GB2312" w:hAnsi="仿宋" w:eastAsia="仿宋_GB2312" w:cs="Calibri"/>
          <w:sz w:val="32"/>
          <w:szCs w:val="32"/>
        </w:rPr>
        <w:t>3D打印</w:t>
      </w:r>
      <w:r>
        <w:rPr>
          <w:rFonts w:ascii="仿宋_GB2312" w:hAnsi="仿宋" w:eastAsia="仿宋_GB2312" w:cs="Calibri"/>
          <w:sz w:val="32"/>
          <w:szCs w:val="32"/>
        </w:rPr>
        <w:t>材料。突破</w:t>
      </w:r>
      <w:r>
        <w:rPr>
          <w:rFonts w:hint="eastAsia" w:ascii="仿宋_GB2312" w:hAnsi="仿宋" w:eastAsia="仿宋_GB2312" w:cs="Calibri"/>
          <w:sz w:val="32"/>
          <w:szCs w:val="32"/>
        </w:rPr>
        <w:t>超高</w:t>
      </w:r>
      <w:r>
        <w:rPr>
          <w:rFonts w:ascii="仿宋_GB2312" w:hAnsi="仿宋" w:eastAsia="仿宋_GB2312" w:cs="Calibri"/>
          <w:sz w:val="32"/>
          <w:szCs w:val="32"/>
        </w:rPr>
        <w:t>分子量聚合物材料体系</w:t>
      </w:r>
      <w:r>
        <w:rPr>
          <w:rFonts w:hint="eastAsia" w:ascii="仿宋_GB2312" w:hAnsi="仿宋" w:eastAsia="仿宋_GB2312" w:cs="Calibri"/>
          <w:sz w:val="32"/>
          <w:szCs w:val="32"/>
        </w:rPr>
        <w:t>核心</w:t>
      </w:r>
      <w:r>
        <w:rPr>
          <w:rFonts w:ascii="仿宋_GB2312" w:hAnsi="仿宋" w:eastAsia="仿宋_GB2312" w:cs="Calibri"/>
          <w:sz w:val="32"/>
          <w:szCs w:val="32"/>
        </w:rPr>
        <w:t>技术，开发</w:t>
      </w:r>
      <w:r>
        <w:rPr>
          <w:rFonts w:hint="eastAsia" w:ascii="仿宋_GB2312" w:hAnsi="仿宋" w:eastAsia="仿宋_GB2312" w:cs="Calibri"/>
          <w:sz w:val="32"/>
          <w:szCs w:val="32"/>
        </w:rPr>
        <w:t>3D打印</w:t>
      </w:r>
      <w:r>
        <w:rPr>
          <w:rFonts w:ascii="仿宋_GB2312" w:hAnsi="仿宋" w:eastAsia="仿宋_GB2312" w:cs="Calibri"/>
          <w:sz w:val="32"/>
          <w:szCs w:val="32"/>
        </w:rPr>
        <w:t>专用</w:t>
      </w:r>
      <w:r>
        <w:rPr>
          <w:rFonts w:hint="eastAsia" w:ascii="仿宋_GB2312" w:hAnsi="仿宋" w:eastAsia="仿宋_GB2312" w:cs="Calibri"/>
          <w:sz w:val="32"/>
          <w:szCs w:val="32"/>
        </w:rPr>
        <w:t>光敏</w:t>
      </w:r>
      <w:r>
        <w:rPr>
          <w:rFonts w:ascii="仿宋_GB2312" w:hAnsi="仿宋" w:eastAsia="仿宋_GB2312" w:cs="Calibri"/>
          <w:sz w:val="32"/>
          <w:szCs w:val="32"/>
        </w:rPr>
        <w:t>树脂和工程塑料粉末，推进氧化铝、碳化硅等</w:t>
      </w:r>
      <w:r>
        <w:rPr>
          <w:rFonts w:hint="eastAsia" w:ascii="仿宋_GB2312" w:hAnsi="仿宋" w:eastAsia="仿宋_GB2312" w:cs="Calibri"/>
          <w:sz w:val="32"/>
          <w:szCs w:val="32"/>
        </w:rPr>
        <w:t>3D打印</w:t>
      </w:r>
      <w:r>
        <w:rPr>
          <w:rFonts w:ascii="仿宋_GB2312" w:hAnsi="仿宋" w:eastAsia="仿宋_GB2312" w:cs="Calibri"/>
          <w:sz w:val="32"/>
          <w:szCs w:val="32"/>
        </w:rPr>
        <w:t>材料及配套设备的开发应用，形成较为成熟的</w:t>
      </w:r>
      <w:r>
        <w:rPr>
          <w:rFonts w:hint="eastAsia" w:ascii="仿宋_GB2312" w:hAnsi="仿宋" w:eastAsia="仿宋_GB2312" w:cs="Calibri"/>
          <w:sz w:val="32"/>
          <w:szCs w:val="32"/>
        </w:rPr>
        <w:t>3D打印</w:t>
      </w:r>
      <w:r>
        <w:rPr>
          <w:rFonts w:ascii="仿宋_GB2312" w:hAnsi="仿宋" w:eastAsia="仿宋_GB2312" w:cs="Calibri"/>
          <w:sz w:val="32"/>
          <w:szCs w:val="32"/>
        </w:rPr>
        <w:t>材料体系。</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7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2"/>
          </w:tcPr>
          <w:p>
            <w:pPr>
              <w:spacing w:line="560" w:lineRule="exact"/>
              <w:jc w:val="center"/>
              <w:rPr>
                <w:rFonts w:ascii="黑体" w:hAnsi="黑体" w:eastAsia="黑体" w:cs="Times New Roman"/>
                <w:kern w:val="0"/>
                <w:sz w:val="32"/>
                <w:szCs w:val="32"/>
              </w:rPr>
            </w:pPr>
            <w:r>
              <w:rPr>
                <w:rFonts w:ascii="黑体" w:hAnsi="黑体" w:eastAsia="黑体" w:cs="Times New Roman"/>
                <w:kern w:val="0"/>
                <w:sz w:val="28"/>
                <w:szCs w:val="32"/>
              </w:rPr>
              <w:t>专栏2  新材料产业发展路线图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line="276" w:lineRule="auto"/>
              <w:jc w:val="center"/>
              <w:rPr>
                <w:rFonts w:ascii="仿宋_GB2312" w:hAnsi="Times New Roman" w:eastAsia="仿宋_GB2312" w:cs="Times New Roman"/>
                <w:b/>
                <w:kern w:val="0"/>
                <w:sz w:val="24"/>
                <w:szCs w:val="24"/>
              </w:rPr>
            </w:pPr>
            <w:r>
              <w:rPr>
                <w:rFonts w:hint="eastAsia" w:ascii="仿宋_GB2312" w:hAnsi="Times New Roman" w:eastAsia="仿宋_GB2312" w:cs="Times New Roman"/>
                <w:b/>
                <w:kern w:val="0"/>
                <w:sz w:val="24"/>
                <w:szCs w:val="24"/>
              </w:rPr>
              <w:t>重点领域</w:t>
            </w:r>
          </w:p>
        </w:tc>
        <w:tc>
          <w:tcPr>
            <w:tcW w:w="7025" w:type="dxa"/>
          </w:tcPr>
          <w:p>
            <w:pPr>
              <w:spacing w:line="276" w:lineRule="auto"/>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新型显示</w:t>
            </w:r>
            <w:r>
              <w:rPr>
                <w:rFonts w:ascii="仿宋_GB2312" w:hAnsi="Times New Roman" w:eastAsia="仿宋_GB2312" w:cs="Times New Roman"/>
                <w:kern w:val="0"/>
                <w:sz w:val="24"/>
                <w:szCs w:val="24"/>
              </w:rPr>
              <w:t>材料、</w:t>
            </w:r>
            <w:r>
              <w:rPr>
                <w:rFonts w:hint="eastAsia" w:ascii="仿宋_GB2312" w:hAnsi="Times New Roman" w:eastAsia="仿宋_GB2312" w:cs="Times New Roman"/>
                <w:kern w:val="0"/>
                <w:sz w:val="24"/>
                <w:szCs w:val="24"/>
              </w:rPr>
              <w:t>锂离子电池关键材料、合金材料、碳纤维复合材料、第三代半导体材料、氢燃料电池关键材料、节能环保材料、石墨烯等二维材料、3</w:t>
            </w:r>
            <w:r>
              <w:rPr>
                <w:rFonts w:ascii="仿宋_GB2312" w:hAnsi="Times New Roman" w:eastAsia="仿宋_GB2312" w:cs="Times New Roman"/>
                <w:kern w:val="0"/>
                <w:sz w:val="24"/>
                <w:szCs w:val="24"/>
              </w:rPr>
              <w:t>D打印材料</w:t>
            </w:r>
            <w:r>
              <w:rPr>
                <w:rFonts w:hint="eastAsia" w:ascii="仿宋_GB2312" w:hAnsi="Times New Roman" w:eastAsia="仿宋_GB2312" w:cs="Times New Roman"/>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line="276" w:lineRule="auto"/>
              <w:jc w:val="center"/>
              <w:rPr>
                <w:rFonts w:ascii="仿宋_GB2312" w:hAnsi="Times New Roman" w:eastAsia="仿宋_GB2312" w:cs="Times New Roman"/>
                <w:b/>
                <w:kern w:val="0"/>
                <w:sz w:val="24"/>
                <w:szCs w:val="24"/>
              </w:rPr>
            </w:pPr>
            <w:r>
              <w:rPr>
                <w:rFonts w:ascii="仿宋_GB2312" w:hAnsi="Times New Roman" w:eastAsia="仿宋_GB2312" w:cs="Times New Roman"/>
                <w:b/>
                <w:kern w:val="0"/>
                <w:sz w:val="24"/>
                <w:szCs w:val="24"/>
              </w:rPr>
              <w:t>重点任务</w:t>
            </w:r>
          </w:p>
        </w:tc>
        <w:tc>
          <w:tcPr>
            <w:tcW w:w="7025" w:type="dxa"/>
          </w:tcPr>
          <w:p>
            <w:pPr>
              <w:pStyle w:val="30"/>
              <w:numPr>
                <w:ilvl w:val="0"/>
                <w:numId w:val="3"/>
              </w:numPr>
              <w:spacing w:line="276" w:lineRule="auto"/>
              <w:ind w:firstLineChars="0"/>
              <w:rPr>
                <w:rFonts w:ascii="仿宋_GB2312" w:hAnsi="Times New Roman" w:eastAsia="仿宋_GB2312" w:cs="Times New Roman"/>
                <w:b/>
                <w:kern w:val="0"/>
                <w:sz w:val="24"/>
                <w:szCs w:val="24"/>
              </w:rPr>
            </w:pPr>
            <w:r>
              <w:rPr>
                <w:rFonts w:hint="eastAsia" w:ascii="仿宋_GB2312" w:hAnsi="Times New Roman" w:eastAsia="仿宋_GB2312" w:cs="Times New Roman"/>
                <w:b/>
                <w:kern w:val="0"/>
                <w:sz w:val="24"/>
                <w:szCs w:val="24"/>
              </w:rPr>
              <w:t>打造全国新材料创新应用示范基地</w:t>
            </w:r>
          </w:p>
          <w:p>
            <w:pPr>
              <w:pStyle w:val="30"/>
              <w:spacing w:line="276" w:lineRule="auto"/>
              <w:ind w:firstLine="0" w:firstLineChars="0"/>
              <w:rPr>
                <w:rFonts w:ascii="仿宋_GB2312" w:hAnsi="Times New Roman" w:eastAsia="仿宋_GB2312" w:cs="Times New Roman"/>
                <w:kern w:val="0"/>
                <w:sz w:val="24"/>
                <w:szCs w:val="24"/>
              </w:rPr>
            </w:pPr>
            <w:r>
              <w:rPr>
                <w:rFonts w:ascii="仿宋_GB2312" w:hAnsi="Times New Roman" w:eastAsia="仿宋_GB2312" w:cs="Times New Roman"/>
                <w:b/>
                <w:kern w:val="0"/>
                <w:sz w:val="24"/>
                <w:szCs w:val="24"/>
              </w:rPr>
              <w:t>1.</w:t>
            </w:r>
            <w:r>
              <w:rPr>
                <w:rFonts w:hint="eastAsia" w:ascii="仿宋_GB2312" w:hAnsi="Times New Roman" w:eastAsia="仿宋_GB2312" w:cs="Times New Roman"/>
                <w:b/>
                <w:kern w:val="0"/>
                <w:sz w:val="24"/>
                <w:szCs w:val="24"/>
              </w:rPr>
              <w:t>建设新材料测试评价平台。</w:t>
            </w:r>
            <w:r>
              <w:rPr>
                <w:rFonts w:hint="eastAsia" w:ascii="仿宋_GB2312" w:hAnsi="Times New Roman" w:eastAsia="仿宋_GB2312" w:cs="Times New Roman"/>
                <w:kern w:val="0"/>
                <w:sz w:val="24"/>
                <w:szCs w:val="24"/>
              </w:rPr>
              <w:t>依托重大科技基础设施、新材料企业，围绕重点发展领域，搭建新材料测试评价平台，制定数据采集和共享机制，建立新材料产品测试评价标准体系，开展新材料服役条件模拟测试、考核实验设施。</w:t>
            </w:r>
          </w:p>
          <w:p>
            <w:pPr>
              <w:pStyle w:val="30"/>
              <w:spacing w:line="276" w:lineRule="auto"/>
              <w:ind w:firstLine="0" w:firstLineChars="0"/>
              <w:rPr>
                <w:rFonts w:ascii="仿宋_GB2312" w:hAnsi="Times New Roman" w:eastAsia="仿宋_GB2312" w:cs="Times New Roman"/>
                <w:kern w:val="0"/>
                <w:sz w:val="24"/>
                <w:szCs w:val="24"/>
              </w:rPr>
            </w:pPr>
            <w:r>
              <w:rPr>
                <w:rFonts w:hint="eastAsia" w:ascii="仿宋_GB2312" w:hAnsi="Times New Roman" w:eastAsia="仿宋_GB2312" w:cs="Times New Roman"/>
                <w:b/>
                <w:kern w:val="0"/>
                <w:sz w:val="24"/>
                <w:szCs w:val="24"/>
              </w:rPr>
              <w:t>2</w:t>
            </w:r>
            <w:r>
              <w:rPr>
                <w:rFonts w:ascii="仿宋_GB2312" w:hAnsi="Times New Roman" w:eastAsia="仿宋_GB2312" w:cs="Times New Roman"/>
                <w:b/>
                <w:kern w:val="0"/>
                <w:sz w:val="24"/>
                <w:szCs w:val="24"/>
              </w:rPr>
              <w:t>.</w:t>
            </w:r>
            <w:r>
              <w:rPr>
                <w:rFonts w:hint="eastAsia" w:ascii="仿宋_GB2312" w:hAnsi="Times New Roman" w:eastAsia="仿宋_GB2312" w:cs="Times New Roman"/>
                <w:b/>
                <w:kern w:val="0"/>
                <w:sz w:val="24"/>
                <w:szCs w:val="24"/>
              </w:rPr>
              <w:t>建设新材料技术</w:t>
            </w:r>
            <w:r>
              <w:rPr>
                <w:rFonts w:ascii="仿宋_GB2312" w:hAnsi="Times New Roman" w:eastAsia="仿宋_GB2312" w:cs="Times New Roman"/>
                <w:b/>
                <w:kern w:val="0"/>
                <w:sz w:val="24"/>
                <w:szCs w:val="24"/>
              </w:rPr>
              <w:t>成果转化</w:t>
            </w:r>
            <w:r>
              <w:rPr>
                <w:rFonts w:hint="eastAsia" w:ascii="仿宋_GB2312" w:hAnsi="Times New Roman" w:eastAsia="仿宋_GB2312" w:cs="Times New Roman"/>
                <w:b/>
                <w:kern w:val="0"/>
                <w:sz w:val="24"/>
                <w:szCs w:val="24"/>
              </w:rPr>
              <w:t>平台</w:t>
            </w:r>
            <w:r>
              <w:rPr>
                <w:rFonts w:ascii="仿宋_GB2312" w:hAnsi="Times New Roman" w:eastAsia="仿宋_GB2312" w:cs="Times New Roman"/>
                <w:b/>
                <w:kern w:val="0"/>
                <w:sz w:val="24"/>
                <w:szCs w:val="24"/>
              </w:rPr>
              <w:t>。</w:t>
            </w:r>
            <w:r>
              <w:rPr>
                <w:rFonts w:hint="eastAsia" w:ascii="仿宋_GB2312" w:hAnsi="Times New Roman" w:eastAsia="仿宋_GB2312" w:cs="Times New Roman"/>
                <w:kern w:val="0"/>
                <w:sz w:val="24"/>
                <w:szCs w:val="24"/>
              </w:rPr>
              <w:t>针对产业链中</w:t>
            </w:r>
            <w:r>
              <w:rPr>
                <w:rFonts w:ascii="仿宋_GB2312" w:hAnsi="Times New Roman" w:eastAsia="仿宋_GB2312" w:cs="Times New Roman"/>
                <w:kern w:val="0"/>
                <w:sz w:val="24"/>
                <w:szCs w:val="24"/>
              </w:rPr>
              <w:t>的关键环节，</w:t>
            </w:r>
            <w:r>
              <w:rPr>
                <w:rFonts w:hint="eastAsia" w:ascii="仿宋_GB2312" w:hAnsi="Times New Roman" w:eastAsia="仿宋_GB2312" w:cs="Times New Roman"/>
                <w:kern w:val="0"/>
                <w:sz w:val="24"/>
                <w:szCs w:val="24"/>
              </w:rPr>
              <w:t>建设中试平台、检测公共技术服务平台，配套创投机构和科技企业孵化器，打造新材料技术成果转化基地。</w:t>
            </w:r>
          </w:p>
          <w:p>
            <w:pPr>
              <w:spacing w:line="276" w:lineRule="auto"/>
              <w:rPr>
                <w:rFonts w:ascii="仿宋_GB2312" w:hAnsi="Times New Roman" w:eastAsia="仿宋_GB2312" w:cs="Times New Roman"/>
                <w:kern w:val="0"/>
                <w:sz w:val="24"/>
                <w:szCs w:val="24"/>
              </w:rPr>
            </w:pPr>
            <w:r>
              <w:rPr>
                <w:rFonts w:ascii="仿宋_GB2312" w:hAnsi="Times New Roman" w:eastAsia="仿宋_GB2312" w:cs="Times New Roman"/>
                <w:b/>
                <w:kern w:val="0"/>
                <w:sz w:val="24"/>
                <w:szCs w:val="24"/>
              </w:rPr>
              <w:t>3.</w:t>
            </w:r>
            <w:r>
              <w:rPr>
                <w:rFonts w:hint="eastAsia" w:ascii="仿宋_GB2312" w:hAnsi="Times New Roman" w:eastAsia="仿宋_GB2312" w:cs="Times New Roman"/>
                <w:b/>
                <w:kern w:val="0"/>
                <w:sz w:val="24"/>
                <w:szCs w:val="24"/>
              </w:rPr>
              <w:t>推动新材料产品示范应用。</w:t>
            </w:r>
            <w:r>
              <w:rPr>
                <w:rFonts w:hint="eastAsia" w:ascii="仿宋_GB2312" w:hAnsi="Times New Roman" w:eastAsia="仿宋_GB2312" w:cs="Times New Roman"/>
                <w:kern w:val="0"/>
                <w:sz w:val="24"/>
                <w:szCs w:val="24"/>
              </w:rPr>
              <w:t>建立新材料产品首批次应用示范专项补贴，鼓励国产新材料重点领域产品试用；支持区内重点新材料企业及其上下游企业积极合作，开展一批应用示范项目。</w:t>
            </w:r>
          </w:p>
          <w:p>
            <w:pPr>
              <w:spacing w:line="276" w:lineRule="auto"/>
              <w:rPr>
                <w:rFonts w:ascii="仿宋_GB2312" w:hAnsi="Times New Roman" w:eastAsia="仿宋_GB2312" w:cs="Times New Roman"/>
                <w:kern w:val="0"/>
                <w:sz w:val="24"/>
                <w:szCs w:val="24"/>
              </w:rPr>
            </w:pPr>
            <w:r>
              <w:rPr>
                <w:rFonts w:ascii="仿宋_GB2312" w:hAnsi="Times New Roman" w:eastAsia="仿宋_GB2312" w:cs="Times New Roman"/>
                <w:b/>
                <w:kern w:val="0"/>
                <w:sz w:val="24"/>
                <w:szCs w:val="24"/>
              </w:rPr>
              <w:t>4.</w:t>
            </w:r>
            <w:r>
              <w:rPr>
                <w:rFonts w:hint="eastAsia" w:ascii="仿宋_GB2312" w:hAnsi="Times New Roman" w:eastAsia="仿宋_GB2312" w:cs="Times New Roman"/>
                <w:b/>
                <w:kern w:val="0"/>
                <w:sz w:val="24"/>
                <w:szCs w:val="24"/>
              </w:rPr>
              <w:t>开展新材料应用保险补偿机制试点。</w:t>
            </w:r>
            <w:r>
              <w:rPr>
                <w:rFonts w:hint="eastAsia" w:ascii="仿宋_GB2312" w:hAnsi="Times New Roman" w:eastAsia="仿宋_GB2312" w:cs="Times New Roman"/>
                <w:kern w:val="0"/>
                <w:sz w:val="24"/>
                <w:szCs w:val="24"/>
              </w:rPr>
              <w:t>积极</w:t>
            </w:r>
            <w:r>
              <w:rPr>
                <w:rFonts w:ascii="仿宋_GB2312" w:hAnsi="Times New Roman" w:eastAsia="仿宋_GB2312" w:cs="Times New Roman"/>
                <w:kern w:val="0"/>
                <w:sz w:val="24"/>
                <w:szCs w:val="24"/>
              </w:rPr>
              <w:t>争取</w:t>
            </w:r>
            <w:r>
              <w:rPr>
                <w:rFonts w:hint="eastAsia" w:ascii="仿宋_GB2312" w:hAnsi="Times New Roman" w:eastAsia="仿宋_GB2312" w:cs="Times New Roman"/>
                <w:kern w:val="0"/>
                <w:sz w:val="24"/>
                <w:szCs w:val="24"/>
              </w:rPr>
              <w:t>工信部新材料首批次应用保险补偿机制专项工作试点；积极争取国家保险监管部门支持本地保险机构开展试点，支持保险机构设立新材料应用保险。</w:t>
            </w:r>
            <w:r>
              <w:rPr>
                <w:rFonts w:hint="eastAsia" w:ascii="仿宋_GB2312" w:hAnsi="Times New Roman" w:eastAsia="仿宋_GB2312" w:cs="Times New Roman"/>
                <w:b/>
                <w:kern w:val="0"/>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vAlign w:val="center"/>
          </w:tcPr>
          <w:p>
            <w:pPr>
              <w:spacing w:line="276" w:lineRule="auto"/>
              <w:jc w:val="center"/>
              <w:rPr>
                <w:rFonts w:ascii="仿宋_GB2312" w:hAnsi="Times New Roman" w:eastAsia="仿宋_GB2312" w:cs="Times New Roman"/>
                <w:b/>
                <w:kern w:val="0"/>
                <w:sz w:val="24"/>
                <w:szCs w:val="24"/>
              </w:rPr>
            </w:pPr>
            <w:r>
              <w:rPr>
                <w:rFonts w:hint="eastAsia" w:ascii="仿宋_GB2312" w:hAnsi="Times New Roman" w:eastAsia="仿宋_GB2312" w:cs="Times New Roman"/>
                <w:b/>
                <w:kern w:val="0"/>
                <w:sz w:val="24"/>
                <w:szCs w:val="24"/>
              </w:rPr>
              <w:t>发展目标</w:t>
            </w:r>
          </w:p>
        </w:tc>
        <w:tc>
          <w:tcPr>
            <w:tcW w:w="7025" w:type="dxa"/>
          </w:tcPr>
          <w:p>
            <w:pPr>
              <w:spacing w:line="276" w:lineRule="auto"/>
              <w:rPr>
                <w:rFonts w:ascii="仿宋_GB2312" w:hAnsi="Times New Roman" w:eastAsia="仿宋_GB2312" w:cs="Times New Roman"/>
                <w:kern w:val="0"/>
                <w:sz w:val="24"/>
                <w:szCs w:val="24"/>
              </w:rPr>
            </w:pPr>
            <w:r>
              <w:rPr>
                <w:rFonts w:ascii="仿宋_GB2312" w:hAnsi="Times New Roman" w:eastAsia="仿宋_GB2312" w:cs="Times New Roman"/>
                <w:kern w:val="0"/>
                <w:sz w:val="24"/>
                <w:szCs w:val="24"/>
              </w:rPr>
              <w:t>到</w:t>
            </w:r>
            <w:r>
              <w:rPr>
                <w:rFonts w:hint="eastAsia" w:ascii="仿宋_GB2312" w:hAnsi="Times New Roman" w:eastAsia="仿宋_GB2312" w:cs="Times New Roman"/>
                <w:kern w:val="0"/>
                <w:sz w:val="24"/>
                <w:szCs w:val="24"/>
              </w:rPr>
              <w:t>2</w:t>
            </w:r>
            <w:r>
              <w:rPr>
                <w:rFonts w:ascii="仿宋_GB2312" w:hAnsi="Times New Roman" w:eastAsia="仿宋_GB2312" w:cs="Times New Roman"/>
                <w:kern w:val="0"/>
                <w:sz w:val="24"/>
                <w:szCs w:val="24"/>
              </w:rPr>
              <w:t>025年</w:t>
            </w:r>
            <w:r>
              <w:rPr>
                <w:rFonts w:hint="eastAsia" w:ascii="仿宋_GB2312" w:hAnsi="Times New Roman" w:eastAsia="仿宋_GB2312" w:cs="Times New Roman"/>
                <w:kern w:val="0"/>
                <w:sz w:val="24"/>
                <w:szCs w:val="24"/>
              </w:rPr>
              <w:t>产业规模达到</w:t>
            </w:r>
            <w:r>
              <w:rPr>
                <w:rFonts w:ascii="仿宋_GB2312" w:hAnsi="Times New Roman" w:eastAsia="仿宋_GB2312" w:cs="Times New Roman"/>
                <w:kern w:val="0"/>
                <w:sz w:val="24"/>
                <w:szCs w:val="24"/>
              </w:rPr>
              <w:t>800亿元</w:t>
            </w:r>
            <w:r>
              <w:rPr>
                <w:rFonts w:hint="eastAsia" w:ascii="仿宋_GB2312" w:hAnsi="Times New Roman" w:eastAsia="仿宋_GB2312" w:cs="Times New Roman"/>
                <w:kern w:val="0"/>
                <w:sz w:val="24"/>
                <w:szCs w:val="24"/>
              </w:rPr>
              <w:t>；</w:t>
            </w:r>
            <w:r>
              <w:rPr>
                <w:rFonts w:ascii="仿宋_GB2312" w:hAnsi="Times New Roman" w:eastAsia="仿宋_GB2312" w:cs="Times New Roman"/>
                <w:kern w:val="0"/>
                <w:sz w:val="24"/>
                <w:szCs w:val="24"/>
              </w:rPr>
              <w:t>到</w:t>
            </w:r>
            <w:r>
              <w:rPr>
                <w:rFonts w:hint="eastAsia" w:ascii="仿宋_GB2312" w:hAnsi="Times New Roman" w:eastAsia="仿宋_GB2312" w:cs="Times New Roman"/>
                <w:kern w:val="0"/>
                <w:sz w:val="24"/>
                <w:szCs w:val="24"/>
              </w:rPr>
              <w:t>2</w:t>
            </w:r>
            <w:r>
              <w:rPr>
                <w:rFonts w:ascii="仿宋_GB2312" w:hAnsi="Times New Roman" w:eastAsia="仿宋_GB2312" w:cs="Times New Roman"/>
                <w:kern w:val="0"/>
                <w:sz w:val="24"/>
                <w:szCs w:val="24"/>
              </w:rPr>
              <w:t>035年</w:t>
            </w:r>
            <w:r>
              <w:rPr>
                <w:rFonts w:hint="eastAsia" w:ascii="仿宋_GB2312" w:hAnsi="Times New Roman" w:eastAsia="仿宋_GB2312" w:cs="Times New Roman"/>
                <w:kern w:val="0"/>
                <w:sz w:val="24"/>
                <w:szCs w:val="24"/>
              </w:rPr>
              <w:t>产业规模达到</w:t>
            </w:r>
            <w:r>
              <w:rPr>
                <w:rFonts w:ascii="仿宋_GB2312" w:hAnsi="Times New Roman" w:eastAsia="仿宋_GB2312" w:cs="Times New Roman"/>
                <w:kern w:val="0"/>
                <w:sz w:val="24"/>
                <w:szCs w:val="24"/>
              </w:rPr>
              <w:t>18</w:t>
            </w:r>
            <w:r>
              <w:rPr>
                <w:rFonts w:hint="eastAsia" w:ascii="仿宋_GB2312" w:hAnsi="Times New Roman" w:eastAsia="仿宋_GB2312" w:cs="Times New Roman"/>
                <w:kern w:val="0"/>
                <w:sz w:val="24"/>
                <w:szCs w:val="24"/>
              </w:rPr>
              <w:t>00亿元。</w:t>
            </w:r>
          </w:p>
        </w:tc>
      </w:tr>
    </w:tbl>
    <w:p>
      <w:pPr>
        <w:spacing w:beforeLines="50" w:line="560" w:lineRule="exact"/>
        <w:ind w:firstLine="642" w:firstLineChars="200"/>
        <w:outlineLvl w:val="1"/>
        <w:rPr>
          <w:rFonts w:ascii="楷体_GB2312" w:eastAsia="楷体_GB2312"/>
          <w:b/>
          <w:sz w:val="32"/>
          <w:szCs w:val="32"/>
        </w:rPr>
      </w:pPr>
      <w:bookmarkStart w:id="43" w:name="_Toc3583595"/>
      <w:r>
        <w:rPr>
          <w:rFonts w:hint="eastAsia" w:ascii="楷体_GB2312" w:eastAsia="楷体_GB2312"/>
          <w:b/>
          <w:sz w:val="32"/>
          <w:szCs w:val="32"/>
        </w:rPr>
        <w:t>（三）生命</w:t>
      </w:r>
      <w:r>
        <w:rPr>
          <w:rFonts w:ascii="楷体_GB2312" w:eastAsia="楷体_GB2312"/>
          <w:b/>
          <w:sz w:val="32"/>
          <w:szCs w:val="32"/>
        </w:rPr>
        <w:t>科学</w:t>
      </w:r>
      <w:r>
        <w:rPr>
          <w:rFonts w:hint="eastAsia" w:ascii="楷体_GB2312" w:eastAsia="楷体_GB2312"/>
          <w:b/>
          <w:sz w:val="32"/>
          <w:szCs w:val="32"/>
        </w:rPr>
        <w:t>产业</w:t>
      </w:r>
      <w:r>
        <w:rPr>
          <w:rStyle w:val="24"/>
          <w:rFonts w:ascii="楷体_GB2312" w:eastAsia="楷体_GB2312"/>
          <w:b/>
          <w:sz w:val="32"/>
          <w:szCs w:val="32"/>
        </w:rPr>
        <w:footnoteReference w:id="1"/>
      </w:r>
      <w:bookmarkEnd w:id="43"/>
    </w:p>
    <w:p>
      <w:pPr>
        <w:widowControl/>
        <w:spacing w:line="560" w:lineRule="exact"/>
        <w:ind w:firstLine="640" w:firstLineChars="200"/>
        <w:rPr>
          <w:rFonts w:ascii="仿宋_GB2312" w:hAnsi="黑体" w:eastAsia="仿宋_GB2312" w:cs="Times New Roman"/>
          <w:sz w:val="32"/>
          <w:szCs w:val="32"/>
        </w:rPr>
      </w:pPr>
      <w:r>
        <w:rPr>
          <w:rFonts w:hint="eastAsia" w:ascii="仿宋_GB2312" w:hAnsi="黑体" w:eastAsia="仿宋_GB2312" w:cs="Times New Roman"/>
          <w:sz w:val="32"/>
          <w:szCs w:val="32"/>
        </w:rPr>
        <w:t>落实“健康中国</w:t>
      </w:r>
      <w:r>
        <w:rPr>
          <w:rFonts w:ascii="仿宋_GB2312" w:hAnsi="黑体" w:eastAsia="仿宋_GB2312" w:cs="Times New Roman"/>
          <w:sz w:val="32"/>
          <w:szCs w:val="32"/>
        </w:rPr>
        <w:t>2030</w:t>
      </w:r>
      <w:r>
        <w:rPr>
          <w:rFonts w:hint="eastAsia" w:ascii="仿宋_GB2312" w:hAnsi="黑体" w:eastAsia="仿宋_GB2312" w:cs="Times New Roman"/>
          <w:sz w:val="32"/>
          <w:szCs w:val="32"/>
        </w:rPr>
        <w:t>”国家重大战略部署，依托光明区生命科学领域的重大科技基础设施、高校</w:t>
      </w:r>
      <w:r>
        <w:rPr>
          <w:rFonts w:ascii="仿宋_GB2312" w:hAnsi="黑体" w:eastAsia="仿宋_GB2312" w:cs="Times New Roman"/>
          <w:sz w:val="32"/>
          <w:szCs w:val="32"/>
        </w:rPr>
        <w:t>优势学科</w:t>
      </w:r>
      <w:r>
        <w:rPr>
          <w:rFonts w:hint="eastAsia" w:ascii="仿宋_GB2312" w:hAnsi="黑体" w:eastAsia="仿宋_GB2312" w:cs="Times New Roman"/>
          <w:sz w:val="32"/>
          <w:szCs w:val="32"/>
        </w:rPr>
        <w:t>及</w:t>
      </w:r>
      <w:r>
        <w:rPr>
          <w:rFonts w:ascii="仿宋_GB2312" w:hAnsi="黑体" w:eastAsia="仿宋_GB2312" w:cs="Times New Roman"/>
          <w:sz w:val="32"/>
          <w:szCs w:val="32"/>
        </w:rPr>
        <w:t>研究型医院</w:t>
      </w:r>
      <w:r>
        <w:rPr>
          <w:rFonts w:hint="eastAsia" w:ascii="仿宋_GB2312" w:hAnsi="黑体" w:eastAsia="仿宋_GB2312" w:cs="Times New Roman"/>
          <w:sz w:val="32"/>
          <w:szCs w:val="32"/>
        </w:rPr>
        <w:t>，巩固医药领域优势地位，激发生物医学工程发展活力，培育生物医药新兴业态，促进生命科学产业高端创新发展，实现整体国际“并跑”，更多关键技术领域国际“领跑”，打造粤港澳大湾区生命</w:t>
      </w:r>
      <w:r>
        <w:rPr>
          <w:rFonts w:ascii="仿宋_GB2312" w:hAnsi="黑体" w:eastAsia="仿宋_GB2312" w:cs="Times New Roman"/>
          <w:sz w:val="32"/>
          <w:szCs w:val="32"/>
        </w:rPr>
        <w:t>科学产业</w:t>
      </w:r>
      <w:r>
        <w:rPr>
          <w:rFonts w:hint="eastAsia" w:ascii="仿宋_GB2312" w:hAnsi="黑体" w:eastAsia="仿宋_GB2312" w:cs="Times New Roman"/>
          <w:sz w:val="32"/>
          <w:szCs w:val="32"/>
        </w:rPr>
        <w:t>尖端创新策源地。</w:t>
      </w:r>
    </w:p>
    <w:p>
      <w:pPr>
        <w:widowControl/>
        <w:spacing w:line="560" w:lineRule="exact"/>
        <w:ind w:firstLine="642" w:firstLineChars="200"/>
        <w:outlineLvl w:val="2"/>
        <w:rPr>
          <w:rFonts w:ascii="仿宋_GB2312" w:eastAsia="仿宋_GB2312" w:cs="Calibri" w:hAnsiTheme="minorEastAsia"/>
          <w:b/>
          <w:color w:val="000000"/>
          <w:sz w:val="32"/>
          <w:szCs w:val="32"/>
        </w:rPr>
      </w:pPr>
      <w:bookmarkStart w:id="44" w:name="_Toc3583596"/>
      <w:r>
        <w:rPr>
          <w:rFonts w:hint="eastAsia" w:ascii="仿宋_GB2312" w:eastAsia="仿宋_GB2312" w:cs="Calibri" w:hAnsiTheme="minorEastAsia"/>
          <w:b/>
          <w:color w:val="000000"/>
          <w:sz w:val="32"/>
          <w:szCs w:val="32"/>
        </w:rPr>
        <w:t>1</w:t>
      </w:r>
      <w:r>
        <w:rPr>
          <w:rFonts w:ascii="仿宋_GB2312" w:eastAsia="仿宋_GB2312" w:cs="Calibri" w:hAnsiTheme="minorEastAsia"/>
          <w:b/>
          <w:color w:val="000000"/>
          <w:sz w:val="32"/>
          <w:szCs w:val="32"/>
        </w:rPr>
        <w:t>.</w:t>
      </w:r>
      <w:r>
        <w:rPr>
          <w:rFonts w:hint="eastAsia" w:ascii="仿宋_GB2312" w:eastAsia="仿宋_GB2312" w:cs="Calibri" w:hAnsiTheme="minorEastAsia"/>
          <w:b/>
          <w:color w:val="000000"/>
          <w:sz w:val="32"/>
          <w:szCs w:val="32"/>
        </w:rPr>
        <w:t>生物制药</w:t>
      </w:r>
      <w:bookmarkEnd w:id="44"/>
    </w:p>
    <w:p>
      <w:pPr>
        <w:widowControl/>
        <w:spacing w:line="560" w:lineRule="exact"/>
        <w:ind w:firstLine="642" w:firstLineChars="200"/>
        <w:rPr>
          <w:rFonts w:ascii="仿宋_GB2312" w:hAnsi="仿宋" w:eastAsia="仿宋_GB2312" w:cs="Calibri"/>
          <w:sz w:val="32"/>
          <w:szCs w:val="32"/>
        </w:rPr>
      </w:pPr>
      <w:r>
        <w:rPr>
          <w:rFonts w:hint="eastAsia" w:ascii="仿宋_GB2312" w:hAnsi="仿宋" w:eastAsia="仿宋_GB2312" w:cs="Calibri"/>
          <w:b/>
          <w:sz w:val="32"/>
          <w:szCs w:val="32"/>
        </w:rPr>
        <w:t>生物制品</w:t>
      </w:r>
      <w:r>
        <w:rPr>
          <w:rFonts w:hint="eastAsia" w:ascii="仿宋_GB2312" w:hAnsi="仿宋" w:eastAsia="仿宋_GB2312" w:cs="Calibri"/>
          <w:sz w:val="32"/>
          <w:szCs w:val="32"/>
        </w:rPr>
        <w:t>。布局发展治疗性疫苗、重组疫苗等新型疫苗，推进部分免疫规划疫苗的升级换代；巩固提升血液制品优势，在白蛋白、免疫球蛋白、重组蛋白药物等产品的基础上，积极发展凝血因子类、特殊因子类产品。</w:t>
      </w:r>
    </w:p>
    <w:p>
      <w:pPr>
        <w:widowControl/>
        <w:spacing w:line="560" w:lineRule="exact"/>
        <w:ind w:firstLine="642" w:firstLineChars="200"/>
        <w:rPr>
          <w:rFonts w:ascii="仿宋_GB2312" w:hAnsi="仿宋" w:eastAsia="仿宋_GB2312" w:cs="Calibri"/>
          <w:sz w:val="32"/>
          <w:szCs w:val="32"/>
        </w:rPr>
      </w:pPr>
      <w:r>
        <w:rPr>
          <w:rFonts w:hint="eastAsia" w:ascii="仿宋_GB2312" w:hAnsi="仿宋" w:eastAsia="仿宋_GB2312" w:cs="Calibri"/>
          <w:b/>
          <w:sz w:val="32"/>
          <w:szCs w:val="32"/>
        </w:rPr>
        <w:t>化学药</w:t>
      </w:r>
      <w:r>
        <w:rPr>
          <w:rFonts w:hint="eastAsia" w:ascii="仿宋_GB2312" w:hAnsi="仿宋" w:eastAsia="仿宋_GB2312" w:cs="Calibri"/>
          <w:sz w:val="32"/>
          <w:szCs w:val="32"/>
        </w:rPr>
        <w:t>。加快抗肿瘤类、心脑血管类、消化与代谢类、抗体药物等创新化学药物创制，加强仿制药技术攻关和产品研发，提升仿制药质量疗效，加快仿制药质量和疗效一致性评价。</w:t>
      </w:r>
    </w:p>
    <w:p>
      <w:pPr>
        <w:widowControl/>
        <w:spacing w:line="560" w:lineRule="exact"/>
        <w:ind w:firstLine="642" w:firstLineChars="200"/>
        <w:outlineLvl w:val="2"/>
        <w:rPr>
          <w:rFonts w:ascii="仿宋_GB2312" w:eastAsia="仿宋_GB2312" w:cs="Calibri" w:hAnsiTheme="minorEastAsia"/>
          <w:b/>
          <w:color w:val="000000"/>
          <w:sz w:val="32"/>
          <w:szCs w:val="32"/>
        </w:rPr>
      </w:pPr>
      <w:bookmarkStart w:id="45" w:name="_Toc3583597"/>
      <w:r>
        <w:rPr>
          <w:rFonts w:hint="eastAsia" w:ascii="仿宋_GB2312" w:eastAsia="仿宋_GB2312" w:cs="Calibri" w:hAnsiTheme="minorEastAsia"/>
          <w:b/>
          <w:color w:val="000000"/>
          <w:sz w:val="32"/>
          <w:szCs w:val="32"/>
        </w:rPr>
        <w:t>2</w:t>
      </w:r>
      <w:r>
        <w:rPr>
          <w:rFonts w:ascii="仿宋_GB2312" w:eastAsia="仿宋_GB2312" w:cs="Calibri" w:hAnsiTheme="minorEastAsia"/>
          <w:b/>
          <w:color w:val="000000"/>
          <w:sz w:val="32"/>
          <w:szCs w:val="32"/>
        </w:rPr>
        <w:t>.</w:t>
      </w:r>
      <w:r>
        <w:rPr>
          <w:rFonts w:hint="eastAsia" w:ascii="仿宋_GB2312" w:eastAsia="仿宋_GB2312" w:cs="Calibri" w:hAnsiTheme="minorEastAsia"/>
          <w:b/>
          <w:color w:val="000000"/>
          <w:sz w:val="32"/>
          <w:szCs w:val="32"/>
        </w:rPr>
        <w:t>生物医学工程</w:t>
      </w:r>
      <w:bookmarkEnd w:id="45"/>
    </w:p>
    <w:p>
      <w:pPr>
        <w:widowControl/>
        <w:spacing w:line="560" w:lineRule="exact"/>
        <w:ind w:firstLine="642" w:firstLineChars="200"/>
        <w:rPr>
          <w:rFonts w:ascii="仿宋_GB2312" w:hAnsi="仿宋" w:eastAsia="仿宋_GB2312" w:cs="Calibri"/>
          <w:sz w:val="32"/>
          <w:szCs w:val="32"/>
        </w:rPr>
      </w:pPr>
      <w:r>
        <w:rPr>
          <w:rFonts w:hint="eastAsia" w:ascii="仿宋_GB2312" w:hAnsi="仿宋" w:eastAsia="仿宋_GB2312" w:cs="Calibri"/>
          <w:b/>
          <w:sz w:val="32"/>
          <w:szCs w:val="32"/>
        </w:rPr>
        <w:t>医学影像</w:t>
      </w:r>
      <w:r>
        <w:rPr>
          <w:rFonts w:hint="eastAsia" w:ascii="仿宋_GB2312" w:hAnsi="仿宋" w:eastAsia="仿宋_GB2312" w:cs="Calibri"/>
          <w:sz w:val="32"/>
          <w:szCs w:val="32"/>
        </w:rPr>
        <w:t>。重点发展高端超声医学影像设备、内视镜、临床监护仪器等医学设备，积极开展CT、MRI、PET、SPECT等</w:t>
      </w:r>
      <w:r>
        <w:rPr>
          <w:rFonts w:ascii="仿宋_GB2312" w:hAnsi="仿宋" w:eastAsia="仿宋_GB2312" w:cs="Calibri"/>
          <w:sz w:val="32"/>
          <w:szCs w:val="32"/>
        </w:rPr>
        <w:t>高端医学影像技术与设备</w:t>
      </w:r>
      <w:r>
        <w:rPr>
          <w:rFonts w:hint="eastAsia" w:ascii="仿宋_GB2312" w:hAnsi="仿宋" w:eastAsia="仿宋_GB2312" w:cs="Calibri"/>
          <w:sz w:val="32"/>
          <w:szCs w:val="32"/>
        </w:rPr>
        <w:t>研发。</w:t>
      </w:r>
    </w:p>
    <w:p>
      <w:pPr>
        <w:widowControl/>
        <w:spacing w:line="560" w:lineRule="exact"/>
        <w:ind w:firstLine="642" w:firstLineChars="200"/>
        <w:rPr>
          <w:rFonts w:ascii="仿宋_GB2312" w:hAnsi="仿宋" w:eastAsia="仿宋_GB2312" w:cs="Calibri"/>
          <w:sz w:val="32"/>
          <w:szCs w:val="32"/>
        </w:rPr>
      </w:pPr>
      <w:r>
        <w:rPr>
          <w:rFonts w:hint="eastAsia" w:ascii="仿宋_GB2312" w:hAnsi="仿宋" w:eastAsia="仿宋_GB2312" w:cs="Calibri"/>
          <w:b/>
          <w:sz w:val="32"/>
          <w:szCs w:val="32"/>
        </w:rPr>
        <w:t>体外诊断</w:t>
      </w:r>
      <w:r>
        <w:rPr>
          <w:rFonts w:hint="eastAsia" w:ascii="仿宋_GB2312" w:hAnsi="仿宋" w:eastAsia="仿宋_GB2312" w:cs="Calibri"/>
          <w:sz w:val="32"/>
          <w:szCs w:val="32"/>
        </w:rPr>
        <w:t>。支持发展临床化学分析仪器、免疫化学分析仪器、血液分析仪器、微生物分析仪器等体外诊断仪器和试剂，前瞻培育循环肿瘤细胞检测、薄层液基细胞学检测等前沿检测技术。</w:t>
      </w:r>
    </w:p>
    <w:p>
      <w:pPr>
        <w:widowControl/>
        <w:spacing w:line="560" w:lineRule="exact"/>
        <w:ind w:firstLine="642" w:firstLineChars="200"/>
        <w:rPr>
          <w:rFonts w:ascii="仿宋_GB2312" w:hAnsi="仿宋" w:eastAsia="仿宋_GB2312" w:cs="Calibri"/>
          <w:sz w:val="32"/>
          <w:szCs w:val="32"/>
        </w:rPr>
      </w:pPr>
      <w:r>
        <w:rPr>
          <w:rFonts w:hint="eastAsia" w:ascii="仿宋_GB2312" w:hAnsi="仿宋" w:eastAsia="仿宋_GB2312" w:cs="Calibri"/>
          <w:b/>
          <w:sz w:val="32"/>
          <w:szCs w:val="32"/>
        </w:rPr>
        <w:t>新兴医疗设备。</w:t>
      </w:r>
      <w:r>
        <w:rPr>
          <w:rFonts w:hint="eastAsia" w:ascii="仿宋_GB2312" w:hAnsi="仿宋" w:eastAsia="仿宋_GB2312" w:cs="Calibri"/>
          <w:sz w:val="32"/>
          <w:szCs w:val="32"/>
        </w:rPr>
        <w:t>依托大数据、物联网等新一代信息技术，构建智能医疗服务平台，发展手术机器人、智能诊疗设备等数字化、</w:t>
      </w:r>
      <w:r>
        <w:rPr>
          <w:rFonts w:ascii="仿宋_GB2312" w:hAnsi="仿宋" w:eastAsia="仿宋_GB2312" w:cs="Calibri"/>
          <w:sz w:val="32"/>
          <w:szCs w:val="32"/>
        </w:rPr>
        <w:t>网络</w:t>
      </w:r>
      <w:r>
        <w:rPr>
          <w:rFonts w:hint="eastAsia" w:ascii="仿宋_GB2312" w:hAnsi="仿宋" w:eastAsia="仿宋_GB2312" w:cs="Calibri"/>
          <w:sz w:val="32"/>
          <w:szCs w:val="32"/>
        </w:rPr>
        <w:t>化、智能化的新兴医疗设备。</w:t>
      </w:r>
    </w:p>
    <w:p>
      <w:pPr>
        <w:widowControl/>
        <w:spacing w:line="560" w:lineRule="exact"/>
        <w:ind w:firstLine="642" w:firstLineChars="200"/>
        <w:outlineLvl w:val="2"/>
        <w:rPr>
          <w:rFonts w:ascii="仿宋_GB2312" w:hAnsi="仿宋" w:eastAsia="仿宋_GB2312" w:cs="Calibri"/>
          <w:b/>
          <w:sz w:val="32"/>
          <w:szCs w:val="32"/>
        </w:rPr>
      </w:pPr>
      <w:bookmarkStart w:id="46" w:name="_Toc3583598"/>
      <w:r>
        <w:rPr>
          <w:rFonts w:hint="eastAsia" w:ascii="仿宋_GB2312" w:hAnsi="仿宋" w:eastAsia="仿宋_GB2312" w:cs="Calibri"/>
          <w:b/>
          <w:sz w:val="32"/>
          <w:szCs w:val="32"/>
        </w:rPr>
        <w:t>3.医药CRO</w:t>
      </w:r>
      <w:bookmarkEnd w:id="46"/>
    </w:p>
    <w:p>
      <w:pPr>
        <w:widowControl/>
        <w:spacing w:line="560" w:lineRule="exact"/>
        <w:ind w:firstLine="640" w:firstLineChars="200"/>
        <w:rPr>
          <w:rFonts w:ascii="仿宋_GB2312" w:hAnsi="仿宋" w:eastAsia="仿宋_GB2312" w:cs="Calibri"/>
          <w:sz w:val="32"/>
          <w:szCs w:val="32"/>
        </w:rPr>
      </w:pPr>
      <w:r>
        <w:rPr>
          <w:rFonts w:hint="eastAsia" w:ascii="仿宋_GB2312" w:hAnsi="仿宋" w:eastAsia="仿宋_GB2312" w:cs="Calibri"/>
          <w:sz w:val="32"/>
          <w:szCs w:val="32"/>
        </w:rPr>
        <w:t>重点支持发展动物模型、药理/毒理/药代、药物筛选等临床前CRO业态以及临床监查、数据管理、注册申报等临床CRO业态，推进药品上市许可持有人制度与合同生产组织新业态发展，促进生物医药技术成果转化和产业化发展。</w:t>
      </w:r>
    </w:p>
    <w:p>
      <w:pPr>
        <w:widowControl/>
        <w:spacing w:line="560" w:lineRule="exact"/>
        <w:ind w:firstLine="642" w:firstLineChars="200"/>
        <w:outlineLvl w:val="2"/>
        <w:rPr>
          <w:rFonts w:ascii="仿宋_GB2312" w:hAnsi="仿宋" w:eastAsia="仿宋_GB2312" w:cs="Calibri"/>
          <w:b/>
          <w:sz w:val="32"/>
          <w:szCs w:val="32"/>
        </w:rPr>
      </w:pPr>
      <w:bookmarkStart w:id="47" w:name="_Toc3583599"/>
      <w:r>
        <w:rPr>
          <w:rFonts w:ascii="仿宋_GB2312" w:hAnsi="等线" w:eastAsia="仿宋_GB2312" w:cs="Calibri"/>
          <w:b/>
          <w:color w:val="000000"/>
          <w:sz w:val="32"/>
          <w:szCs w:val="32"/>
        </w:rPr>
        <w:t>4</w:t>
      </w:r>
      <w:r>
        <w:rPr>
          <w:rFonts w:hint="eastAsia" w:ascii="仿宋_GB2312" w:hAnsi="等线" w:eastAsia="仿宋_GB2312" w:cs="Calibri"/>
          <w:b/>
          <w:color w:val="000000"/>
          <w:sz w:val="32"/>
          <w:szCs w:val="32"/>
        </w:rPr>
        <w:t>.</w:t>
      </w:r>
      <w:r>
        <w:rPr>
          <w:rFonts w:ascii="仿宋_GB2312" w:hAnsi="仿宋" w:eastAsia="仿宋_GB2312" w:cs="Calibri"/>
          <w:b/>
          <w:sz w:val="32"/>
          <w:szCs w:val="32"/>
        </w:rPr>
        <w:t>精准医疗</w:t>
      </w:r>
      <w:bookmarkEnd w:id="47"/>
    </w:p>
    <w:p>
      <w:pPr>
        <w:widowControl/>
        <w:spacing w:line="560" w:lineRule="exact"/>
        <w:ind w:firstLine="640" w:firstLineChars="200"/>
        <w:rPr>
          <w:rFonts w:ascii="仿宋_GB2312" w:hAnsi="仿宋" w:eastAsia="仿宋_GB2312" w:cs="Calibri"/>
          <w:b/>
          <w:sz w:val="32"/>
          <w:szCs w:val="32"/>
        </w:rPr>
      </w:pPr>
      <w:r>
        <w:rPr>
          <w:rFonts w:hint="eastAsia" w:ascii="仿宋_GB2312" w:hAnsi="仿宋" w:eastAsia="仿宋_GB2312" w:cs="Calibri"/>
          <w:sz w:val="32"/>
          <w:szCs w:val="32"/>
        </w:rPr>
        <w:t>开发重大疾病早期筛查、分子分型、个体化治疗、疗效预测及监控等精准化应用解决系统，重点</w:t>
      </w:r>
      <w:r>
        <w:rPr>
          <w:rFonts w:ascii="仿宋_GB2312" w:hAnsi="仿宋" w:eastAsia="仿宋_GB2312" w:cs="Calibri"/>
          <w:sz w:val="32"/>
          <w:szCs w:val="32"/>
        </w:rPr>
        <w:t>发展</w:t>
      </w:r>
      <w:r>
        <w:rPr>
          <w:rFonts w:hint="eastAsia" w:ascii="仿宋_GB2312" w:hAnsi="仿宋" w:eastAsia="仿宋_GB2312" w:cs="Calibri"/>
          <w:sz w:val="32"/>
          <w:szCs w:val="32"/>
        </w:rPr>
        <w:t>肿瘤定向治疗、细胞治疗、再生医疗、个性化药物等领域。</w:t>
      </w:r>
    </w:p>
    <w:p>
      <w:pPr>
        <w:widowControl/>
        <w:spacing w:line="560" w:lineRule="exact"/>
        <w:ind w:firstLine="642" w:firstLineChars="200"/>
        <w:outlineLvl w:val="2"/>
        <w:rPr>
          <w:rFonts w:ascii="仿宋_GB2312" w:hAnsi="仿宋" w:eastAsia="仿宋_GB2312" w:cs="Calibri"/>
          <w:b/>
          <w:sz w:val="32"/>
          <w:szCs w:val="32"/>
        </w:rPr>
      </w:pPr>
      <w:bookmarkStart w:id="48" w:name="_Toc3583600"/>
      <w:r>
        <w:rPr>
          <w:rFonts w:hint="eastAsia" w:ascii="仿宋_GB2312" w:hAnsi="仿宋" w:eastAsia="仿宋_GB2312" w:cs="Calibri"/>
          <w:b/>
          <w:sz w:val="32"/>
          <w:szCs w:val="32"/>
        </w:rPr>
        <w:t>5.数字生命</w:t>
      </w:r>
      <w:bookmarkEnd w:id="48"/>
    </w:p>
    <w:p>
      <w:pPr>
        <w:widowControl/>
        <w:spacing w:line="560" w:lineRule="exact"/>
        <w:ind w:firstLine="640" w:firstLineChars="200"/>
        <w:rPr>
          <w:rFonts w:ascii="仿宋_GB2312" w:hAnsi="仿宋" w:eastAsia="仿宋_GB2312" w:cs="Calibri"/>
          <w:sz w:val="32"/>
          <w:szCs w:val="32"/>
        </w:rPr>
      </w:pPr>
      <w:r>
        <w:rPr>
          <w:rFonts w:hint="eastAsia" w:ascii="仿宋_GB2312" w:hAnsi="仿宋" w:eastAsia="仿宋_GB2312" w:cs="Calibri"/>
          <w:sz w:val="32"/>
          <w:szCs w:val="32"/>
        </w:rPr>
        <w:t>建设</w:t>
      </w:r>
      <w:r>
        <w:rPr>
          <w:rFonts w:ascii="仿宋_GB2312" w:hAnsi="仿宋" w:eastAsia="仿宋_GB2312" w:cs="Calibri"/>
          <w:sz w:val="32"/>
          <w:szCs w:val="32"/>
        </w:rPr>
        <w:t>医疗</w:t>
      </w:r>
      <w:r>
        <w:rPr>
          <w:rFonts w:hint="eastAsia" w:ascii="仿宋_GB2312" w:hAnsi="仿宋" w:eastAsia="仿宋_GB2312" w:cs="Calibri"/>
          <w:sz w:val="32"/>
          <w:szCs w:val="32"/>
        </w:rPr>
        <w:t>资源</w:t>
      </w:r>
      <w:r>
        <w:rPr>
          <w:rFonts w:ascii="仿宋_GB2312" w:hAnsi="仿宋" w:eastAsia="仿宋_GB2312" w:cs="Calibri"/>
          <w:sz w:val="32"/>
          <w:szCs w:val="32"/>
        </w:rPr>
        <w:t>、电子诊疗档案等</w:t>
      </w:r>
      <w:r>
        <w:rPr>
          <w:rFonts w:hint="eastAsia" w:ascii="仿宋_GB2312" w:hAnsi="仿宋" w:eastAsia="仿宋_GB2312" w:cs="Calibri"/>
          <w:sz w:val="32"/>
          <w:szCs w:val="32"/>
        </w:rPr>
        <w:t>数字化</w:t>
      </w:r>
      <w:r>
        <w:rPr>
          <w:rFonts w:ascii="仿宋_GB2312" w:hAnsi="仿宋" w:eastAsia="仿宋_GB2312" w:cs="Calibri"/>
          <w:sz w:val="32"/>
          <w:szCs w:val="32"/>
        </w:rPr>
        <w:t>健康信息系统</w:t>
      </w:r>
      <w:r>
        <w:rPr>
          <w:rFonts w:hint="eastAsia" w:ascii="仿宋_GB2312" w:hAnsi="仿宋" w:eastAsia="仿宋_GB2312" w:cs="Calibri"/>
          <w:sz w:val="32"/>
          <w:szCs w:val="32"/>
        </w:rPr>
        <w:t>及</w:t>
      </w:r>
      <w:r>
        <w:rPr>
          <w:rFonts w:ascii="仿宋_GB2312" w:hAnsi="仿宋" w:eastAsia="仿宋_GB2312" w:cs="Calibri"/>
          <w:sz w:val="32"/>
          <w:szCs w:val="32"/>
        </w:rPr>
        <w:t>个性化健康管理系统，布局</w:t>
      </w:r>
      <w:r>
        <w:rPr>
          <w:rFonts w:hint="eastAsia" w:ascii="仿宋_GB2312" w:hAnsi="仿宋" w:eastAsia="仿宋_GB2312" w:cs="Calibri"/>
          <w:sz w:val="32"/>
          <w:szCs w:val="32"/>
        </w:rPr>
        <w:t>全市</w:t>
      </w:r>
      <w:r>
        <w:rPr>
          <w:rFonts w:ascii="仿宋_GB2312" w:hAnsi="仿宋" w:eastAsia="仿宋_GB2312" w:cs="Calibri"/>
          <w:sz w:val="32"/>
          <w:szCs w:val="32"/>
        </w:rPr>
        <w:t>统一的健康信息</w:t>
      </w:r>
      <w:r>
        <w:rPr>
          <w:rFonts w:hint="eastAsia" w:ascii="仿宋_GB2312" w:hAnsi="仿宋" w:eastAsia="仿宋_GB2312" w:cs="Calibri"/>
          <w:sz w:val="32"/>
          <w:szCs w:val="32"/>
        </w:rPr>
        <w:t>大数据</w:t>
      </w:r>
      <w:r>
        <w:rPr>
          <w:rFonts w:ascii="仿宋_GB2312" w:hAnsi="仿宋" w:eastAsia="仿宋_GB2312" w:cs="Calibri"/>
          <w:sz w:val="32"/>
          <w:szCs w:val="32"/>
        </w:rPr>
        <w:t>平台</w:t>
      </w:r>
      <w:r>
        <w:rPr>
          <w:rFonts w:hint="eastAsia" w:ascii="仿宋_GB2312" w:hAnsi="仿宋" w:eastAsia="仿宋_GB2312" w:cs="Calibri"/>
          <w:sz w:val="32"/>
          <w:szCs w:val="32"/>
        </w:rPr>
        <w:t>，</w:t>
      </w:r>
      <w:r>
        <w:rPr>
          <w:rFonts w:ascii="仿宋_GB2312" w:hAnsi="仿宋" w:eastAsia="仿宋_GB2312" w:cs="Calibri"/>
          <w:sz w:val="32"/>
          <w:szCs w:val="32"/>
        </w:rPr>
        <w:t>加快发展数字化健康管理设备和产品</w:t>
      </w:r>
      <w:r>
        <w:rPr>
          <w:rFonts w:hint="eastAsia" w:ascii="仿宋_GB2312" w:hAnsi="仿宋" w:eastAsia="仿宋_GB2312" w:cs="Calibri"/>
          <w:sz w:val="32"/>
          <w:szCs w:val="32"/>
        </w:rPr>
        <w:t>，</w:t>
      </w:r>
      <w:r>
        <w:rPr>
          <w:rFonts w:ascii="仿宋_GB2312" w:hAnsi="仿宋" w:eastAsia="仿宋_GB2312" w:cs="Calibri"/>
          <w:sz w:val="32"/>
          <w:szCs w:val="32"/>
        </w:rPr>
        <w:t>推动</w:t>
      </w:r>
      <w:r>
        <w:rPr>
          <w:rFonts w:hint="eastAsia" w:ascii="仿宋_GB2312" w:hAnsi="仿宋" w:eastAsia="仿宋_GB2312" w:cs="Calibri"/>
          <w:sz w:val="32"/>
          <w:szCs w:val="32"/>
        </w:rPr>
        <w:t>医学</w:t>
      </w:r>
      <w:r>
        <w:rPr>
          <w:rFonts w:ascii="仿宋_GB2312" w:hAnsi="仿宋" w:eastAsia="仿宋_GB2312" w:cs="Calibri"/>
          <w:sz w:val="32"/>
          <w:szCs w:val="32"/>
        </w:rPr>
        <w:t>大数据</w:t>
      </w:r>
      <w:r>
        <w:rPr>
          <w:rFonts w:hint="eastAsia" w:ascii="仿宋_GB2312" w:hAnsi="仿宋" w:eastAsia="仿宋_GB2312" w:cs="Calibri"/>
          <w:sz w:val="32"/>
          <w:szCs w:val="32"/>
        </w:rPr>
        <w:t>的</w:t>
      </w:r>
      <w:r>
        <w:rPr>
          <w:rFonts w:ascii="仿宋_GB2312" w:hAnsi="仿宋" w:eastAsia="仿宋_GB2312" w:cs="Calibri"/>
          <w:sz w:val="32"/>
          <w:szCs w:val="32"/>
        </w:rPr>
        <w:t>应用创新</w:t>
      </w:r>
      <w:r>
        <w:rPr>
          <w:rFonts w:hint="eastAsia" w:ascii="仿宋_GB2312" w:hAnsi="仿宋" w:eastAsia="仿宋_GB2312" w:cs="Calibri"/>
          <w:sz w:val="32"/>
          <w:szCs w:val="32"/>
        </w:rPr>
        <w:t>。</w:t>
      </w:r>
    </w:p>
    <w:p>
      <w:pPr>
        <w:widowControl/>
        <w:spacing w:line="560" w:lineRule="exact"/>
        <w:ind w:firstLine="642" w:firstLineChars="200"/>
        <w:outlineLvl w:val="2"/>
        <w:rPr>
          <w:rFonts w:ascii="仿宋_GB2312" w:hAnsi="仿宋" w:eastAsia="仿宋_GB2312" w:cs="Calibri"/>
          <w:b/>
          <w:sz w:val="32"/>
          <w:szCs w:val="32"/>
        </w:rPr>
      </w:pPr>
      <w:bookmarkStart w:id="49" w:name="_Toc3583601"/>
      <w:r>
        <w:rPr>
          <w:rFonts w:ascii="仿宋_GB2312" w:hAnsi="仿宋" w:eastAsia="仿宋_GB2312" w:cs="Calibri"/>
          <w:b/>
          <w:sz w:val="32"/>
          <w:szCs w:val="32"/>
        </w:rPr>
        <w:t>6</w:t>
      </w:r>
      <w:r>
        <w:rPr>
          <w:rFonts w:hint="eastAsia" w:ascii="仿宋_GB2312" w:hAnsi="仿宋" w:eastAsia="仿宋_GB2312" w:cs="Calibri"/>
          <w:b/>
          <w:sz w:val="32"/>
          <w:szCs w:val="32"/>
        </w:rPr>
        <w:t>.前沿技术</w:t>
      </w:r>
      <w:bookmarkEnd w:id="49"/>
    </w:p>
    <w:p>
      <w:pPr>
        <w:widowControl/>
        <w:spacing w:line="560" w:lineRule="exact"/>
        <w:ind w:firstLine="642" w:firstLineChars="200"/>
        <w:rPr>
          <w:rFonts w:ascii="仿宋_GB2312" w:hAnsi="仿宋" w:eastAsia="仿宋_GB2312" w:cs="Calibri"/>
          <w:sz w:val="32"/>
          <w:szCs w:val="32"/>
        </w:rPr>
      </w:pPr>
      <w:r>
        <w:rPr>
          <w:rFonts w:hint="eastAsia" w:ascii="仿宋_GB2312" w:hAnsi="仿宋" w:eastAsia="仿宋_GB2312" w:cs="Calibri"/>
          <w:b/>
          <w:sz w:val="32"/>
          <w:szCs w:val="32"/>
        </w:rPr>
        <w:t>合成生物领域。</w:t>
      </w:r>
      <w:r>
        <w:rPr>
          <w:rFonts w:hint="eastAsia" w:ascii="仿宋_GB2312" w:hAnsi="仿宋" w:eastAsia="仿宋_GB2312" w:cs="Calibri"/>
          <w:sz w:val="32"/>
          <w:szCs w:val="32"/>
        </w:rPr>
        <w:t>重点开展</w:t>
      </w:r>
      <w:r>
        <w:rPr>
          <w:rFonts w:ascii="仿宋_GB2312" w:hAnsi="仿宋" w:eastAsia="仿宋_GB2312" w:cs="Calibri"/>
          <w:sz w:val="32"/>
          <w:szCs w:val="32"/>
        </w:rPr>
        <w:t>人工生命元器件、</w:t>
      </w:r>
      <w:r>
        <w:rPr>
          <w:rFonts w:hint="eastAsia" w:ascii="仿宋_GB2312" w:hAnsi="仿宋" w:eastAsia="仿宋_GB2312" w:cs="Calibri"/>
          <w:sz w:val="32"/>
          <w:szCs w:val="32"/>
        </w:rPr>
        <w:t>人工基因组设计合成、生物体系设计再造等合成</w:t>
      </w:r>
      <w:r>
        <w:rPr>
          <w:rFonts w:ascii="仿宋_GB2312" w:hAnsi="仿宋" w:eastAsia="仿宋_GB2312" w:cs="Calibri"/>
          <w:sz w:val="32"/>
          <w:szCs w:val="32"/>
        </w:rPr>
        <w:t>生物技术研究</w:t>
      </w:r>
      <w:r>
        <w:rPr>
          <w:rFonts w:hint="eastAsia" w:ascii="仿宋_GB2312" w:hAnsi="仿宋" w:eastAsia="仿宋_GB2312" w:cs="Calibri"/>
          <w:sz w:val="32"/>
          <w:szCs w:val="32"/>
        </w:rPr>
        <w:t>。推动新型合成生物产品、新型发酵产品等高端生物工程制品应用示范。</w:t>
      </w:r>
    </w:p>
    <w:p>
      <w:pPr>
        <w:widowControl/>
        <w:spacing w:line="560" w:lineRule="exact"/>
        <w:ind w:firstLine="642" w:firstLineChars="200"/>
        <w:rPr>
          <w:rFonts w:ascii="仿宋_GB2312" w:hAnsi="仿宋" w:eastAsia="仿宋_GB2312" w:cs="Calibri"/>
          <w:sz w:val="32"/>
          <w:szCs w:val="32"/>
        </w:rPr>
      </w:pPr>
      <w:r>
        <w:rPr>
          <w:rFonts w:ascii="仿宋_GB2312" w:hAnsi="仿宋" w:eastAsia="仿宋_GB2312" w:cs="Calibri"/>
          <w:b/>
          <w:sz w:val="32"/>
          <w:szCs w:val="32"/>
        </w:rPr>
        <w:t>AI药物</w:t>
      </w:r>
      <w:r>
        <w:rPr>
          <w:rFonts w:hint="eastAsia" w:ascii="仿宋_GB2312" w:hAnsi="仿宋" w:eastAsia="仿宋_GB2312" w:cs="Calibri"/>
          <w:b/>
          <w:sz w:val="32"/>
          <w:szCs w:val="32"/>
        </w:rPr>
        <w:t>研发。</w:t>
      </w:r>
      <w:r>
        <w:rPr>
          <w:rFonts w:hint="eastAsia" w:ascii="仿宋_GB2312" w:hAnsi="仿宋" w:eastAsia="仿宋_GB2312" w:cs="Calibri"/>
          <w:sz w:val="32"/>
          <w:szCs w:val="32"/>
        </w:rPr>
        <w:t>积极培育AI药物挖掘、AI化合物筛选及AI靶点药物研发等AI技术在药物研发中的创新应用，结合人工智能新兴技术，开展药物分子计算机辅助设计技术研究，开发基于新结构、新靶点的创新药物。</w:t>
      </w:r>
    </w:p>
    <w:p>
      <w:pPr>
        <w:widowControl/>
        <w:spacing w:line="560" w:lineRule="exact"/>
        <w:ind w:firstLine="642" w:firstLineChars="200"/>
        <w:rPr>
          <w:rFonts w:ascii="仿宋_GB2312" w:hAnsi="仿宋" w:eastAsia="仿宋_GB2312" w:cs="Calibri"/>
          <w:sz w:val="32"/>
          <w:szCs w:val="32"/>
        </w:rPr>
      </w:pPr>
      <w:r>
        <w:rPr>
          <w:rFonts w:ascii="仿宋_GB2312" w:hAnsi="仿宋" w:eastAsia="仿宋_GB2312" w:cs="Calibri"/>
          <w:b/>
          <w:sz w:val="32"/>
          <w:szCs w:val="32"/>
        </w:rPr>
        <w:t>前沿交叉领域</w:t>
      </w:r>
      <w:r>
        <w:rPr>
          <w:rFonts w:hint="eastAsia" w:ascii="仿宋_GB2312" w:hAnsi="仿宋" w:eastAsia="仿宋_GB2312" w:cs="Calibri"/>
          <w:b/>
          <w:sz w:val="32"/>
          <w:szCs w:val="32"/>
        </w:rPr>
        <w:t>。</w:t>
      </w:r>
      <w:r>
        <w:rPr>
          <w:rFonts w:hint="eastAsia" w:ascii="仿宋_GB2312" w:hAnsi="仿宋" w:eastAsia="仿宋_GB2312" w:cs="Calibri"/>
          <w:sz w:val="32"/>
          <w:szCs w:val="32"/>
        </w:rPr>
        <w:t>前瞻布局脑疾病药物、脑基因解析、类脑人工智能、空天生物技术等颠覆性生物技术；积极开展精准靶向纳米药物及载体研发、纳米药物的靶向性和递送系统、纳米材料生物相容性等研究。</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7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96" w:type="dxa"/>
            <w:gridSpan w:val="2"/>
          </w:tcPr>
          <w:p>
            <w:pPr>
              <w:spacing w:line="560" w:lineRule="exact"/>
              <w:jc w:val="center"/>
              <w:rPr>
                <w:rFonts w:ascii="黑体" w:hAnsi="黑体" w:eastAsia="黑体" w:cs="Times New Roman"/>
                <w:kern w:val="0"/>
                <w:sz w:val="32"/>
                <w:szCs w:val="32"/>
              </w:rPr>
            </w:pPr>
            <w:r>
              <w:rPr>
                <w:rFonts w:ascii="黑体" w:hAnsi="黑体" w:eastAsia="黑体" w:cs="Times New Roman"/>
                <w:kern w:val="0"/>
                <w:sz w:val="28"/>
                <w:szCs w:val="32"/>
              </w:rPr>
              <w:t xml:space="preserve">专栏3 </w:t>
            </w:r>
            <w:r>
              <w:rPr>
                <w:rFonts w:hint="eastAsia" w:ascii="黑体" w:hAnsi="黑体" w:eastAsia="黑体" w:cs="Times New Roman"/>
                <w:kern w:val="0"/>
                <w:sz w:val="28"/>
                <w:szCs w:val="32"/>
              </w:rPr>
              <w:t>生命科学</w:t>
            </w:r>
            <w:r>
              <w:rPr>
                <w:rFonts w:ascii="黑体" w:hAnsi="黑体" w:eastAsia="黑体" w:cs="Times New Roman"/>
                <w:kern w:val="0"/>
                <w:sz w:val="28"/>
                <w:szCs w:val="32"/>
              </w:rPr>
              <w:t>产业发展路线图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line="276" w:lineRule="auto"/>
              <w:jc w:val="center"/>
              <w:rPr>
                <w:rFonts w:ascii="仿宋_GB2312" w:hAnsi="Times New Roman" w:eastAsia="仿宋_GB2312" w:cs="Times New Roman"/>
                <w:b/>
                <w:kern w:val="0"/>
                <w:sz w:val="24"/>
                <w:szCs w:val="24"/>
              </w:rPr>
            </w:pPr>
            <w:r>
              <w:rPr>
                <w:rFonts w:hint="eastAsia" w:ascii="仿宋_GB2312" w:hAnsi="Times New Roman" w:eastAsia="仿宋_GB2312" w:cs="Times New Roman"/>
                <w:b/>
                <w:kern w:val="0"/>
                <w:sz w:val="24"/>
                <w:szCs w:val="24"/>
              </w:rPr>
              <w:t>重点领域</w:t>
            </w:r>
          </w:p>
        </w:tc>
        <w:tc>
          <w:tcPr>
            <w:tcW w:w="7025" w:type="dxa"/>
          </w:tcPr>
          <w:p>
            <w:pPr>
              <w:spacing w:line="276" w:lineRule="auto"/>
              <w:rPr>
                <w:rFonts w:ascii="仿宋_GB2312" w:eastAsia="仿宋_GB2312" w:hAnsiTheme="minorHAnsi" w:cstheme="minorBidi"/>
                <w:kern w:val="2"/>
                <w:sz w:val="24"/>
                <w:szCs w:val="24"/>
              </w:rPr>
            </w:pPr>
            <w:r>
              <w:rPr>
                <w:rFonts w:hint="eastAsia" w:ascii="仿宋_GB2312" w:hAnsi="Times New Roman" w:eastAsia="仿宋_GB2312" w:cs="Times New Roman"/>
                <w:kern w:val="0"/>
                <w:sz w:val="24"/>
                <w:szCs w:val="24"/>
              </w:rPr>
              <w:t>生物制品、化学药、医学影像、体外诊断、新兴医疗设备、医药CRO、精准医疗、数字生命、前沿技术（AI药物挖掘、合成生物学、人工生命元器件等）。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line="276" w:lineRule="auto"/>
              <w:jc w:val="center"/>
              <w:rPr>
                <w:rFonts w:ascii="仿宋_GB2312" w:hAnsi="Times New Roman" w:eastAsia="仿宋_GB2312" w:cs="Times New Roman"/>
                <w:b/>
                <w:kern w:val="0"/>
                <w:sz w:val="24"/>
                <w:szCs w:val="24"/>
              </w:rPr>
            </w:pPr>
            <w:r>
              <w:rPr>
                <w:rFonts w:ascii="仿宋_GB2312" w:hAnsi="Times New Roman" w:eastAsia="仿宋_GB2312" w:cs="Times New Roman"/>
                <w:b/>
                <w:kern w:val="0"/>
                <w:sz w:val="24"/>
                <w:szCs w:val="24"/>
              </w:rPr>
              <w:t>重点任务</w:t>
            </w:r>
          </w:p>
        </w:tc>
        <w:tc>
          <w:tcPr>
            <w:tcW w:w="7025" w:type="dxa"/>
          </w:tcPr>
          <w:p>
            <w:pPr>
              <w:pStyle w:val="30"/>
              <w:numPr>
                <w:ilvl w:val="0"/>
                <w:numId w:val="3"/>
              </w:numPr>
              <w:spacing w:line="276" w:lineRule="auto"/>
              <w:ind w:firstLineChars="0"/>
              <w:rPr>
                <w:rFonts w:ascii="仿宋_GB2312" w:hAnsi="Times New Roman" w:eastAsia="仿宋_GB2312" w:cs="Times New Roman"/>
                <w:b/>
                <w:kern w:val="0"/>
                <w:sz w:val="24"/>
                <w:szCs w:val="32"/>
              </w:rPr>
            </w:pPr>
            <w:r>
              <w:rPr>
                <w:rFonts w:hint="eastAsia" w:ascii="仿宋_GB2312" w:hAnsi="Times New Roman" w:eastAsia="仿宋_GB2312" w:cs="Times New Roman"/>
                <w:b/>
                <w:kern w:val="0"/>
                <w:sz w:val="24"/>
                <w:szCs w:val="32"/>
              </w:rPr>
              <w:t>第一阶段：打造国际一流的临床转化基地</w:t>
            </w:r>
          </w:p>
          <w:p>
            <w:pPr>
              <w:spacing w:line="276" w:lineRule="auto"/>
              <w:rPr>
                <w:rFonts w:ascii="仿宋_GB2312" w:hAnsi="Times New Roman" w:eastAsia="仿宋_GB2312" w:cs="Times New Roman"/>
                <w:kern w:val="0"/>
                <w:sz w:val="24"/>
                <w:szCs w:val="32"/>
              </w:rPr>
            </w:pPr>
            <w:r>
              <w:rPr>
                <w:rFonts w:ascii="仿宋_GB2312" w:hAnsi="Times New Roman" w:eastAsia="仿宋_GB2312" w:cs="Times New Roman"/>
                <w:b/>
                <w:kern w:val="0"/>
                <w:sz w:val="24"/>
                <w:szCs w:val="32"/>
              </w:rPr>
              <w:t>1.</w:t>
            </w:r>
            <w:r>
              <w:rPr>
                <w:rFonts w:hint="eastAsia" w:ascii="仿宋_GB2312" w:hAnsi="Times New Roman" w:eastAsia="仿宋_GB2312" w:cs="Times New Roman"/>
                <w:b/>
                <w:kern w:val="0"/>
                <w:sz w:val="24"/>
                <w:szCs w:val="32"/>
              </w:rPr>
              <w:t>建设公共实验服务平台：</w:t>
            </w:r>
            <w:r>
              <w:rPr>
                <w:rFonts w:hint="eastAsia" w:ascii="仿宋_GB2312" w:hAnsi="Times New Roman" w:eastAsia="仿宋_GB2312" w:cs="Times New Roman"/>
                <w:kern w:val="0"/>
                <w:sz w:val="24"/>
                <w:szCs w:val="32"/>
              </w:rPr>
              <w:t>建设药物发现平台、药物靶点筛查平台、药物检测平台、智慧医药研发示范应用平台、基因编辑平台、药物安全性评价平台等一批公共服务平台。</w:t>
            </w:r>
          </w:p>
          <w:p>
            <w:pPr>
              <w:spacing w:line="276" w:lineRule="auto"/>
              <w:rPr>
                <w:rFonts w:ascii="仿宋_GB2312" w:hAnsi="Times New Roman" w:eastAsia="仿宋_GB2312" w:cs="Times New Roman"/>
                <w:kern w:val="0"/>
                <w:sz w:val="24"/>
                <w:szCs w:val="32"/>
              </w:rPr>
            </w:pPr>
            <w:r>
              <w:rPr>
                <w:rFonts w:hint="eastAsia" w:ascii="仿宋_GB2312" w:hAnsi="Times New Roman" w:eastAsia="仿宋_GB2312" w:cs="Times New Roman"/>
                <w:b/>
                <w:kern w:val="0"/>
                <w:sz w:val="24"/>
                <w:szCs w:val="32"/>
              </w:rPr>
              <w:t>2</w:t>
            </w:r>
            <w:r>
              <w:rPr>
                <w:rFonts w:ascii="仿宋_GB2312" w:hAnsi="Times New Roman" w:eastAsia="仿宋_GB2312" w:cs="Times New Roman"/>
                <w:b/>
                <w:kern w:val="0"/>
                <w:sz w:val="24"/>
                <w:szCs w:val="32"/>
              </w:rPr>
              <w:t>.</w:t>
            </w:r>
            <w:r>
              <w:rPr>
                <w:rFonts w:hint="eastAsia" w:ascii="仿宋_GB2312" w:hAnsi="Times New Roman" w:eastAsia="仿宋_GB2312" w:cs="Times New Roman"/>
                <w:b/>
                <w:kern w:val="0"/>
                <w:sz w:val="24"/>
                <w:szCs w:val="32"/>
              </w:rPr>
              <w:t>打造临床研究基地：</w:t>
            </w:r>
            <w:r>
              <w:rPr>
                <w:rFonts w:hint="eastAsia" w:ascii="仿宋_GB2312" w:hAnsi="Times New Roman" w:eastAsia="仿宋_GB2312" w:cs="Times New Roman"/>
                <w:kern w:val="0"/>
                <w:sz w:val="24"/>
                <w:szCs w:val="32"/>
              </w:rPr>
              <w:t>支持中大七院等大型医院与研究机构联合打造临床研究基地，完善临床试验机制，保证临床试验科学性和安全性，推动光明生物医药临床阶段研究。</w:t>
            </w:r>
          </w:p>
          <w:p>
            <w:pPr>
              <w:spacing w:line="276" w:lineRule="auto"/>
              <w:rPr>
                <w:rFonts w:ascii="仿宋_GB2312" w:hAnsi="Times New Roman" w:eastAsia="仿宋_GB2312" w:cs="Times New Roman"/>
                <w:kern w:val="0"/>
                <w:sz w:val="24"/>
                <w:szCs w:val="32"/>
              </w:rPr>
            </w:pPr>
            <w:r>
              <w:rPr>
                <w:rFonts w:hint="eastAsia" w:ascii="仿宋_GB2312" w:hAnsi="Times New Roman" w:eastAsia="仿宋_GB2312" w:cs="Times New Roman"/>
                <w:b/>
                <w:kern w:val="0"/>
                <w:sz w:val="24"/>
                <w:szCs w:val="32"/>
              </w:rPr>
              <w:t>3</w:t>
            </w:r>
            <w:r>
              <w:rPr>
                <w:rFonts w:ascii="仿宋_GB2312" w:hAnsi="Times New Roman" w:eastAsia="仿宋_GB2312" w:cs="Times New Roman"/>
                <w:b/>
                <w:kern w:val="0"/>
                <w:sz w:val="24"/>
                <w:szCs w:val="32"/>
              </w:rPr>
              <w:t>.</w:t>
            </w:r>
            <w:r>
              <w:rPr>
                <w:rFonts w:hint="eastAsia" w:ascii="仿宋_GB2312" w:hAnsi="Times New Roman" w:eastAsia="仿宋_GB2312" w:cs="Times New Roman"/>
                <w:b/>
                <w:kern w:val="0"/>
                <w:sz w:val="24"/>
                <w:szCs w:val="32"/>
              </w:rPr>
              <w:t>建立动物实验中心：</w:t>
            </w:r>
            <w:r>
              <w:rPr>
                <w:rFonts w:hint="eastAsia" w:ascii="仿宋_GB2312" w:hAnsi="Times New Roman" w:eastAsia="仿宋_GB2312" w:cs="Times New Roman"/>
                <w:kern w:val="0"/>
                <w:sz w:val="24"/>
                <w:szCs w:val="32"/>
              </w:rPr>
              <w:t>培育实验动物新品种（品系），加强动物模型的研究和优势实验动物资源的开发与应用，开展模式动物等实验动物资源研究，加强实验动物保障研究的科研条件建设，建立以人类重大疾病、新药创制等科研需求为导向的动物实验中心。</w:t>
            </w:r>
          </w:p>
          <w:p>
            <w:pPr>
              <w:spacing w:line="276" w:lineRule="auto"/>
              <w:rPr>
                <w:rFonts w:ascii="仿宋_GB2312" w:hAnsi="Times New Roman" w:eastAsia="仿宋_GB2312" w:cs="Times New Roman"/>
                <w:kern w:val="0"/>
                <w:sz w:val="24"/>
                <w:szCs w:val="32"/>
              </w:rPr>
            </w:pPr>
            <w:r>
              <w:rPr>
                <w:rFonts w:hint="eastAsia" w:ascii="仿宋_GB2312" w:hAnsi="Times New Roman" w:eastAsia="仿宋_GB2312" w:cs="Times New Roman"/>
                <w:b/>
                <w:kern w:val="0"/>
                <w:sz w:val="24"/>
                <w:szCs w:val="32"/>
              </w:rPr>
              <w:t>4</w:t>
            </w:r>
            <w:r>
              <w:rPr>
                <w:rFonts w:ascii="仿宋_GB2312" w:hAnsi="Times New Roman" w:eastAsia="仿宋_GB2312" w:cs="Times New Roman"/>
                <w:b/>
                <w:kern w:val="0"/>
                <w:sz w:val="24"/>
                <w:szCs w:val="32"/>
              </w:rPr>
              <w:t>.</w:t>
            </w:r>
            <w:r>
              <w:rPr>
                <w:rFonts w:hint="eastAsia" w:ascii="仿宋_GB2312" w:hAnsi="Times New Roman" w:eastAsia="仿宋_GB2312" w:cs="Times New Roman"/>
                <w:b/>
                <w:kern w:val="0"/>
                <w:sz w:val="24"/>
                <w:szCs w:val="32"/>
              </w:rPr>
              <w:t>组建医学影像技术联合研发平台：</w:t>
            </w:r>
            <w:r>
              <w:rPr>
                <w:rFonts w:hint="eastAsia" w:ascii="仿宋_GB2312" w:hAnsi="Times New Roman" w:eastAsia="仿宋_GB2312" w:cs="Times New Roman"/>
                <w:kern w:val="0"/>
                <w:sz w:val="24"/>
                <w:szCs w:val="32"/>
              </w:rPr>
              <w:t>依托生物医学成像重大基础设施和迈瑞医疗、开立医疗等医学影像龙头企业，围绕高端医学影像、智能医学影像等前沿领域，组建联合技术研发平台，突破3T及以上MRI、PET-MRI融合技术等前沿技术壁垒。</w:t>
            </w:r>
          </w:p>
          <w:p>
            <w:pPr>
              <w:pStyle w:val="30"/>
              <w:numPr>
                <w:ilvl w:val="0"/>
                <w:numId w:val="3"/>
              </w:numPr>
              <w:spacing w:line="276" w:lineRule="auto"/>
              <w:ind w:firstLineChars="0"/>
              <w:rPr>
                <w:rFonts w:ascii="仿宋_GB2312" w:hAnsi="Times New Roman" w:eastAsia="仿宋_GB2312" w:cs="Times New Roman"/>
                <w:b/>
                <w:kern w:val="0"/>
                <w:sz w:val="24"/>
                <w:szCs w:val="32"/>
              </w:rPr>
            </w:pPr>
            <w:r>
              <w:rPr>
                <w:rFonts w:hint="eastAsia" w:ascii="仿宋_GB2312" w:hAnsi="Times New Roman" w:eastAsia="仿宋_GB2312" w:cs="Times New Roman"/>
                <w:b/>
                <w:kern w:val="0"/>
                <w:sz w:val="24"/>
                <w:szCs w:val="32"/>
              </w:rPr>
              <w:t>第二阶段：打造粤港澳大湾区尖端创新策源地</w:t>
            </w:r>
          </w:p>
          <w:p>
            <w:pPr>
              <w:spacing w:line="276" w:lineRule="auto"/>
              <w:rPr>
                <w:rFonts w:ascii="仿宋_GB2312" w:hAnsi="Times New Roman" w:eastAsia="仿宋_GB2312" w:cs="Times New Roman"/>
                <w:kern w:val="0"/>
                <w:sz w:val="24"/>
                <w:szCs w:val="32"/>
              </w:rPr>
            </w:pPr>
            <w:r>
              <w:rPr>
                <w:rFonts w:hint="eastAsia" w:ascii="仿宋_GB2312" w:hAnsi="Times New Roman" w:eastAsia="仿宋_GB2312" w:cs="Times New Roman"/>
                <w:b/>
                <w:kern w:val="0"/>
                <w:sz w:val="24"/>
                <w:szCs w:val="32"/>
              </w:rPr>
              <w:t>5</w:t>
            </w:r>
            <w:r>
              <w:rPr>
                <w:rFonts w:ascii="仿宋_GB2312" w:hAnsi="Times New Roman" w:eastAsia="仿宋_GB2312" w:cs="Times New Roman"/>
                <w:b/>
                <w:kern w:val="0"/>
                <w:sz w:val="24"/>
                <w:szCs w:val="32"/>
              </w:rPr>
              <w:t>.</w:t>
            </w:r>
            <w:r>
              <w:rPr>
                <w:rFonts w:hint="eastAsia" w:ascii="仿宋_GB2312" w:hAnsi="Times New Roman" w:eastAsia="仿宋_GB2312" w:cs="Times New Roman"/>
                <w:b/>
                <w:kern w:val="0"/>
                <w:sz w:val="24"/>
                <w:szCs w:val="32"/>
              </w:rPr>
              <w:t>建设体外诊断样本库公共平台：</w:t>
            </w:r>
            <w:r>
              <w:rPr>
                <w:rFonts w:hint="eastAsia" w:ascii="仿宋_GB2312" w:hAnsi="Times New Roman" w:eastAsia="仿宋_GB2312" w:cs="Times New Roman"/>
                <w:kern w:val="0"/>
                <w:sz w:val="24"/>
                <w:szCs w:val="32"/>
              </w:rPr>
              <w:t>依托迈瑞、雷杜等体外诊断领域企业建设大型样本库公共平台，</w:t>
            </w:r>
            <w:r>
              <w:rPr>
                <w:rFonts w:hint="eastAsia" w:ascii="仿宋_GB2312" w:eastAsia="仿宋_GB2312" w:hAnsiTheme="minorHAnsi" w:cstheme="minorBidi"/>
                <w:kern w:val="2"/>
                <w:sz w:val="24"/>
                <w:szCs w:val="32"/>
              </w:rPr>
              <w:t>支撑重大疾病早期诊断设备和精确治疗诊断试剂的研发。</w:t>
            </w:r>
          </w:p>
          <w:p>
            <w:pPr>
              <w:spacing w:line="276" w:lineRule="auto"/>
              <w:rPr>
                <w:rFonts w:ascii="仿宋_GB2312" w:hAnsi="Times New Roman" w:eastAsia="仿宋_GB2312" w:cs="Times New Roman"/>
                <w:kern w:val="0"/>
                <w:sz w:val="24"/>
                <w:szCs w:val="24"/>
              </w:rPr>
            </w:pPr>
            <w:r>
              <w:rPr>
                <w:rFonts w:ascii="仿宋_GB2312" w:hAnsi="Times New Roman" w:eastAsia="仿宋_GB2312" w:cs="Times New Roman"/>
                <w:b/>
                <w:kern w:val="0"/>
                <w:sz w:val="24"/>
                <w:szCs w:val="32"/>
              </w:rPr>
              <w:t>6.</w:t>
            </w:r>
            <w:r>
              <w:rPr>
                <w:rFonts w:hint="eastAsia" w:ascii="仿宋_GB2312" w:hAnsi="Times New Roman" w:eastAsia="仿宋_GB2312" w:cs="Times New Roman"/>
                <w:b/>
                <w:kern w:val="0"/>
                <w:sz w:val="24"/>
                <w:szCs w:val="32"/>
              </w:rPr>
              <w:t>培育医药CRO产业集群：</w:t>
            </w:r>
            <w:r>
              <w:rPr>
                <w:rFonts w:hint="eastAsia" w:ascii="仿宋_GB2312" w:hAnsi="Times New Roman" w:eastAsia="仿宋_GB2312" w:cs="Times New Roman"/>
                <w:kern w:val="0"/>
                <w:sz w:val="24"/>
                <w:szCs w:val="32"/>
              </w:rPr>
              <w:t>引进国内外具有较强行业影响力、高标准质量保证体系的医药CRO龙头企业，培育一批具有核心竞争力的本土医药CRO企业，大幅提升生物医药研发效率，建成具有国际影响力的医药C</w:t>
            </w:r>
            <w:r>
              <w:rPr>
                <w:rFonts w:ascii="仿宋_GB2312" w:hAnsi="Times New Roman" w:eastAsia="仿宋_GB2312" w:cs="Times New Roman"/>
                <w:kern w:val="0"/>
                <w:sz w:val="24"/>
                <w:szCs w:val="32"/>
              </w:rPr>
              <w:t>RO产业集群</w:t>
            </w:r>
            <w:r>
              <w:rPr>
                <w:rFonts w:hint="eastAsia" w:ascii="仿宋_GB2312" w:hAnsi="Times New Roman" w:eastAsia="仿宋_GB2312" w:cs="Times New Roman"/>
                <w:kern w:val="0"/>
                <w:sz w:val="24"/>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line="276" w:lineRule="auto"/>
              <w:jc w:val="center"/>
              <w:rPr>
                <w:rFonts w:ascii="仿宋_GB2312" w:hAnsi="Times New Roman" w:eastAsia="仿宋_GB2312" w:cs="Times New Roman"/>
                <w:b/>
                <w:kern w:val="0"/>
                <w:sz w:val="24"/>
                <w:szCs w:val="24"/>
              </w:rPr>
            </w:pPr>
            <w:r>
              <w:rPr>
                <w:rFonts w:hint="eastAsia" w:ascii="仿宋_GB2312" w:hAnsi="Times New Roman" w:eastAsia="仿宋_GB2312" w:cs="Times New Roman"/>
                <w:b/>
                <w:kern w:val="0"/>
                <w:sz w:val="24"/>
                <w:szCs w:val="24"/>
              </w:rPr>
              <w:t>发展目标</w:t>
            </w:r>
          </w:p>
        </w:tc>
        <w:tc>
          <w:tcPr>
            <w:tcW w:w="7025" w:type="dxa"/>
          </w:tcPr>
          <w:p>
            <w:pPr>
              <w:spacing w:line="276" w:lineRule="auto"/>
              <w:rPr>
                <w:rFonts w:ascii="仿宋_GB2312" w:hAnsi="Times New Roman" w:eastAsia="仿宋_GB2312" w:cs="Times New Roman"/>
                <w:b/>
                <w:color w:val="FF0000"/>
                <w:kern w:val="0"/>
                <w:sz w:val="24"/>
                <w:szCs w:val="24"/>
              </w:rPr>
            </w:pPr>
            <w:r>
              <w:rPr>
                <w:rFonts w:ascii="仿宋_GB2312" w:hAnsi="Times New Roman" w:eastAsia="仿宋_GB2312" w:cs="Times New Roman"/>
                <w:kern w:val="0"/>
                <w:sz w:val="24"/>
                <w:szCs w:val="24"/>
              </w:rPr>
              <w:t>到</w:t>
            </w:r>
            <w:r>
              <w:rPr>
                <w:rFonts w:hint="eastAsia" w:ascii="仿宋_GB2312" w:hAnsi="Times New Roman" w:eastAsia="仿宋_GB2312" w:cs="Times New Roman"/>
                <w:kern w:val="0"/>
                <w:sz w:val="24"/>
                <w:szCs w:val="24"/>
              </w:rPr>
              <w:t>2</w:t>
            </w:r>
            <w:r>
              <w:rPr>
                <w:rFonts w:ascii="仿宋_GB2312" w:hAnsi="Times New Roman" w:eastAsia="仿宋_GB2312" w:cs="Times New Roman"/>
                <w:kern w:val="0"/>
                <w:sz w:val="24"/>
                <w:szCs w:val="24"/>
              </w:rPr>
              <w:t>025年</w:t>
            </w:r>
            <w:r>
              <w:rPr>
                <w:rFonts w:hint="eastAsia" w:ascii="仿宋_GB2312" w:hAnsi="Times New Roman" w:eastAsia="仿宋_GB2312" w:cs="Times New Roman"/>
                <w:kern w:val="0"/>
                <w:sz w:val="24"/>
                <w:szCs w:val="24"/>
              </w:rPr>
              <w:t>产业规模达到</w:t>
            </w:r>
            <w:r>
              <w:rPr>
                <w:rFonts w:ascii="仿宋_GB2312" w:hAnsi="Times New Roman" w:eastAsia="仿宋_GB2312" w:cs="Times New Roman"/>
                <w:kern w:val="0"/>
                <w:sz w:val="24"/>
                <w:szCs w:val="24"/>
              </w:rPr>
              <w:t>450</w:t>
            </w:r>
            <w:r>
              <w:rPr>
                <w:rFonts w:hint="eastAsia" w:ascii="仿宋_GB2312" w:hAnsi="Times New Roman" w:eastAsia="仿宋_GB2312" w:cs="Times New Roman"/>
                <w:kern w:val="0"/>
                <w:sz w:val="24"/>
                <w:szCs w:val="24"/>
              </w:rPr>
              <w:t>亿元；</w:t>
            </w:r>
            <w:r>
              <w:rPr>
                <w:rFonts w:ascii="仿宋_GB2312" w:hAnsi="Times New Roman" w:eastAsia="仿宋_GB2312" w:cs="Times New Roman"/>
                <w:kern w:val="0"/>
                <w:sz w:val="24"/>
                <w:szCs w:val="24"/>
              </w:rPr>
              <w:t>到</w:t>
            </w:r>
            <w:r>
              <w:rPr>
                <w:rFonts w:hint="eastAsia" w:ascii="仿宋_GB2312" w:hAnsi="Times New Roman" w:eastAsia="仿宋_GB2312" w:cs="Times New Roman"/>
                <w:kern w:val="0"/>
                <w:sz w:val="24"/>
                <w:szCs w:val="24"/>
              </w:rPr>
              <w:t>2</w:t>
            </w:r>
            <w:r>
              <w:rPr>
                <w:rFonts w:ascii="仿宋_GB2312" w:hAnsi="Times New Roman" w:eastAsia="仿宋_GB2312" w:cs="Times New Roman"/>
                <w:kern w:val="0"/>
                <w:sz w:val="24"/>
                <w:szCs w:val="24"/>
              </w:rPr>
              <w:t>035年</w:t>
            </w:r>
            <w:r>
              <w:rPr>
                <w:rFonts w:hint="eastAsia" w:ascii="仿宋_GB2312" w:hAnsi="Times New Roman" w:eastAsia="仿宋_GB2312" w:cs="Times New Roman"/>
                <w:kern w:val="0"/>
                <w:sz w:val="24"/>
                <w:szCs w:val="24"/>
              </w:rPr>
              <w:t>产业规模达到1</w:t>
            </w:r>
            <w:r>
              <w:rPr>
                <w:rFonts w:ascii="仿宋_GB2312" w:hAnsi="Times New Roman" w:eastAsia="仿宋_GB2312" w:cs="Times New Roman"/>
                <w:kern w:val="0"/>
                <w:sz w:val="24"/>
                <w:szCs w:val="24"/>
              </w:rPr>
              <w:t>0</w:t>
            </w:r>
            <w:r>
              <w:rPr>
                <w:rFonts w:hint="eastAsia" w:ascii="仿宋_GB2312" w:hAnsi="Times New Roman" w:eastAsia="仿宋_GB2312" w:cs="Times New Roman"/>
                <w:kern w:val="0"/>
                <w:sz w:val="24"/>
                <w:szCs w:val="24"/>
              </w:rPr>
              <w:t>00亿元。</w:t>
            </w:r>
          </w:p>
        </w:tc>
      </w:tr>
    </w:tbl>
    <w:p>
      <w:pPr>
        <w:spacing w:beforeLines="50" w:line="560" w:lineRule="exact"/>
        <w:ind w:firstLine="642" w:firstLineChars="200"/>
        <w:outlineLvl w:val="1"/>
        <w:rPr>
          <w:rFonts w:ascii="楷体_GB2312" w:eastAsia="楷体_GB2312"/>
          <w:b/>
          <w:sz w:val="32"/>
          <w:szCs w:val="32"/>
        </w:rPr>
      </w:pPr>
      <w:bookmarkStart w:id="50" w:name="_Toc3583602"/>
      <w:r>
        <w:rPr>
          <w:rFonts w:hint="eastAsia" w:ascii="楷体_GB2312" w:eastAsia="楷体_GB2312"/>
          <w:b/>
          <w:sz w:val="32"/>
          <w:szCs w:val="32"/>
        </w:rPr>
        <w:t>（四）</w:t>
      </w:r>
      <w:bookmarkEnd w:id="50"/>
      <w:r>
        <w:rPr>
          <w:rFonts w:hint="eastAsia" w:ascii="楷体_GB2312" w:eastAsia="楷体_GB2312"/>
          <w:b/>
          <w:sz w:val="32"/>
          <w:szCs w:val="32"/>
        </w:rPr>
        <w:t>特色服务产业</w:t>
      </w:r>
    </w:p>
    <w:p>
      <w:pPr>
        <w:spacing w:line="56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以满足科技创新需求和提升产业创新能力为导向</w:t>
      </w:r>
      <w:r>
        <w:rPr>
          <w:rFonts w:hint="eastAsia" w:ascii="仿宋_GB2312" w:hAnsi="仿宋_GB2312" w:eastAsia="仿宋_GB2312" w:cs="仿宋_GB2312"/>
          <w:color w:val="000000"/>
          <w:sz w:val="32"/>
          <w:szCs w:val="32"/>
        </w:rPr>
        <w:t>，构建</w:t>
      </w:r>
      <w:r>
        <w:rPr>
          <w:rFonts w:ascii="仿宋_GB2312" w:hAnsi="仿宋_GB2312" w:eastAsia="仿宋_GB2312" w:cs="仿宋_GB2312"/>
          <w:color w:val="000000"/>
          <w:sz w:val="32"/>
          <w:szCs w:val="32"/>
        </w:rPr>
        <w:t>覆盖全链条的科技服务体系</w:t>
      </w:r>
      <w:r>
        <w:rPr>
          <w:rFonts w:hint="eastAsia" w:ascii="仿宋_GB2312" w:hAnsi="仿宋_GB2312" w:eastAsia="仿宋_GB2312" w:cs="仿宋_GB2312"/>
          <w:color w:val="000000"/>
          <w:sz w:val="32"/>
          <w:szCs w:val="32"/>
        </w:rPr>
        <w:t>，成为粤港澳大湾区</w:t>
      </w:r>
      <w:r>
        <w:rPr>
          <w:rFonts w:hint="eastAsia" w:ascii="仿宋_GB2312" w:eastAsia="仿宋_GB2312"/>
          <w:sz w:val="32"/>
          <w:szCs w:val="32"/>
        </w:rPr>
        <w:t>科技服务领跑者</w:t>
      </w: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以满足人民对美好生活的向往为导向</w:t>
      </w:r>
      <w:r>
        <w:rPr>
          <w:rFonts w:hint="eastAsia" w:ascii="仿宋_GB2312" w:hAnsi="仿宋_GB2312" w:eastAsia="仿宋_GB2312" w:cs="仿宋_GB2312"/>
          <w:color w:val="000000"/>
          <w:sz w:val="32"/>
          <w:szCs w:val="32"/>
        </w:rPr>
        <w:t>，发展全域旅游和科普旅游，打造“科学+文化+旅游”的特色旅游示范区。结合光明“科学”和“生态”两大优势资源，构建特色服务产业体系。</w:t>
      </w:r>
    </w:p>
    <w:p>
      <w:pPr>
        <w:spacing w:line="560" w:lineRule="exact"/>
        <w:ind w:firstLine="642" w:firstLineChars="200"/>
        <w:outlineLvl w:val="2"/>
        <w:rPr>
          <w:rFonts w:ascii="仿宋_GB2312" w:hAnsi="宋体" w:eastAsia="仿宋_GB2312" w:cs="黑体"/>
          <w:b/>
          <w:bCs/>
          <w:sz w:val="32"/>
          <w:szCs w:val="30"/>
        </w:rPr>
      </w:pPr>
      <w:bookmarkStart w:id="51" w:name="_Toc3583603"/>
      <w:r>
        <w:rPr>
          <w:rFonts w:hint="eastAsia" w:ascii="仿宋_GB2312" w:hAnsi="宋体" w:eastAsia="仿宋_GB2312" w:cs="黑体"/>
          <w:b/>
          <w:bCs/>
          <w:sz w:val="32"/>
          <w:szCs w:val="30"/>
        </w:rPr>
        <w:t>1.科技服务业</w:t>
      </w:r>
      <w:bookmarkEnd w:id="51"/>
    </w:p>
    <w:p>
      <w:pPr>
        <w:spacing w:line="560" w:lineRule="exact"/>
        <w:ind w:firstLine="607" w:firstLineChars="189"/>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科技金融。</w:t>
      </w:r>
      <w:r>
        <w:rPr>
          <w:rFonts w:hint="eastAsia" w:ascii="仿宋_GB2312" w:hAnsi="仿宋_GB2312" w:eastAsia="仿宋_GB2312" w:cs="仿宋_GB2312"/>
          <w:color w:val="000000"/>
          <w:sz w:val="32"/>
          <w:szCs w:val="32"/>
        </w:rPr>
        <w:t>推进科技金融深度融合，发挥政府引导基金导向功能，设立天使投资引导基金。鼓励创投机构、科技银行、科技保险、融资担保等金融机构对科技企业进行投资和增值服务，探索投贷联动、知识产权证券化等新型融资模式。支持创业投资机构与银行、证券、保险等金融机构合作，探索投贷联动、投债联动、投保联动等新模式。</w:t>
      </w:r>
    </w:p>
    <w:p>
      <w:pPr>
        <w:spacing w:line="560" w:lineRule="exact"/>
        <w:ind w:firstLine="607" w:firstLineChars="189"/>
        <w:rPr>
          <w:rFonts w:ascii="仿宋_GB2312" w:hAnsi="仿宋_GB2312" w:eastAsia="仿宋_GB2312" w:cs="仿宋_GB2312"/>
          <w:color w:val="000000"/>
          <w:sz w:val="32"/>
          <w:szCs w:val="32"/>
        </w:rPr>
      </w:pPr>
      <w:r>
        <w:rPr>
          <w:rFonts w:ascii="仿宋_GB2312" w:hAnsi="仿宋_GB2312" w:eastAsia="仿宋_GB2312" w:cs="仿宋_GB2312"/>
          <w:b/>
          <w:color w:val="000000"/>
          <w:sz w:val="32"/>
          <w:szCs w:val="32"/>
        </w:rPr>
        <w:t>研究开发服务</w:t>
      </w:r>
      <w:r>
        <w:rPr>
          <w:rFonts w:hint="eastAsia" w:ascii="仿宋_GB2312" w:hAnsi="仿宋_GB2312" w:eastAsia="仿宋_GB2312" w:cs="仿宋_GB2312"/>
          <w:b/>
          <w:color w:val="000000"/>
          <w:sz w:val="32"/>
          <w:szCs w:val="32"/>
        </w:rPr>
        <w:t>。</w:t>
      </w:r>
      <w:r>
        <w:rPr>
          <w:rFonts w:hint="eastAsia" w:ascii="仿宋_GB2312" w:hAnsi="仿宋_GB2312" w:eastAsia="仿宋_GB2312" w:cs="仿宋_GB2312"/>
          <w:color w:val="000000"/>
          <w:sz w:val="32"/>
          <w:szCs w:val="32"/>
        </w:rPr>
        <w:t>支持重大科技基础设施集群、高校和新型研发机构等整合科研资源，健全科技资源开放共享机制，积极培育新型研发组织、研发中介和研发服务外包新业态，为重点产业提供专业化技术研发服务。</w:t>
      </w:r>
    </w:p>
    <w:p>
      <w:pPr>
        <w:spacing w:line="560" w:lineRule="exact"/>
        <w:ind w:firstLine="607" w:firstLineChars="189"/>
        <w:rPr>
          <w:rFonts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rPr>
        <w:t>检验检测认证服务。</w:t>
      </w:r>
      <w:r>
        <w:rPr>
          <w:rFonts w:hint="eastAsia" w:ascii="仿宋_GB2312" w:hAnsi="仿宋_GB2312" w:eastAsia="仿宋_GB2312" w:cs="仿宋_GB2312"/>
          <w:color w:val="000000"/>
          <w:sz w:val="32"/>
          <w:szCs w:val="32"/>
        </w:rPr>
        <w:t>围绕重点产业发展领域，吸引集聚一批国家、省级检验检测机构，支持发展第三方检验检测认证服务，构建产业计量测试服务体系，加强技术标准研制与应用，建立技术标准全程服务体系。</w:t>
      </w:r>
    </w:p>
    <w:p>
      <w:pPr>
        <w:spacing w:line="560" w:lineRule="exact"/>
        <w:ind w:firstLine="607" w:firstLineChars="189"/>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技术转移转化服务。</w:t>
      </w:r>
      <w:r>
        <w:rPr>
          <w:rFonts w:hint="eastAsia" w:ascii="仿宋_GB2312" w:hAnsi="仿宋_GB2312" w:eastAsia="仿宋_GB2312" w:cs="仿宋_GB2312"/>
          <w:color w:val="000000"/>
          <w:sz w:val="32"/>
          <w:szCs w:val="32"/>
        </w:rPr>
        <w:t>支持具有自主创新能力的科技型领军企业、高校和科研院所设立技术转移转化机构，建设众创空间、孵化平台等创客载体，搭建资源对接公共服务平台，构建技术转移转化绿色通道。</w:t>
      </w:r>
    </w:p>
    <w:p>
      <w:pPr>
        <w:spacing w:line="560" w:lineRule="exact"/>
        <w:ind w:firstLine="607" w:firstLineChars="189"/>
        <w:rPr>
          <w:rFonts w:ascii="仿宋_GB2312" w:hAnsi="仿宋_GB2312" w:eastAsia="仿宋_GB2312" w:cs="仿宋_GB2312"/>
          <w:color w:val="000000"/>
          <w:sz w:val="32"/>
          <w:szCs w:val="32"/>
        </w:rPr>
      </w:pPr>
      <w:r>
        <w:rPr>
          <w:rFonts w:ascii="仿宋_GB2312" w:hAnsi="仿宋_GB2312" w:eastAsia="仿宋_GB2312" w:cs="仿宋_GB2312"/>
          <w:b/>
          <w:color w:val="000000"/>
          <w:sz w:val="32"/>
          <w:szCs w:val="32"/>
        </w:rPr>
        <w:t>知识产权服务</w:t>
      </w:r>
      <w:r>
        <w:rPr>
          <w:rFonts w:hint="eastAsia" w:ascii="仿宋_GB2312" w:hAnsi="仿宋_GB2312" w:eastAsia="仿宋_GB2312" w:cs="仿宋_GB2312"/>
          <w:b/>
          <w:color w:val="000000"/>
          <w:sz w:val="32"/>
          <w:szCs w:val="32"/>
        </w:rPr>
        <w:t>。</w:t>
      </w:r>
      <w:r>
        <w:rPr>
          <w:rFonts w:hint="eastAsia" w:ascii="仿宋_GB2312" w:hAnsi="仿宋_GB2312" w:eastAsia="仿宋_GB2312" w:cs="仿宋_GB2312"/>
          <w:color w:val="000000"/>
          <w:sz w:val="32"/>
          <w:szCs w:val="32"/>
        </w:rPr>
        <w:t>加强知识产权保护，争取中国（深圳）知识产权保护中心加大对光明区的支持力度，为光明企业提供知识产权快速授权、快速确权、快速维权服务。支持光明在重点产业领域建设知识产权保护工作站，为企业提供知识产权人才培养、政策咨询和维权服务。</w:t>
      </w:r>
    </w:p>
    <w:p>
      <w:pPr>
        <w:spacing w:line="560" w:lineRule="exact"/>
        <w:ind w:firstLine="607" w:firstLineChars="189"/>
        <w:outlineLvl w:val="2"/>
        <w:rPr>
          <w:rFonts w:ascii="仿宋_GB2312" w:hAnsi="宋体" w:eastAsia="仿宋_GB2312" w:cs="黑体"/>
          <w:b/>
          <w:bCs/>
          <w:sz w:val="32"/>
          <w:szCs w:val="30"/>
        </w:rPr>
      </w:pPr>
      <w:bookmarkStart w:id="52" w:name="_Toc495249223"/>
      <w:bookmarkStart w:id="53" w:name="_Toc3583604"/>
      <w:r>
        <w:rPr>
          <w:rFonts w:ascii="仿宋_GB2312" w:hAnsi="宋体" w:eastAsia="仿宋_GB2312" w:cs="黑体"/>
          <w:b/>
          <w:bCs/>
          <w:sz w:val="32"/>
          <w:szCs w:val="30"/>
        </w:rPr>
        <w:t>2.文化</w:t>
      </w:r>
      <w:r>
        <w:rPr>
          <w:rFonts w:hint="eastAsia" w:ascii="仿宋_GB2312" w:hAnsi="宋体" w:eastAsia="仿宋_GB2312" w:cs="黑体"/>
          <w:b/>
          <w:bCs/>
          <w:sz w:val="32"/>
          <w:szCs w:val="30"/>
        </w:rPr>
        <w:t>旅</w:t>
      </w:r>
      <w:bookmarkEnd w:id="52"/>
      <w:r>
        <w:rPr>
          <w:rFonts w:hint="eastAsia" w:ascii="仿宋_GB2312" w:hAnsi="宋体" w:eastAsia="仿宋_GB2312" w:cs="黑体"/>
          <w:b/>
          <w:bCs/>
          <w:sz w:val="32"/>
          <w:szCs w:val="30"/>
        </w:rPr>
        <w:t>游业</w:t>
      </w:r>
      <w:bookmarkEnd w:id="53"/>
    </w:p>
    <w:p>
      <w:pPr>
        <w:spacing w:line="560" w:lineRule="exact"/>
        <w:ind w:firstLine="642" w:firstLineChars="200"/>
        <w:rPr>
          <w:rFonts w:ascii="仿宋_GB2312" w:hAnsi="黑体" w:eastAsia="仿宋_GB2312" w:cs="Times New Roman"/>
          <w:sz w:val="32"/>
          <w:szCs w:val="32"/>
        </w:rPr>
      </w:pPr>
      <w:r>
        <w:rPr>
          <w:rFonts w:hint="eastAsia" w:ascii="仿宋_GB2312" w:hAnsi="宋体" w:eastAsia="仿宋_GB2312" w:cs="黑体"/>
          <w:b/>
          <w:bCs/>
          <w:sz w:val="32"/>
          <w:szCs w:val="30"/>
        </w:rPr>
        <w:t>文化</w:t>
      </w:r>
      <w:r>
        <w:rPr>
          <w:rFonts w:ascii="仿宋_GB2312" w:hAnsi="宋体" w:eastAsia="仿宋_GB2312" w:cs="黑体"/>
          <w:b/>
          <w:bCs/>
          <w:sz w:val="32"/>
          <w:szCs w:val="30"/>
        </w:rPr>
        <w:t>创意。</w:t>
      </w:r>
      <w:r>
        <w:rPr>
          <w:rFonts w:hint="eastAsia" w:ascii="仿宋_GB2312" w:hAnsi="黑体" w:eastAsia="仿宋_GB2312" w:cs="Times New Roman"/>
          <w:sz w:val="32"/>
          <w:szCs w:val="32"/>
        </w:rPr>
        <w:t>促进钟表、内衣等优势传统产业与文化产业融合，提升创意设计</w:t>
      </w:r>
      <w:r>
        <w:rPr>
          <w:rFonts w:ascii="仿宋_GB2312" w:hAnsi="黑体" w:eastAsia="仿宋_GB2312" w:cs="Times New Roman"/>
          <w:sz w:val="32"/>
          <w:szCs w:val="32"/>
        </w:rPr>
        <w:t>水平</w:t>
      </w:r>
      <w:r>
        <w:rPr>
          <w:rFonts w:hint="eastAsia" w:ascii="仿宋_GB2312" w:hAnsi="黑体" w:eastAsia="仿宋_GB2312" w:cs="Times New Roman"/>
          <w:sz w:val="32"/>
          <w:szCs w:val="32"/>
        </w:rPr>
        <w:t>。充分利用数字化资源、智能化处理等技术，全面激发创新创意创作创业，提升公共文化数字化服务水平。支持融合多种业态和内容形式的联动创意开发模式，打造具有影响力的数字创意精品。</w:t>
      </w:r>
    </w:p>
    <w:p>
      <w:pPr>
        <w:spacing w:line="560" w:lineRule="exact"/>
        <w:ind w:firstLine="642" w:firstLineChars="200"/>
      </w:pPr>
      <w:r>
        <w:rPr>
          <w:rFonts w:hint="eastAsia" w:ascii="仿宋_GB2312" w:hAnsi="仿宋_GB2312" w:eastAsia="仿宋_GB2312" w:cs="仿宋_GB2312"/>
          <w:b/>
          <w:sz w:val="32"/>
          <w:szCs w:val="32"/>
        </w:rPr>
        <w:t>科普</w:t>
      </w:r>
      <w:r>
        <w:rPr>
          <w:rFonts w:ascii="仿宋_GB2312" w:hAnsi="仿宋_GB2312" w:eastAsia="仿宋_GB2312" w:cs="仿宋_GB2312"/>
          <w:b/>
          <w:sz w:val="32"/>
          <w:szCs w:val="32"/>
        </w:rPr>
        <w:t>旅游</w:t>
      </w:r>
      <w:r>
        <w:rPr>
          <w:rFonts w:hint="eastAsia" w:ascii="仿宋_GB2312" w:hAnsi="仿宋_GB2312" w:eastAsia="仿宋_GB2312" w:cs="仿宋_GB2312"/>
          <w:b/>
          <w:sz w:val="32"/>
          <w:szCs w:val="32"/>
        </w:rPr>
        <w:t>。</w:t>
      </w:r>
      <w:r>
        <w:rPr>
          <w:rFonts w:hint="eastAsia" w:ascii="仿宋_GB2312" w:hAnsi="仿宋_GB2312" w:eastAsia="仿宋_GB2312" w:cs="仿宋_GB2312"/>
          <w:sz w:val="32"/>
          <w:szCs w:val="32"/>
        </w:rPr>
        <w:t>依托光明科学城，</w:t>
      </w:r>
      <w:r>
        <w:rPr>
          <w:rFonts w:ascii="仿宋_GB2312" w:hAnsi="仿宋_GB2312" w:eastAsia="仿宋_GB2312" w:cs="仿宋_GB2312"/>
          <w:sz w:val="32"/>
          <w:szCs w:val="32"/>
        </w:rPr>
        <w:t>规划筹建</w:t>
      </w:r>
      <w:r>
        <w:rPr>
          <w:rFonts w:hint="eastAsia" w:ascii="仿宋_GB2312" w:hAnsi="黑体" w:eastAsia="仿宋_GB2312"/>
          <w:sz w:val="32"/>
          <w:szCs w:val="32"/>
        </w:rPr>
        <w:t>生物科学馆、材料科学馆、科学数据馆等科普类展馆，</w:t>
      </w:r>
      <w:r>
        <w:rPr>
          <w:rFonts w:hint="eastAsia" w:ascii="仿宋_GB2312" w:hAnsi="仿宋_GB2312" w:eastAsia="仿宋_GB2312" w:cs="仿宋_GB2312"/>
          <w:color w:val="000000"/>
          <w:sz w:val="32"/>
          <w:szCs w:val="32"/>
        </w:rPr>
        <w:t>支持重大</w:t>
      </w:r>
      <w:r>
        <w:rPr>
          <w:rFonts w:ascii="仿宋_GB2312" w:hAnsi="仿宋_GB2312" w:eastAsia="仿宋_GB2312" w:cs="仿宋_GB2312"/>
          <w:color w:val="000000"/>
          <w:sz w:val="32"/>
          <w:szCs w:val="32"/>
        </w:rPr>
        <w:t>科技基础设施集群</w:t>
      </w:r>
      <w:r>
        <w:rPr>
          <w:rFonts w:hint="eastAsia" w:ascii="仿宋_GB2312" w:hAnsi="仿宋_GB2312" w:eastAsia="仿宋_GB2312" w:cs="仿宋_GB2312"/>
          <w:color w:val="000000"/>
          <w:sz w:val="32"/>
          <w:szCs w:val="32"/>
        </w:rPr>
        <w:t>开展</w:t>
      </w:r>
      <w:r>
        <w:rPr>
          <w:rFonts w:ascii="仿宋_GB2312" w:hAnsi="仿宋_GB2312" w:eastAsia="仿宋_GB2312" w:cs="仿宋_GB2312"/>
          <w:color w:val="000000"/>
          <w:sz w:val="32"/>
          <w:szCs w:val="32"/>
        </w:rPr>
        <w:t>科普</w:t>
      </w:r>
      <w:r>
        <w:rPr>
          <w:rFonts w:hint="eastAsia" w:ascii="仿宋_GB2312" w:hAnsi="仿宋_GB2312" w:eastAsia="仿宋_GB2312" w:cs="仿宋_GB2312"/>
          <w:color w:val="000000"/>
          <w:sz w:val="32"/>
          <w:szCs w:val="32"/>
        </w:rPr>
        <w:t>活动</w:t>
      </w:r>
      <w:r>
        <w:rPr>
          <w:rFonts w:hint="eastAsia" w:ascii="仿宋_GB2312" w:hAnsi="黑体" w:eastAsia="仿宋_GB2312"/>
          <w:sz w:val="32"/>
          <w:szCs w:val="32"/>
        </w:rPr>
        <w:t>，开发一批特色鲜明的科普旅游品牌线路和产品，</w:t>
      </w:r>
      <w:r>
        <w:rPr>
          <w:rFonts w:hint="eastAsia" w:ascii="仿宋_GB2312" w:hAnsi="仿宋_GB2312" w:eastAsia="仿宋_GB2312" w:cs="仿宋_GB2312"/>
          <w:color w:val="000000"/>
          <w:sz w:val="32"/>
          <w:szCs w:val="32"/>
        </w:rPr>
        <w:t>打造“科技+旅游”示范基地</w:t>
      </w:r>
      <w:r>
        <w:rPr>
          <w:rFonts w:ascii="仿宋_GB2312" w:hAnsi="仿宋_GB2312" w:eastAsia="仿宋_GB2312" w:cs="仿宋_GB2312"/>
          <w:color w:val="000000"/>
          <w:sz w:val="32"/>
          <w:szCs w:val="32"/>
        </w:rPr>
        <w:t>。</w:t>
      </w:r>
    </w:p>
    <w:p>
      <w:pPr>
        <w:spacing w:line="560" w:lineRule="exact"/>
        <w:ind w:firstLine="642" w:firstLineChars="200"/>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全域旅游</w:t>
      </w:r>
      <w:r>
        <w:rPr>
          <w:rFonts w:hint="eastAsia" w:ascii="仿宋_GB2312" w:hAnsi="仿宋_GB2312" w:eastAsia="仿宋_GB2312" w:cs="仿宋_GB2312"/>
          <w:color w:val="000000"/>
          <w:sz w:val="32"/>
          <w:szCs w:val="32"/>
        </w:rPr>
        <w:t>。整合光明的</w:t>
      </w:r>
      <w:r>
        <w:rPr>
          <w:rFonts w:ascii="仿宋_GB2312" w:hAnsi="仿宋_GB2312" w:eastAsia="仿宋_GB2312" w:cs="仿宋_GB2312"/>
          <w:color w:val="000000"/>
          <w:sz w:val="32"/>
          <w:szCs w:val="32"/>
        </w:rPr>
        <w:t>自然</w:t>
      </w:r>
      <w:r>
        <w:rPr>
          <w:rFonts w:hint="eastAsia" w:ascii="仿宋_GB2312" w:hAnsi="仿宋_GB2312" w:eastAsia="仿宋_GB2312" w:cs="仿宋_GB2312"/>
          <w:color w:val="000000"/>
          <w:sz w:val="32"/>
          <w:szCs w:val="32"/>
        </w:rPr>
        <w:t>资源</w:t>
      </w:r>
      <w:r>
        <w:rPr>
          <w:rFonts w:ascii="仿宋_GB2312" w:hAnsi="仿宋_GB2312" w:eastAsia="仿宋_GB2312" w:cs="仿宋_GB2312"/>
          <w:color w:val="000000"/>
          <w:sz w:val="32"/>
          <w:szCs w:val="32"/>
        </w:rPr>
        <w:t>与文化资源</w:t>
      </w:r>
      <w:r>
        <w:rPr>
          <w:rFonts w:hint="eastAsia" w:ascii="仿宋_GB2312" w:hAnsi="仿宋_GB2312" w:eastAsia="仿宋_GB2312" w:cs="仿宋_GB2312"/>
          <w:color w:val="000000"/>
          <w:sz w:val="32"/>
          <w:szCs w:val="32"/>
        </w:rPr>
        <w:t>，依托文旅行业龙头企业，搭建全域旅游平台，支持建设旅游综合体、主题功能区、旅游小镇以及城市绿道、慢行系统等，建立相关要素配置完备、能够全面满足游客体验需求的综合性旅游目的地，</w:t>
      </w:r>
      <w:r>
        <w:rPr>
          <w:rFonts w:ascii="仿宋_GB2312" w:hAnsi="仿宋_GB2312" w:eastAsia="仿宋_GB2312" w:cs="仿宋_GB2312"/>
          <w:color w:val="000000"/>
          <w:sz w:val="32"/>
          <w:szCs w:val="32"/>
        </w:rPr>
        <w:t>打造</w:t>
      </w:r>
      <w:r>
        <w:rPr>
          <w:rFonts w:hint="eastAsia" w:ascii="仿宋_GB2312" w:hAnsi="仿宋_GB2312" w:eastAsia="仿宋_GB2312" w:cs="仿宋_GB2312"/>
          <w:color w:val="000000"/>
          <w:sz w:val="32"/>
          <w:szCs w:val="32"/>
        </w:rPr>
        <w:t>粤港澳大湾区全域</w:t>
      </w:r>
      <w:r>
        <w:rPr>
          <w:rFonts w:ascii="仿宋_GB2312" w:hAnsi="仿宋_GB2312" w:eastAsia="仿宋_GB2312" w:cs="仿宋_GB2312"/>
          <w:color w:val="000000"/>
          <w:sz w:val="32"/>
          <w:szCs w:val="32"/>
        </w:rPr>
        <w:t>旅游</w:t>
      </w:r>
      <w:r>
        <w:rPr>
          <w:rFonts w:hint="eastAsia" w:ascii="仿宋_GB2312" w:hAnsi="仿宋_GB2312" w:eastAsia="仿宋_GB2312" w:cs="仿宋_GB2312"/>
          <w:color w:val="000000"/>
          <w:sz w:val="32"/>
          <w:szCs w:val="32"/>
        </w:rPr>
        <w:t>示范区</w:t>
      </w:r>
      <w:r>
        <w:rPr>
          <w:rFonts w:ascii="仿宋_GB2312" w:hAnsi="仿宋_GB2312" w:eastAsia="仿宋_GB2312"/>
          <w:sz w:val="32"/>
        </w:rPr>
        <w:t>。</w:t>
      </w:r>
    </w:p>
    <w:p>
      <w:pPr>
        <w:pStyle w:val="2"/>
        <w:spacing w:line="560" w:lineRule="exact"/>
        <w:ind w:firstLine="640"/>
      </w:pPr>
      <w:bookmarkStart w:id="54" w:name="_Toc3583605"/>
      <w:r>
        <w:rPr>
          <w:rFonts w:hint="eastAsia"/>
        </w:rPr>
        <w:t>四、着力实施关键要素提升工程</w:t>
      </w:r>
      <w:bookmarkEnd w:id="32"/>
      <w:bookmarkEnd w:id="54"/>
    </w:p>
    <w:p>
      <w:pPr>
        <w:spacing w:line="560" w:lineRule="exact"/>
        <w:ind w:firstLine="640" w:firstLineChars="200"/>
        <w:rPr>
          <w:rFonts w:ascii="仿宋_GB2312" w:hAnsi="黑体" w:eastAsia="仿宋_GB2312" w:cs="Times New Roman"/>
          <w:sz w:val="32"/>
          <w:szCs w:val="32"/>
        </w:rPr>
      </w:pPr>
      <w:bookmarkStart w:id="55" w:name="_Toc535441316"/>
      <w:r>
        <w:rPr>
          <w:rFonts w:hint="eastAsia" w:ascii="仿宋_GB2312" w:hAnsi="黑体" w:eastAsia="仿宋_GB2312" w:cs="Times New Roman"/>
          <w:sz w:val="32"/>
          <w:szCs w:val="32"/>
        </w:rPr>
        <w:t>以服务产业发展为导向，以全球视野谋划，高标准实施五大工程，最大限度用好国际国内市内三种资源，汇聚知识、技术、人才、资金、空间等五个要素，建立健全覆盖“基础研究+技术攻关+成果产业化+科技金融”全链条的创新生态。</w:t>
      </w:r>
    </w:p>
    <w:p>
      <w:pPr>
        <w:spacing w:line="560" w:lineRule="exact"/>
        <w:ind w:firstLine="642" w:firstLineChars="200"/>
        <w:outlineLvl w:val="1"/>
        <w:rPr>
          <w:rFonts w:ascii="楷体_GB2312" w:hAnsi="黑体" w:eastAsia="楷体_GB2312" w:cs="Times New Roman"/>
          <w:b/>
          <w:sz w:val="32"/>
          <w:szCs w:val="32"/>
        </w:rPr>
      </w:pPr>
      <w:bookmarkStart w:id="56" w:name="_Toc3583606"/>
      <w:r>
        <w:rPr>
          <w:rFonts w:hint="eastAsia" w:ascii="楷体_GB2312" w:hAnsi="黑体" w:eastAsia="楷体_GB2312" w:cs="Times New Roman"/>
          <w:b/>
          <w:sz w:val="32"/>
          <w:szCs w:val="32"/>
        </w:rPr>
        <w:t>（一）创新能力强基工程</w:t>
      </w:r>
      <w:bookmarkEnd w:id="55"/>
      <w:bookmarkEnd w:id="56"/>
    </w:p>
    <w:p>
      <w:pPr>
        <w:spacing w:afterLines="50" w:line="560" w:lineRule="exact"/>
        <w:ind w:firstLine="640" w:firstLineChars="200"/>
        <w:rPr>
          <w:rFonts w:ascii="仿宋_GB2312" w:hAnsi="黑体" w:eastAsia="仿宋_GB2312" w:cs="Times New Roman"/>
          <w:sz w:val="32"/>
          <w:szCs w:val="32"/>
        </w:rPr>
      </w:pPr>
      <w:r>
        <w:rPr>
          <w:rFonts w:hint="eastAsia" w:ascii="仿宋_GB2312" w:hAnsi="黑体" w:eastAsia="仿宋_GB2312" w:cs="Times New Roman"/>
          <w:sz w:val="32"/>
          <w:szCs w:val="32"/>
        </w:rPr>
        <w:t>高标准、超常规布局学科特色鲜明、相互支撑协作的世界级重大科技基础设施集群，重点引进相关领域的国际一流大学和科研院所在光明建设分校和分支机构，布局一批国家工程实验室、产业技术研究院等创新载体，对接世界级科学根技术，联合攻克一批制约产业发展的关键共性技术和“卡脖子”核心技术，联合粤港澳大湾区科技资源携手共建</w:t>
      </w:r>
      <w:r>
        <w:rPr>
          <w:rFonts w:ascii="仿宋_GB2312" w:hAnsi="黑体" w:eastAsia="仿宋_GB2312" w:cs="Times New Roman"/>
          <w:sz w:val="32"/>
          <w:szCs w:val="32"/>
        </w:rPr>
        <w:t>综合性国家科学中心</w:t>
      </w:r>
      <w:r>
        <w:rPr>
          <w:rFonts w:hint="eastAsia" w:ascii="仿宋_GB2312" w:hAnsi="黑体" w:eastAsia="仿宋_GB2312" w:cs="Times New Roman"/>
          <w:sz w:val="32"/>
          <w:szCs w:val="32"/>
        </w:rPr>
        <w:t>，打造具有国际影响力的源头创新高地，为产业发展提供高质量源头供给。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96" w:type="dxa"/>
            <w:vAlign w:val="center"/>
          </w:tcPr>
          <w:p>
            <w:pPr>
              <w:adjustRightInd w:val="0"/>
              <w:snapToGrid w:val="0"/>
              <w:spacing w:line="276" w:lineRule="auto"/>
              <w:jc w:val="center"/>
              <w:rPr>
                <w:rFonts w:ascii="黑体" w:hAnsi="黑体" w:eastAsia="黑体" w:cs="Times New Roman"/>
                <w:kern w:val="0"/>
                <w:sz w:val="32"/>
                <w:szCs w:val="32"/>
              </w:rPr>
            </w:pPr>
            <w:r>
              <w:rPr>
                <w:rFonts w:ascii="黑体" w:hAnsi="黑体" w:eastAsia="黑体" w:cs="Times New Roman"/>
                <w:kern w:val="0"/>
                <w:sz w:val="28"/>
                <w:szCs w:val="32"/>
              </w:rPr>
              <w:t>专栏4 创新</w:t>
            </w:r>
            <w:r>
              <w:rPr>
                <w:rFonts w:hint="eastAsia" w:ascii="黑体" w:hAnsi="黑体" w:eastAsia="黑体" w:cs="Times New Roman"/>
                <w:kern w:val="0"/>
                <w:sz w:val="28"/>
                <w:szCs w:val="32"/>
              </w:rPr>
              <w:t>能力</w:t>
            </w:r>
            <w:r>
              <w:rPr>
                <w:rFonts w:ascii="黑体" w:hAnsi="黑体" w:eastAsia="黑体" w:cs="Times New Roman"/>
                <w:kern w:val="0"/>
                <w:sz w:val="28"/>
                <w:szCs w:val="32"/>
              </w:rPr>
              <w:t>强基工程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96" w:type="dxa"/>
          </w:tcPr>
          <w:p>
            <w:pPr>
              <w:pStyle w:val="30"/>
              <w:numPr>
                <w:ilvl w:val="0"/>
                <w:numId w:val="4"/>
              </w:numPr>
              <w:adjustRightInd w:val="0"/>
              <w:snapToGrid w:val="0"/>
              <w:spacing w:line="276" w:lineRule="auto"/>
              <w:ind w:firstLineChars="0"/>
              <w:rPr>
                <w:rFonts w:ascii="黑体" w:hAnsi="黑体" w:eastAsia="黑体" w:cs="Times New Roman"/>
                <w:kern w:val="0"/>
                <w:sz w:val="24"/>
                <w:szCs w:val="32"/>
              </w:rPr>
            </w:pPr>
            <w:r>
              <w:rPr>
                <w:rFonts w:hint="eastAsia" w:ascii="仿宋_GB2312" w:hAnsi="黑体" w:eastAsia="仿宋_GB2312" w:cs="Times New Roman"/>
                <w:b/>
                <w:kern w:val="0"/>
                <w:sz w:val="24"/>
                <w:szCs w:val="32"/>
              </w:rPr>
              <w:t>建设重大科学基础设施集群。</w:t>
            </w:r>
            <w:r>
              <w:rPr>
                <w:rFonts w:hint="eastAsia" w:ascii="仿宋_GB2312" w:hAnsi="黑体" w:eastAsia="仿宋_GB2312" w:cs="Times New Roman"/>
                <w:kern w:val="0"/>
                <w:sz w:val="24"/>
                <w:szCs w:val="32"/>
              </w:rPr>
              <w:t>加快建设合成生物、脑解析脑模拟、材料基因组、深圳精准医学成像、空间环境与物质作用、空间引力波探测6</w:t>
            </w:r>
            <w:r>
              <w:rPr>
                <w:rFonts w:ascii="仿宋_GB2312" w:hAnsi="黑体" w:eastAsia="仿宋_GB2312" w:cs="Times New Roman"/>
                <w:kern w:val="0"/>
                <w:sz w:val="24"/>
                <w:szCs w:val="32"/>
              </w:rPr>
              <w:t>个</w:t>
            </w:r>
            <w:r>
              <w:rPr>
                <w:rFonts w:hint="eastAsia" w:ascii="仿宋_GB2312" w:hAnsi="黑体" w:eastAsia="仿宋_GB2312" w:cs="Times New Roman"/>
                <w:kern w:val="0"/>
                <w:sz w:val="24"/>
                <w:szCs w:val="32"/>
              </w:rPr>
              <w:t>重大科技基础设施，超前谋划布局光源类重大科技基础设施，积极引进一批国家和市在研的重大科技基础设施；支持香港高校在智能产业、新材料、生命科学等领域在光明布局重大科技基础设施。</w:t>
            </w:r>
          </w:p>
          <w:p>
            <w:pPr>
              <w:pStyle w:val="30"/>
              <w:numPr>
                <w:ilvl w:val="0"/>
                <w:numId w:val="4"/>
              </w:numPr>
              <w:adjustRightInd w:val="0"/>
              <w:snapToGrid w:val="0"/>
              <w:spacing w:line="276" w:lineRule="auto"/>
              <w:ind w:firstLineChars="0"/>
              <w:rPr>
                <w:rFonts w:ascii="黑体" w:hAnsi="黑体" w:eastAsia="黑体" w:cs="Times New Roman"/>
                <w:kern w:val="0"/>
                <w:sz w:val="28"/>
                <w:szCs w:val="32"/>
              </w:rPr>
            </w:pPr>
            <w:r>
              <w:rPr>
                <w:rFonts w:hint="eastAsia" w:ascii="仿宋_GB2312" w:hAnsi="黑体" w:eastAsia="仿宋_GB2312" w:cs="Times New Roman"/>
                <w:b/>
                <w:kern w:val="0"/>
                <w:sz w:val="24"/>
                <w:szCs w:val="32"/>
              </w:rPr>
              <w:t>集聚一批世界知名高校和科研院所。</w:t>
            </w:r>
            <w:r>
              <w:rPr>
                <w:rFonts w:hint="eastAsia" w:ascii="仿宋_GB2312" w:hAnsi="黑体" w:eastAsia="仿宋_GB2312" w:cs="Times New Roman"/>
                <w:kern w:val="0"/>
                <w:sz w:val="24"/>
                <w:szCs w:val="32"/>
              </w:rPr>
              <w:t>加快推进中山大学深圳校区和中国科学院深圳理工大学建设，重点支持重大科技基础设施依托单位在科学城建设新型研发机构，积极引进基础研究机构、诺贝尔奖科学家实验室等创新平台。鼓励中国科学院、中国工程院、香港大学、香港科技大学等国际知名高校和科研院所在科学城建设分支机构及重点实验室、工程技术研究中心等创新载体。</w:t>
            </w:r>
          </w:p>
          <w:p>
            <w:pPr>
              <w:pStyle w:val="30"/>
              <w:numPr>
                <w:ilvl w:val="0"/>
                <w:numId w:val="4"/>
              </w:numPr>
              <w:adjustRightInd w:val="0"/>
              <w:snapToGrid w:val="0"/>
              <w:spacing w:line="276" w:lineRule="auto"/>
              <w:ind w:firstLineChars="0"/>
              <w:rPr>
                <w:rFonts w:ascii="仿宋_GB2312" w:hAnsi="黑体" w:eastAsia="仿宋_GB2312" w:cs="Times New Roman"/>
                <w:kern w:val="0"/>
                <w:sz w:val="24"/>
                <w:szCs w:val="32"/>
              </w:rPr>
            </w:pPr>
            <w:r>
              <w:rPr>
                <w:rFonts w:hint="eastAsia" w:ascii="仿宋_GB2312" w:hAnsi="黑体" w:eastAsia="仿宋_GB2312" w:cs="Times New Roman"/>
                <w:b/>
                <w:kern w:val="0"/>
                <w:sz w:val="24"/>
                <w:szCs w:val="32"/>
              </w:rPr>
              <w:t>组建一批应用技术开发研究院。</w:t>
            </w:r>
            <w:r>
              <w:rPr>
                <w:rFonts w:hint="eastAsia" w:ascii="仿宋_GB2312" w:hAnsi="黑体" w:eastAsia="仿宋_GB2312" w:cs="Times New Roman"/>
                <w:kern w:val="0"/>
                <w:sz w:val="24"/>
                <w:szCs w:val="32"/>
              </w:rPr>
              <w:t>参照比利时微电子研究中心等致力于应用技术研究的运营模式，依托香港高校的优势学科领域，组建一批应用技术开发研究院，利用科学研究形成的基础理论和前沿成果，攻关产业关键共性技术和“卡脖子”的核心技术。</w:t>
            </w:r>
          </w:p>
          <w:p>
            <w:pPr>
              <w:pStyle w:val="30"/>
              <w:numPr>
                <w:ilvl w:val="0"/>
                <w:numId w:val="4"/>
              </w:numPr>
              <w:adjustRightInd w:val="0"/>
              <w:snapToGrid w:val="0"/>
              <w:spacing w:line="276" w:lineRule="auto"/>
              <w:ind w:firstLineChars="0"/>
              <w:rPr>
                <w:rFonts w:ascii="仿宋_GB2312" w:hAnsi="黑体" w:eastAsia="仿宋_GB2312" w:cs="Times New Roman"/>
                <w:kern w:val="0"/>
                <w:sz w:val="28"/>
                <w:szCs w:val="32"/>
              </w:rPr>
            </w:pPr>
            <w:r>
              <w:rPr>
                <w:rFonts w:hint="eastAsia" w:ascii="仿宋_GB2312" w:hAnsi="黑体" w:eastAsia="仿宋_GB2312" w:cs="Times New Roman"/>
                <w:b/>
                <w:kern w:val="0"/>
                <w:sz w:val="24"/>
                <w:szCs w:val="32"/>
              </w:rPr>
              <w:t>建设光明科学城大数据中心。</w:t>
            </w:r>
            <w:r>
              <w:rPr>
                <w:rFonts w:hint="eastAsia" w:ascii="仿宋_GB2312" w:hAnsi="黑体" w:eastAsia="仿宋_GB2312" w:cs="Times New Roman"/>
                <w:kern w:val="0"/>
                <w:sz w:val="24"/>
                <w:szCs w:val="32"/>
              </w:rPr>
              <w:t>布局建设光明科学城大数据中心，对各项科学数据资源进行全生命周期管控，推动数据开放共享，促进研发方式从“假设-实验”驱动向“数据-验证”驱动转变，大幅度提升研发效率降低研发成本，为粤港澳大湾区产业发展提供支撑。</w:t>
            </w:r>
          </w:p>
        </w:tc>
      </w:tr>
    </w:tbl>
    <w:p>
      <w:pPr>
        <w:spacing w:beforeLines="50" w:line="560" w:lineRule="exact"/>
        <w:ind w:firstLine="642" w:firstLineChars="200"/>
        <w:outlineLvl w:val="1"/>
        <w:rPr>
          <w:rFonts w:ascii="楷体_GB2312" w:hAnsi="黑体" w:eastAsia="楷体_GB2312" w:cs="Times New Roman"/>
          <w:b/>
          <w:sz w:val="32"/>
          <w:szCs w:val="32"/>
        </w:rPr>
      </w:pPr>
      <w:bookmarkStart w:id="57" w:name="_Toc3583607"/>
      <w:bookmarkStart w:id="58" w:name="_Toc535441317"/>
      <w:r>
        <w:rPr>
          <w:rFonts w:hint="eastAsia" w:ascii="楷体_GB2312" w:hAnsi="黑体" w:eastAsia="楷体_GB2312" w:cs="Times New Roman"/>
          <w:b/>
          <w:sz w:val="32"/>
          <w:szCs w:val="32"/>
        </w:rPr>
        <w:t>（二）转化平台支撑工程</w:t>
      </w:r>
      <w:bookmarkEnd w:id="57"/>
      <w:bookmarkEnd w:id="58"/>
    </w:p>
    <w:p>
      <w:pPr>
        <w:spacing w:afterLines="50" w:line="560" w:lineRule="exact"/>
        <w:ind w:firstLine="640" w:firstLineChars="200"/>
        <w:rPr>
          <w:rFonts w:ascii="仿宋_GB2312" w:eastAsia="仿宋_GB2312" w:hAnsiTheme="majorEastAsia"/>
          <w:sz w:val="32"/>
          <w:szCs w:val="32"/>
        </w:rPr>
      </w:pPr>
      <w:r>
        <w:rPr>
          <w:rFonts w:hint="eastAsia" w:ascii="仿宋_GB2312" w:hAnsi="黑体" w:eastAsia="仿宋_GB2312" w:cs="Times New Roman"/>
          <w:sz w:val="32"/>
          <w:szCs w:val="32"/>
        </w:rPr>
        <w:t>以产业应用为导向，围绕智能产业、新材料、生命科学等重点领域，超前谋划布局产业基础设施集群，组建检验检测认证等一批生产性服务业公共服务平台，</w:t>
      </w:r>
      <w:r>
        <w:rPr>
          <w:rFonts w:hint="eastAsia" w:ascii="仿宋_GB2312" w:eastAsia="仿宋_GB2312" w:hAnsiTheme="majorEastAsia"/>
          <w:sz w:val="32"/>
          <w:szCs w:val="32"/>
        </w:rPr>
        <w:t>引进和培育科技转移转化机构和知识产权服务机构，探索设立光明科技创新基金，构建覆盖“研究开发、成果应用与推广、标准研究与制定”全链条转化支撑体系，推动光明科学城创新成果加速产业化。</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96" w:type="dxa"/>
          </w:tcPr>
          <w:p>
            <w:pPr>
              <w:adjustRightInd w:val="0"/>
              <w:snapToGrid w:val="0"/>
              <w:spacing w:line="276" w:lineRule="auto"/>
              <w:jc w:val="center"/>
              <w:rPr>
                <w:rFonts w:ascii="黑体" w:hAnsi="黑体" w:eastAsia="黑体" w:cs="Times New Roman"/>
                <w:kern w:val="0"/>
                <w:sz w:val="32"/>
                <w:szCs w:val="32"/>
              </w:rPr>
            </w:pPr>
            <w:r>
              <w:rPr>
                <w:rFonts w:ascii="黑体" w:hAnsi="黑体" w:eastAsia="黑体" w:cs="Times New Roman"/>
                <w:kern w:val="0"/>
                <w:sz w:val="28"/>
                <w:szCs w:val="32"/>
              </w:rPr>
              <w:t xml:space="preserve">专栏5 </w:t>
            </w:r>
            <w:r>
              <w:rPr>
                <w:rFonts w:hint="eastAsia" w:ascii="黑体" w:hAnsi="黑体" w:eastAsia="黑体" w:cs="Times New Roman"/>
                <w:kern w:val="0"/>
                <w:sz w:val="28"/>
                <w:szCs w:val="32"/>
              </w:rPr>
              <w:t>转化平台支撑工程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96" w:type="dxa"/>
          </w:tcPr>
          <w:p>
            <w:pPr>
              <w:numPr>
                <w:ilvl w:val="0"/>
                <w:numId w:val="4"/>
              </w:numPr>
              <w:adjustRightInd w:val="0"/>
              <w:snapToGrid w:val="0"/>
              <w:spacing w:line="276" w:lineRule="auto"/>
              <w:rPr>
                <w:rFonts w:ascii="黑体" w:hAnsi="黑体" w:eastAsia="黑体" w:cs="Times New Roman"/>
                <w:kern w:val="0"/>
                <w:sz w:val="24"/>
                <w:szCs w:val="32"/>
              </w:rPr>
            </w:pPr>
            <w:r>
              <w:rPr>
                <w:rFonts w:hint="eastAsia" w:ascii="仿宋_GB2312" w:hAnsi="黑体" w:eastAsia="仿宋_GB2312" w:cs="Times New Roman"/>
                <w:b/>
                <w:kern w:val="0"/>
                <w:sz w:val="24"/>
                <w:szCs w:val="32"/>
              </w:rPr>
              <w:t>超前谋划产业基础设施集群。</w:t>
            </w:r>
            <w:r>
              <w:rPr>
                <w:rFonts w:hint="eastAsia" w:ascii="仿宋_GB2312" w:hAnsi="黑体" w:eastAsia="仿宋_GB2312" w:cs="Times New Roman"/>
                <w:kern w:val="0"/>
                <w:sz w:val="24"/>
                <w:szCs w:val="32"/>
              </w:rPr>
              <w:t>围绕智能产业、新材料、生命科学等重点领域，规划建设智能化信息基础设施、人工智能开放创新平台、新材料应用示范平台、医疗大数据</w:t>
            </w:r>
            <w:r>
              <w:rPr>
                <w:rFonts w:ascii="仿宋_GB2312" w:hAnsi="黑体" w:eastAsia="仿宋_GB2312" w:cs="Times New Roman"/>
                <w:kern w:val="0"/>
                <w:sz w:val="24"/>
                <w:szCs w:val="32"/>
              </w:rPr>
              <w:t>服务平台等一批产业基础设施</w:t>
            </w:r>
            <w:r>
              <w:rPr>
                <w:rFonts w:hint="eastAsia" w:ascii="仿宋_GB2312" w:hAnsi="黑体" w:eastAsia="仿宋_GB2312" w:cs="Times New Roman"/>
                <w:kern w:val="0"/>
                <w:sz w:val="24"/>
                <w:szCs w:val="32"/>
              </w:rPr>
              <w:t>，推动重点领域关键核心技术的中试转化。</w:t>
            </w:r>
          </w:p>
          <w:p>
            <w:pPr>
              <w:numPr>
                <w:ilvl w:val="0"/>
                <w:numId w:val="4"/>
              </w:numPr>
              <w:adjustRightInd w:val="0"/>
              <w:snapToGrid w:val="0"/>
              <w:spacing w:line="276" w:lineRule="auto"/>
              <w:rPr>
                <w:rFonts w:ascii="黑体" w:hAnsi="黑体" w:eastAsia="黑体" w:cs="Times New Roman"/>
                <w:kern w:val="0"/>
                <w:sz w:val="24"/>
                <w:szCs w:val="32"/>
              </w:rPr>
            </w:pPr>
            <w:r>
              <w:rPr>
                <w:rFonts w:hint="eastAsia" w:ascii="仿宋_GB2312" w:hAnsi="黑体" w:eastAsia="仿宋_GB2312" w:cs="Times New Roman"/>
                <w:b/>
                <w:kern w:val="0"/>
                <w:sz w:val="24"/>
                <w:szCs w:val="32"/>
              </w:rPr>
              <w:t>引进培育一批生产性服务业公共服务平台。</w:t>
            </w:r>
            <w:r>
              <w:rPr>
                <w:rFonts w:hint="eastAsia" w:ascii="仿宋_GB2312" w:hAnsi="黑体" w:eastAsia="仿宋_GB2312" w:cs="Times New Roman"/>
                <w:kern w:val="0"/>
                <w:sz w:val="24"/>
                <w:szCs w:val="32"/>
              </w:rPr>
              <w:t>加快建设深圳市计量质量检测研究院（光明分院），积极争取</w:t>
            </w:r>
            <w:bookmarkStart w:id="106" w:name="_GoBack"/>
            <w:bookmarkEnd w:id="106"/>
            <w:r>
              <w:rPr>
                <w:rFonts w:hint="eastAsia" w:ascii="仿宋_GB2312" w:hAnsi="黑体" w:eastAsia="仿宋_GB2312" w:cs="Times New Roman"/>
                <w:kern w:val="0"/>
                <w:sz w:val="24"/>
                <w:szCs w:val="32"/>
              </w:rPr>
              <w:t>国家药品监督管理局（南方中心）落户光明</w:t>
            </w:r>
            <w:r>
              <w:rPr>
                <w:rFonts w:hint="eastAsia" w:ascii="仿宋_GB2312" w:hAnsi="黑体" w:eastAsia="仿宋_GB2312" w:cs="Times New Roman"/>
                <w:kern w:val="0"/>
                <w:sz w:val="28"/>
                <w:szCs w:val="32"/>
              </w:rPr>
              <w:t>，</w:t>
            </w:r>
            <w:r>
              <w:rPr>
                <w:rFonts w:ascii="仿宋_GB2312" w:hAnsi="黑体" w:eastAsia="仿宋_GB2312" w:cs="Times New Roman"/>
                <w:kern w:val="0"/>
                <w:sz w:val="24"/>
                <w:szCs w:val="32"/>
              </w:rPr>
              <w:t>引进和</w:t>
            </w:r>
            <w:r>
              <w:rPr>
                <w:rFonts w:hint="eastAsia" w:ascii="仿宋_GB2312" w:hAnsi="黑体" w:eastAsia="仿宋_GB2312" w:cs="Times New Roman"/>
                <w:kern w:val="0"/>
                <w:sz w:val="24"/>
                <w:szCs w:val="32"/>
              </w:rPr>
              <w:t>培育第三方检验检测认证服务机构。</w:t>
            </w:r>
          </w:p>
          <w:p>
            <w:pPr>
              <w:numPr>
                <w:ilvl w:val="0"/>
                <w:numId w:val="4"/>
              </w:numPr>
              <w:adjustRightInd w:val="0"/>
              <w:snapToGrid w:val="0"/>
              <w:spacing w:line="276" w:lineRule="auto"/>
              <w:rPr>
                <w:rFonts w:ascii="仿宋_GB2312" w:hAnsi="黑体" w:eastAsia="仿宋_GB2312" w:cs="Times New Roman"/>
                <w:kern w:val="0"/>
                <w:sz w:val="24"/>
                <w:szCs w:val="32"/>
              </w:rPr>
            </w:pPr>
            <w:r>
              <w:rPr>
                <w:rFonts w:hint="eastAsia" w:ascii="仿宋_GB2312" w:hAnsi="黑体" w:eastAsia="仿宋_GB2312" w:cs="Times New Roman"/>
                <w:b/>
                <w:kern w:val="0"/>
                <w:sz w:val="24"/>
                <w:szCs w:val="32"/>
              </w:rPr>
              <w:t>设立光明科技创新基金。</w:t>
            </w:r>
            <w:r>
              <w:rPr>
                <w:rFonts w:hint="eastAsia" w:ascii="仿宋_GB2312" w:hAnsi="黑体" w:eastAsia="仿宋_GB2312" w:cs="Times New Roman"/>
                <w:kern w:val="0"/>
                <w:sz w:val="24"/>
                <w:szCs w:val="32"/>
              </w:rPr>
              <w:t>由深圳市、光明区、社会资本联合出资，设立光明科技创新基金</w:t>
            </w:r>
            <w:r>
              <w:rPr>
                <w:rFonts w:ascii="仿宋_GB2312" w:hAnsi="黑体" w:eastAsia="仿宋_GB2312" w:cs="Times New Roman"/>
                <w:kern w:val="0"/>
                <w:sz w:val="24"/>
                <w:szCs w:val="32"/>
              </w:rPr>
              <w:t>，重点支持科技成果转化，探索建立收益反哺机制，保障科学中心围绕战略目标持续开展基础科学研究与前沿技术攻关，持续产出高水平的重大科研成果。</w:t>
            </w:r>
          </w:p>
          <w:p>
            <w:pPr>
              <w:numPr>
                <w:ilvl w:val="0"/>
                <w:numId w:val="4"/>
              </w:numPr>
              <w:adjustRightInd w:val="0"/>
              <w:snapToGrid w:val="0"/>
              <w:spacing w:line="276" w:lineRule="auto"/>
              <w:rPr>
                <w:rFonts w:ascii="仿宋_GB2312" w:hAnsi="黑体" w:eastAsia="仿宋_GB2312" w:cs="Times New Roman"/>
                <w:b/>
                <w:kern w:val="0"/>
                <w:sz w:val="28"/>
                <w:szCs w:val="32"/>
              </w:rPr>
            </w:pPr>
            <w:r>
              <w:rPr>
                <w:rFonts w:hint="eastAsia" w:ascii="仿宋_GB2312" w:hAnsi="黑体" w:eastAsia="仿宋_GB2312" w:cs="Times New Roman"/>
                <w:b/>
                <w:kern w:val="0"/>
                <w:sz w:val="24"/>
                <w:szCs w:val="32"/>
              </w:rPr>
              <w:t>组建光明国际技术转移中心。</w:t>
            </w:r>
            <w:r>
              <w:rPr>
                <w:rFonts w:hint="eastAsia" w:ascii="仿宋_GB2312" w:hAnsi="黑体" w:eastAsia="仿宋_GB2312" w:cs="Times New Roman"/>
                <w:kern w:val="0"/>
                <w:sz w:val="24"/>
                <w:szCs w:val="32"/>
              </w:rPr>
              <w:t>联合国际知名的转化机构，组建政府主导、市场化运营的国际技术转移中心，携手中国（深圳）知识产权保护中心和中国（南方）知识产权运营中心等共建技术转移转化联盟，推进全球原创科技成果在光明产业化。</w:t>
            </w:r>
          </w:p>
          <w:p>
            <w:pPr>
              <w:numPr>
                <w:ilvl w:val="0"/>
                <w:numId w:val="4"/>
              </w:numPr>
              <w:adjustRightInd w:val="0"/>
              <w:snapToGrid w:val="0"/>
              <w:spacing w:line="276" w:lineRule="auto"/>
              <w:rPr>
                <w:rFonts w:ascii="仿宋_GB2312" w:hAnsi="黑体" w:eastAsia="仿宋_GB2312" w:cs="Times New Roman"/>
                <w:b/>
                <w:kern w:val="0"/>
                <w:sz w:val="28"/>
                <w:szCs w:val="32"/>
              </w:rPr>
            </w:pPr>
            <w:r>
              <w:rPr>
                <w:rFonts w:hint="eastAsia" w:ascii="仿宋_GB2312" w:hAnsi="黑体" w:eastAsia="仿宋_GB2312" w:cs="Times New Roman"/>
                <w:b/>
                <w:kern w:val="0"/>
                <w:sz w:val="24"/>
                <w:szCs w:val="32"/>
              </w:rPr>
              <w:t>支持港澳高校建设技术转移实验室。</w:t>
            </w:r>
            <w:r>
              <w:rPr>
                <w:rFonts w:hint="eastAsia" w:ascii="仿宋_GB2312" w:hAnsi="黑体" w:eastAsia="仿宋_GB2312" w:cs="Times New Roman"/>
                <w:kern w:val="0"/>
                <w:sz w:val="24"/>
                <w:szCs w:val="32"/>
              </w:rPr>
              <w:t>围绕智能产业、新材料、生命科学等重点领域，支持香港理工大学、香港科技大学、澳门大学等港澳高校建设技术转移实验室，融合适用港澳成果转化模式和机制，推动高校科技成果转移转化。</w:t>
            </w:r>
          </w:p>
          <w:p>
            <w:pPr>
              <w:numPr>
                <w:ilvl w:val="0"/>
                <w:numId w:val="4"/>
              </w:numPr>
              <w:adjustRightInd w:val="0"/>
              <w:snapToGrid w:val="0"/>
              <w:spacing w:line="276" w:lineRule="auto"/>
              <w:rPr>
                <w:rFonts w:ascii="仿宋_GB2312" w:hAnsi="黑体" w:eastAsia="仿宋_GB2312" w:cs="Times New Roman"/>
                <w:b/>
                <w:kern w:val="0"/>
                <w:sz w:val="28"/>
                <w:szCs w:val="32"/>
              </w:rPr>
            </w:pPr>
            <w:r>
              <w:rPr>
                <w:rFonts w:hint="eastAsia" w:ascii="仿宋_GB2312" w:hAnsi="黑体" w:eastAsia="仿宋_GB2312" w:cs="Times New Roman"/>
                <w:b/>
                <w:kern w:val="0"/>
                <w:sz w:val="24"/>
                <w:szCs w:val="32"/>
              </w:rPr>
              <w:t>设立深港澳创新创业发展基地。</w:t>
            </w:r>
            <w:r>
              <w:rPr>
                <w:rFonts w:hint="eastAsia" w:ascii="仿宋_GB2312" w:hAnsi="黑体" w:eastAsia="仿宋_GB2312" w:cs="Times New Roman"/>
                <w:kern w:val="0"/>
                <w:sz w:val="24"/>
                <w:szCs w:val="32"/>
              </w:rPr>
              <w:t>建设深港澳众创空间孵化基地与创新创业交流中心，为创新创业提供金融、政策、法律、市场等服务，加强创新创业支持力度。</w:t>
            </w:r>
          </w:p>
        </w:tc>
      </w:tr>
    </w:tbl>
    <w:p>
      <w:pPr>
        <w:adjustRightInd w:val="0"/>
        <w:snapToGrid w:val="0"/>
        <w:spacing w:beforeLines="50" w:line="560" w:lineRule="exact"/>
        <w:ind w:firstLine="642" w:firstLineChars="200"/>
        <w:outlineLvl w:val="1"/>
        <w:rPr>
          <w:rFonts w:ascii="楷体_GB2312" w:hAnsi="黑体" w:eastAsia="楷体_GB2312" w:cs="Times New Roman"/>
          <w:b/>
          <w:sz w:val="32"/>
          <w:szCs w:val="32"/>
        </w:rPr>
      </w:pPr>
      <w:bookmarkStart w:id="59" w:name="_Toc535441318"/>
      <w:bookmarkStart w:id="60" w:name="_Toc3583608"/>
      <w:r>
        <w:rPr>
          <w:rFonts w:hint="eastAsia" w:ascii="楷体_GB2312" w:hAnsi="黑体" w:eastAsia="楷体_GB2312" w:cs="Times New Roman"/>
          <w:b/>
          <w:sz w:val="32"/>
          <w:szCs w:val="32"/>
        </w:rPr>
        <w:t>（三）国际协同发展工程</w:t>
      </w:r>
      <w:bookmarkEnd w:id="59"/>
      <w:bookmarkEnd w:id="60"/>
    </w:p>
    <w:p>
      <w:pPr>
        <w:spacing w:afterLines="50" w:line="560" w:lineRule="exact"/>
        <w:ind w:firstLine="640" w:firstLineChars="200"/>
        <w:rPr>
          <w:rFonts w:ascii="仿宋_GB2312" w:hAnsi="黑体" w:eastAsia="仿宋_GB2312" w:cs="Times New Roman"/>
          <w:sz w:val="32"/>
          <w:szCs w:val="32"/>
        </w:rPr>
      </w:pPr>
      <w:r>
        <w:rPr>
          <w:rFonts w:hint="eastAsia" w:ascii="仿宋_GB2312" w:hAnsi="黑体" w:eastAsia="仿宋_GB2312" w:cs="Times New Roman"/>
          <w:sz w:val="32"/>
          <w:szCs w:val="32"/>
        </w:rPr>
        <w:t>主动服务国家区域发展战略，坚持“优势互补、资源共享、机制创新、互利共享”原则，携手国际先进城市、周边产业大区和科技强区，联合高校、科研院所和行业龙头企业，搭建全球化、网络化的协同创新平台，设立跨境产业专项资金，构建产业技术创新战略联盟，组建国际学术交流中心，拓展国际科技产业创新合作的深度与广度，构建区域科技产业创新发展共同体。</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96" w:type="dxa"/>
            <w:vAlign w:val="center"/>
          </w:tcPr>
          <w:p>
            <w:pPr>
              <w:adjustRightInd w:val="0"/>
              <w:snapToGrid w:val="0"/>
              <w:spacing w:line="276" w:lineRule="auto"/>
              <w:jc w:val="center"/>
              <w:rPr>
                <w:rFonts w:ascii="黑体" w:hAnsi="黑体" w:eastAsia="黑体" w:cs="Times New Roman"/>
                <w:kern w:val="0"/>
                <w:sz w:val="32"/>
                <w:szCs w:val="32"/>
              </w:rPr>
            </w:pPr>
            <w:r>
              <w:rPr>
                <w:rFonts w:ascii="黑体" w:hAnsi="黑体" w:eastAsia="黑体" w:cs="Times New Roman"/>
                <w:kern w:val="0"/>
                <w:sz w:val="28"/>
                <w:szCs w:val="32"/>
              </w:rPr>
              <w:t xml:space="preserve">专栏6  </w:t>
            </w:r>
            <w:r>
              <w:rPr>
                <w:rFonts w:hint="eastAsia" w:ascii="黑体" w:hAnsi="黑体" w:eastAsia="黑体" w:cs="Times New Roman"/>
                <w:kern w:val="0"/>
                <w:sz w:val="28"/>
                <w:szCs w:val="32"/>
              </w:rPr>
              <w:t>国际协同发展工程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96" w:type="dxa"/>
          </w:tcPr>
          <w:p>
            <w:pPr>
              <w:numPr>
                <w:ilvl w:val="0"/>
                <w:numId w:val="4"/>
              </w:numPr>
              <w:adjustRightInd w:val="0"/>
              <w:snapToGrid w:val="0"/>
              <w:spacing w:line="276" w:lineRule="auto"/>
              <w:rPr>
                <w:rFonts w:ascii="仿宋_GB2312" w:hAnsi="黑体" w:eastAsia="仿宋_GB2312" w:cs="Times New Roman"/>
                <w:kern w:val="0"/>
                <w:sz w:val="24"/>
                <w:szCs w:val="32"/>
              </w:rPr>
            </w:pPr>
            <w:r>
              <w:rPr>
                <w:rFonts w:hint="eastAsia" w:ascii="仿宋_GB2312" w:hAnsi="黑体" w:eastAsia="仿宋_GB2312" w:cs="Times New Roman"/>
                <w:b/>
                <w:kern w:val="0"/>
                <w:sz w:val="24"/>
                <w:szCs w:val="32"/>
              </w:rPr>
              <w:t>设立跨境产业专项资金。</w:t>
            </w:r>
            <w:r>
              <w:rPr>
                <w:rFonts w:hint="eastAsia" w:ascii="仿宋_GB2312" w:hAnsi="黑体" w:eastAsia="仿宋_GB2312" w:cs="Times New Roman"/>
                <w:kern w:val="0"/>
                <w:sz w:val="24"/>
                <w:szCs w:val="32"/>
              </w:rPr>
              <w:t>推进深港两地科技创新深度合作，允许香港公营科研机构直接申请跨境产业专项资金项目，专项资金可根据立项合同在香港开支；探索拓展国际合作联合资助计划，支持在合作框架下实施重大基础研究联合攻关；探索支持海外专家牵头或参与科技计划项目、指南制定与项目评审。</w:t>
            </w:r>
          </w:p>
          <w:p>
            <w:pPr>
              <w:numPr>
                <w:ilvl w:val="0"/>
                <w:numId w:val="4"/>
              </w:numPr>
              <w:adjustRightInd w:val="0"/>
              <w:snapToGrid w:val="0"/>
              <w:spacing w:line="276" w:lineRule="auto"/>
              <w:rPr>
                <w:rFonts w:ascii="仿宋_GB2312" w:hAnsi="黑体" w:eastAsia="仿宋_GB2312" w:cs="Times New Roman"/>
                <w:kern w:val="0"/>
                <w:sz w:val="24"/>
                <w:szCs w:val="32"/>
              </w:rPr>
            </w:pPr>
            <w:r>
              <w:rPr>
                <w:rFonts w:hint="eastAsia" w:ascii="仿宋_GB2312" w:hAnsi="黑体" w:eastAsia="仿宋_GB2312" w:cs="Times New Roman"/>
                <w:b/>
                <w:kern w:val="0"/>
                <w:sz w:val="24"/>
                <w:szCs w:val="32"/>
              </w:rPr>
              <w:t>构建产业</w:t>
            </w:r>
            <w:r>
              <w:rPr>
                <w:rFonts w:ascii="仿宋_GB2312" w:hAnsi="黑体" w:eastAsia="仿宋_GB2312" w:cs="Times New Roman"/>
                <w:b/>
                <w:kern w:val="0"/>
                <w:sz w:val="24"/>
                <w:szCs w:val="32"/>
              </w:rPr>
              <w:t>技术创新战略联盟</w:t>
            </w:r>
            <w:r>
              <w:rPr>
                <w:rFonts w:hint="eastAsia" w:ascii="仿宋_GB2312" w:hAnsi="黑体" w:eastAsia="仿宋_GB2312" w:cs="Times New Roman"/>
                <w:b/>
                <w:kern w:val="0"/>
                <w:sz w:val="24"/>
                <w:szCs w:val="32"/>
              </w:rPr>
              <w:t>。</w:t>
            </w:r>
            <w:r>
              <w:rPr>
                <w:rFonts w:hint="eastAsia" w:ascii="仿宋_GB2312" w:hAnsi="黑体" w:eastAsia="仿宋_GB2312" w:cs="Times New Roman"/>
                <w:kern w:val="0"/>
                <w:sz w:val="24"/>
                <w:szCs w:val="32"/>
              </w:rPr>
              <w:t>围绕智能产业、新材料、生命科学等重点发展领域，携手香港、澳门、南山、深港科技创新合作区、东莞松山湖等区域，联合高校、科研院所、行业龙头企业构建产业技术创新战略联盟，共同突破产业发展的技术瓶颈，共同推进创新成果的产业化。</w:t>
            </w:r>
          </w:p>
          <w:p>
            <w:pPr>
              <w:numPr>
                <w:ilvl w:val="0"/>
                <w:numId w:val="4"/>
              </w:numPr>
              <w:adjustRightInd w:val="0"/>
              <w:snapToGrid w:val="0"/>
              <w:spacing w:line="276" w:lineRule="auto"/>
              <w:rPr>
                <w:rFonts w:ascii="仿宋_GB2312" w:hAnsi="黑体" w:eastAsia="仿宋_GB2312" w:cs="Times New Roman"/>
                <w:kern w:val="0"/>
                <w:sz w:val="24"/>
                <w:szCs w:val="32"/>
              </w:rPr>
            </w:pPr>
            <w:r>
              <w:rPr>
                <w:rFonts w:ascii="仿宋_GB2312" w:hAnsi="黑体" w:eastAsia="仿宋_GB2312" w:cs="Times New Roman"/>
                <w:b/>
                <w:kern w:val="0"/>
                <w:sz w:val="24"/>
                <w:szCs w:val="32"/>
              </w:rPr>
              <w:t>建设香港</w:t>
            </w:r>
            <w:r>
              <w:rPr>
                <w:rFonts w:hint="eastAsia" w:ascii="仿宋_GB2312" w:hAnsi="黑体" w:eastAsia="仿宋_GB2312" w:cs="Times New Roman"/>
                <w:b/>
                <w:kern w:val="0"/>
                <w:sz w:val="24"/>
                <w:szCs w:val="32"/>
              </w:rPr>
              <w:t>科学园</w:t>
            </w:r>
            <w:r>
              <w:rPr>
                <w:rFonts w:ascii="仿宋_GB2312" w:hAnsi="黑体" w:eastAsia="仿宋_GB2312" w:cs="Times New Roman"/>
                <w:b/>
                <w:kern w:val="0"/>
                <w:sz w:val="24"/>
                <w:szCs w:val="32"/>
              </w:rPr>
              <w:t>光明分园</w:t>
            </w:r>
            <w:r>
              <w:rPr>
                <w:rFonts w:hint="eastAsia" w:ascii="仿宋_GB2312" w:hAnsi="黑体" w:eastAsia="仿宋_GB2312" w:cs="Times New Roman"/>
                <w:b/>
                <w:kern w:val="0"/>
                <w:sz w:val="24"/>
                <w:szCs w:val="32"/>
              </w:rPr>
              <w:t>。</w:t>
            </w:r>
            <w:r>
              <w:rPr>
                <w:rFonts w:hint="eastAsia" w:ascii="仿宋_GB2312" w:hAnsi="黑体" w:eastAsia="仿宋_GB2312" w:cs="Times New Roman"/>
                <w:kern w:val="0"/>
                <w:sz w:val="24"/>
                <w:szCs w:val="32"/>
              </w:rPr>
              <w:t>借鉴香港科学园建设和运行模式，对接吸引香港创新资源，制定有利于香港人才、技术等创新要素跨境流动和区域融通的政策，推进香港高校科研成果在光明区转移转化。</w:t>
            </w:r>
          </w:p>
          <w:p>
            <w:pPr>
              <w:numPr>
                <w:ilvl w:val="0"/>
                <w:numId w:val="4"/>
              </w:numPr>
              <w:adjustRightInd w:val="0"/>
              <w:snapToGrid w:val="0"/>
              <w:spacing w:line="276" w:lineRule="auto"/>
              <w:rPr>
                <w:rFonts w:ascii="仿宋_GB2312" w:hAnsi="黑体" w:eastAsia="仿宋_GB2312" w:cstheme="minorBidi"/>
                <w:kern w:val="2"/>
                <w:sz w:val="28"/>
                <w:szCs w:val="32"/>
              </w:rPr>
            </w:pPr>
            <w:r>
              <w:rPr>
                <w:rFonts w:hint="eastAsia" w:ascii="仿宋_GB2312" w:hAnsi="黑体" w:eastAsia="仿宋_GB2312" w:cs="Times New Roman"/>
                <w:b/>
                <w:kern w:val="0"/>
                <w:sz w:val="24"/>
                <w:szCs w:val="32"/>
              </w:rPr>
              <w:t>组建中国科学院文献情报中心粤港澳分中心。</w:t>
            </w:r>
            <w:r>
              <w:rPr>
                <w:rFonts w:hint="eastAsia" w:ascii="仿宋_GB2312" w:hAnsi="黑体" w:eastAsia="仿宋_GB2312" w:cs="Times New Roman"/>
                <w:kern w:val="0"/>
                <w:sz w:val="24"/>
                <w:szCs w:val="32"/>
              </w:rPr>
              <w:t>积极对接中国科学院文献情报中心建设和管理运行模式，由深圳市政府和中科院联合组建中科院文献情报中心粤港澳分中心，为光明科学城各大创新载体提供科研文献、数据等情报信息服务。</w:t>
            </w:r>
          </w:p>
        </w:tc>
      </w:tr>
    </w:tbl>
    <w:p>
      <w:pPr>
        <w:spacing w:beforeLines="50" w:line="560" w:lineRule="exact"/>
        <w:ind w:firstLine="642" w:firstLineChars="200"/>
        <w:outlineLvl w:val="1"/>
        <w:rPr>
          <w:rFonts w:ascii="楷体_GB2312" w:hAnsi="黑体" w:eastAsia="楷体_GB2312" w:cs="Times New Roman"/>
          <w:b/>
          <w:sz w:val="32"/>
          <w:szCs w:val="32"/>
        </w:rPr>
      </w:pPr>
      <w:bookmarkStart w:id="61" w:name="_Toc3583609"/>
      <w:bookmarkStart w:id="62" w:name="_Toc535441319"/>
      <w:r>
        <w:rPr>
          <w:rFonts w:hint="eastAsia" w:ascii="楷体_GB2312" w:hAnsi="黑体" w:eastAsia="楷体_GB2312" w:cs="Times New Roman"/>
          <w:b/>
          <w:sz w:val="32"/>
          <w:szCs w:val="32"/>
        </w:rPr>
        <w:t>（四）产业空间挖潜工程</w:t>
      </w:r>
      <w:bookmarkEnd w:id="61"/>
      <w:bookmarkEnd w:id="62"/>
    </w:p>
    <w:p>
      <w:pPr>
        <w:spacing w:afterLines="50" w:line="560" w:lineRule="exact"/>
        <w:ind w:firstLine="640" w:firstLineChars="200"/>
        <w:rPr>
          <w:rFonts w:ascii="仿宋_GB2312" w:hAnsi="黑体" w:eastAsia="仿宋_GB2312" w:cs="Times New Roman"/>
          <w:sz w:val="32"/>
          <w:szCs w:val="32"/>
        </w:rPr>
      </w:pPr>
      <w:r>
        <w:rPr>
          <w:rFonts w:hint="eastAsia" w:ascii="仿宋_GB2312" w:hAnsi="黑体" w:eastAsia="仿宋_GB2312" w:cs="Times New Roman"/>
          <w:sz w:val="32"/>
          <w:szCs w:val="32"/>
        </w:rPr>
        <w:t>结合</w:t>
      </w:r>
      <w:r>
        <w:rPr>
          <w:rFonts w:ascii="仿宋_GB2312" w:hAnsi="黑体" w:eastAsia="仿宋_GB2312" w:cs="Times New Roman"/>
          <w:sz w:val="32"/>
          <w:szCs w:val="32"/>
        </w:rPr>
        <w:t>光明科学城和产业空间布局</w:t>
      </w:r>
      <w:r>
        <w:rPr>
          <w:rFonts w:hint="eastAsia" w:ascii="仿宋_GB2312" w:hAnsi="黑体" w:eastAsia="仿宋_GB2312" w:cs="Times New Roman"/>
          <w:sz w:val="32"/>
          <w:szCs w:val="32"/>
        </w:rPr>
        <w:t>，综合运用</w:t>
      </w:r>
      <w:r>
        <w:rPr>
          <w:rFonts w:ascii="仿宋_GB2312" w:hAnsi="黑体" w:eastAsia="仿宋_GB2312" w:cs="Times New Roman"/>
          <w:sz w:val="32"/>
          <w:szCs w:val="32"/>
        </w:rPr>
        <w:t>土地整备、城市更新、建设用地清退等方式</w:t>
      </w:r>
      <w:r>
        <w:rPr>
          <w:rFonts w:hint="eastAsia" w:ascii="仿宋_GB2312" w:hAnsi="黑体" w:eastAsia="仿宋_GB2312" w:cs="Times New Roman"/>
          <w:sz w:val="32"/>
          <w:szCs w:val="32"/>
        </w:rPr>
        <w:t>，充分盘活存量、优化增量土地资源，建立“飞地”产业园，探索“政企村”联合开发模式，开展城市立体空间综合开发试点，建立土地效益评估机制，</w:t>
      </w:r>
      <w:r>
        <w:rPr>
          <w:rFonts w:ascii="仿宋_GB2312" w:hAnsi="黑体" w:eastAsia="仿宋_GB2312" w:cs="Times New Roman"/>
          <w:sz w:val="32"/>
          <w:szCs w:val="32"/>
        </w:rPr>
        <w:t>重塑集约高效的城市产业空间</w:t>
      </w:r>
      <w:r>
        <w:rPr>
          <w:rFonts w:hint="eastAsia" w:ascii="仿宋_GB2312" w:hAnsi="黑体" w:eastAsia="仿宋_GB2312" w:cs="Times New Roman"/>
          <w:sz w:val="32"/>
          <w:szCs w:val="32"/>
        </w:rPr>
        <w:t>，破解区内产业空间日趋紧缺的瓶颈，打造功能完善的科学新城和宜居宜业的产业新城。</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1" w:hRule="atLeast"/>
        </w:trPr>
        <w:tc>
          <w:tcPr>
            <w:tcW w:w="8296" w:type="dxa"/>
            <w:vAlign w:val="center"/>
          </w:tcPr>
          <w:p>
            <w:pPr>
              <w:adjustRightInd w:val="0"/>
              <w:snapToGrid w:val="0"/>
              <w:spacing w:line="276" w:lineRule="auto"/>
              <w:jc w:val="center"/>
              <w:rPr>
                <w:rFonts w:ascii="仿宋_GB2312" w:hAnsi="黑体" w:eastAsia="仿宋_GB2312" w:cs="Times New Roman"/>
                <w:kern w:val="0"/>
                <w:sz w:val="32"/>
                <w:szCs w:val="32"/>
              </w:rPr>
            </w:pPr>
            <w:r>
              <w:rPr>
                <w:rFonts w:ascii="黑体" w:hAnsi="黑体" w:eastAsia="黑体" w:cs="Times New Roman"/>
                <w:kern w:val="0"/>
                <w:sz w:val="28"/>
                <w:szCs w:val="32"/>
              </w:rPr>
              <w:t xml:space="preserve">专栏7  </w:t>
            </w:r>
            <w:r>
              <w:rPr>
                <w:rFonts w:hint="eastAsia" w:ascii="黑体" w:hAnsi="黑体" w:eastAsia="黑体" w:cs="Times New Roman"/>
                <w:kern w:val="0"/>
                <w:sz w:val="28"/>
                <w:szCs w:val="32"/>
              </w:rPr>
              <w:t>产业空间</w:t>
            </w:r>
            <w:r>
              <w:rPr>
                <w:rFonts w:ascii="黑体" w:hAnsi="黑体" w:eastAsia="黑体" w:cs="Times New Roman"/>
                <w:kern w:val="0"/>
                <w:sz w:val="28"/>
                <w:szCs w:val="32"/>
              </w:rPr>
              <w:t>挖潜</w:t>
            </w:r>
            <w:r>
              <w:rPr>
                <w:rFonts w:hint="eastAsia" w:ascii="黑体" w:hAnsi="黑体" w:eastAsia="黑体" w:cs="Times New Roman"/>
                <w:kern w:val="0"/>
                <w:sz w:val="28"/>
                <w:szCs w:val="32"/>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96" w:type="dxa"/>
          </w:tcPr>
          <w:p>
            <w:pPr>
              <w:pStyle w:val="30"/>
              <w:numPr>
                <w:ilvl w:val="0"/>
                <w:numId w:val="4"/>
              </w:numPr>
              <w:adjustRightInd w:val="0"/>
              <w:snapToGrid w:val="0"/>
              <w:spacing w:line="276" w:lineRule="auto"/>
              <w:ind w:firstLineChars="0"/>
              <w:rPr>
                <w:rFonts w:ascii="仿宋_GB2312" w:hAnsi="黑体" w:eastAsia="仿宋_GB2312" w:cs="Times New Roman"/>
                <w:kern w:val="0"/>
                <w:sz w:val="24"/>
                <w:szCs w:val="32"/>
              </w:rPr>
            </w:pPr>
            <w:r>
              <w:rPr>
                <w:rFonts w:hint="eastAsia" w:ascii="仿宋_GB2312" w:hAnsi="黑体" w:eastAsia="仿宋_GB2312" w:cs="Times New Roman"/>
                <w:b/>
                <w:kern w:val="0"/>
                <w:sz w:val="24"/>
                <w:szCs w:val="32"/>
              </w:rPr>
              <w:t>建立“飞地”产业园。</w:t>
            </w:r>
            <w:r>
              <w:rPr>
                <w:rFonts w:hint="eastAsia" w:ascii="仿宋_GB2312" w:hAnsi="黑体" w:eastAsia="仿宋_GB2312" w:cs="Times New Roman"/>
                <w:kern w:val="0"/>
                <w:sz w:val="24"/>
                <w:szCs w:val="32"/>
              </w:rPr>
              <w:t>通过购买产业用地、产业用房或合作建设园中园等多种模式，在深汕特别合作区、东莞、惠州或其他适宜地区规划建设“飞地”产业园，探索“光明总部+飞地配套”模式；争取深圳市政府支持建设光明科学城专属“飞地”产业园，在项目遴选、行政审批、政策支持、财税优惠等方面建立合作推进机制。</w:t>
            </w:r>
          </w:p>
          <w:p>
            <w:pPr>
              <w:pStyle w:val="30"/>
              <w:numPr>
                <w:ilvl w:val="0"/>
                <w:numId w:val="4"/>
              </w:numPr>
              <w:adjustRightInd w:val="0"/>
              <w:snapToGrid w:val="0"/>
              <w:spacing w:line="276" w:lineRule="auto"/>
              <w:ind w:firstLineChars="0"/>
              <w:rPr>
                <w:rFonts w:ascii="仿宋_GB2312" w:hAnsi="黑体" w:eastAsia="仿宋_GB2312" w:cs="Times New Roman"/>
                <w:kern w:val="0"/>
                <w:sz w:val="24"/>
                <w:szCs w:val="32"/>
              </w:rPr>
            </w:pPr>
            <w:r>
              <w:rPr>
                <w:rFonts w:hint="eastAsia" w:ascii="仿宋_GB2312" w:hAnsi="黑体" w:eastAsia="仿宋_GB2312" w:cs="Times New Roman"/>
                <w:b/>
                <w:kern w:val="0"/>
                <w:sz w:val="24"/>
                <w:szCs w:val="32"/>
              </w:rPr>
              <w:t>探索“政企村”联合开发模式。</w:t>
            </w:r>
            <w:r>
              <w:rPr>
                <w:rFonts w:hint="eastAsia" w:ascii="仿宋_GB2312" w:hAnsi="黑体" w:eastAsia="仿宋_GB2312" w:cs="Times New Roman"/>
                <w:kern w:val="0"/>
                <w:sz w:val="24"/>
                <w:szCs w:val="32"/>
              </w:rPr>
              <w:t>按照光明的产业规划和空间布局，以政府为主导、以园区开发运营公司为主体，联合社区集体公司合作开发集体用地，明确合作机制和利益共享模式，推进整村改造，将“村厂混合”改造为高品质的“产城融合”新城，释放连片的优质产业空间。</w:t>
            </w:r>
          </w:p>
          <w:p>
            <w:pPr>
              <w:pStyle w:val="30"/>
              <w:numPr>
                <w:ilvl w:val="0"/>
                <w:numId w:val="4"/>
              </w:numPr>
              <w:adjustRightInd w:val="0"/>
              <w:snapToGrid w:val="0"/>
              <w:spacing w:line="276" w:lineRule="auto"/>
              <w:ind w:firstLineChars="0"/>
              <w:rPr>
                <w:rFonts w:ascii="仿宋_GB2312" w:hAnsi="黑体" w:eastAsia="仿宋_GB2312" w:cs="Times New Roman"/>
                <w:kern w:val="0"/>
                <w:sz w:val="24"/>
                <w:szCs w:val="32"/>
              </w:rPr>
            </w:pPr>
            <w:r>
              <w:rPr>
                <w:rFonts w:hint="eastAsia" w:ascii="仿宋_GB2312" w:hAnsi="黑体" w:eastAsia="仿宋_GB2312" w:cs="Times New Roman"/>
                <w:b/>
                <w:kern w:val="0"/>
                <w:sz w:val="24"/>
                <w:szCs w:val="32"/>
              </w:rPr>
              <w:t>开展城市立体空间综合开发试点。</w:t>
            </w:r>
            <w:r>
              <w:rPr>
                <w:rFonts w:hint="eastAsia" w:ascii="仿宋_GB2312" w:hAnsi="黑体" w:eastAsia="仿宋_GB2312" w:cs="Times New Roman"/>
                <w:kern w:val="0"/>
                <w:sz w:val="24"/>
                <w:szCs w:val="32"/>
              </w:rPr>
              <w:t>以综合交通系统为支撑，聚焦轨道核心站点和重点地段，加快打造一批集地下、地表、地上空间立体综合开发为一体的重点开发示范项目，打造高品质国际化街区发展的样板工程，提高土地空间综合利用效能。</w:t>
            </w:r>
          </w:p>
          <w:p>
            <w:pPr>
              <w:pStyle w:val="30"/>
              <w:numPr>
                <w:ilvl w:val="0"/>
                <w:numId w:val="4"/>
              </w:numPr>
              <w:adjustRightInd w:val="0"/>
              <w:snapToGrid w:val="0"/>
              <w:spacing w:line="276" w:lineRule="auto"/>
              <w:ind w:firstLineChars="0"/>
              <w:rPr>
                <w:rFonts w:ascii="仿宋_GB2312" w:hAnsi="黑体" w:eastAsia="仿宋_GB2312" w:cs="Times New Roman"/>
                <w:kern w:val="0"/>
                <w:sz w:val="28"/>
                <w:szCs w:val="32"/>
              </w:rPr>
            </w:pPr>
            <w:r>
              <w:rPr>
                <w:rFonts w:hint="eastAsia" w:ascii="仿宋_GB2312" w:hAnsi="黑体" w:eastAsia="仿宋_GB2312" w:cs="Times New Roman"/>
                <w:b/>
                <w:kern w:val="0"/>
                <w:sz w:val="24"/>
                <w:szCs w:val="32"/>
              </w:rPr>
              <w:t>探索建立土地效益评估机制。</w:t>
            </w:r>
            <w:r>
              <w:rPr>
                <w:rFonts w:hint="eastAsia" w:ascii="仿宋_GB2312" w:hAnsi="黑体" w:eastAsia="仿宋_GB2312" w:cs="Times New Roman"/>
                <w:kern w:val="0"/>
                <w:sz w:val="24"/>
                <w:szCs w:val="32"/>
              </w:rPr>
              <w:t>对区内各工业园区、重大项目定期开展全方位的运营效益、土地效益综合评估，建立土地效益综合利用等级清单，重点淘汰功能使用不当、效益不高、闲置的工业园区和企业，释放用地空间，保障土地集约高效利用。</w:t>
            </w:r>
          </w:p>
        </w:tc>
      </w:tr>
    </w:tbl>
    <w:p>
      <w:pPr>
        <w:spacing w:beforeLines="50" w:line="560" w:lineRule="exact"/>
        <w:ind w:firstLine="642" w:firstLineChars="200"/>
        <w:outlineLvl w:val="1"/>
        <w:rPr>
          <w:rFonts w:ascii="楷体_GB2312" w:hAnsi="黑体" w:eastAsia="楷体_GB2312" w:cs="Times New Roman"/>
          <w:b/>
          <w:sz w:val="32"/>
          <w:szCs w:val="32"/>
        </w:rPr>
      </w:pPr>
      <w:bookmarkStart w:id="63" w:name="_Toc535441320"/>
      <w:bookmarkStart w:id="64" w:name="_Toc3583610"/>
      <w:r>
        <w:rPr>
          <w:rFonts w:hint="eastAsia" w:ascii="楷体_GB2312" w:hAnsi="黑体" w:eastAsia="楷体_GB2312" w:cs="Times New Roman"/>
          <w:b/>
          <w:sz w:val="32"/>
          <w:szCs w:val="32"/>
        </w:rPr>
        <w:t>（五）头雁领航人才工程</w:t>
      </w:r>
      <w:bookmarkEnd w:id="63"/>
      <w:bookmarkEnd w:id="64"/>
    </w:p>
    <w:p>
      <w:pPr>
        <w:spacing w:afterLines="50" w:line="560" w:lineRule="exact"/>
        <w:ind w:firstLine="640" w:firstLineChars="200"/>
        <w:rPr>
          <w:rFonts w:ascii="仿宋_GB2312" w:hAnsi="黑体" w:eastAsia="仿宋_GB2312" w:cs="Times New Roman"/>
          <w:sz w:val="32"/>
          <w:szCs w:val="32"/>
        </w:rPr>
      </w:pPr>
      <w:r>
        <w:rPr>
          <w:rFonts w:ascii="仿宋_GB2312" w:eastAsia="仿宋_GB2312" w:hAnsiTheme="majorEastAsia"/>
          <w:sz w:val="32"/>
          <w:szCs w:val="32"/>
        </w:rPr>
        <w:t>基于光明科学城建设和产业发展的人才需求</w:t>
      </w:r>
      <w:r>
        <w:rPr>
          <w:rFonts w:hint="eastAsia" w:ascii="仿宋_GB2312" w:eastAsia="仿宋_GB2312" w:hAnsiTheme="majorEastAsia"/>
          <w:sz w:val="32"/>
          <w:szCs w:val="32"/>
        </w:rPr>
        <w:t>，在“鸿鹄人才”政策中新增“头雁领航”人才政策，重点引进和培育全球具有丰富实践经验的重大科技基础设施建设、运行及管理顶尖科学家和专业技术人才，设立与国际接轨的人才评价机制，推动设施的高水平建设、运行以及关联产业的“沿途下蛋”，组建院士创新研究院，建设国际人才交流大厦，打造光明高端人才国际社区，增强对国际高端人才的“吸引因子”。</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96" w:type="dxa"/>
          </w:tcPr>
          <w:p>
            <w:pPr>
              <w:spacing w:line="360" w:lineRule="auto"/>
              <w:jc w:val="center"/>
              <w:rPr>
                <w:rFonts w:ascii="黑体" w:hAnsi="黑体" w:eastAsia="黑体" w:cs="Times New Roman"/>
                <w:kern w:val="0"/>
                <w:sz w:val="32"/>
                <w:szCs w:val="32"/>
              </w:rPr>
            </w:pPr>
            <w:r>
              <w:rPr>
                <w:rFonts w:ascii="黑体" w:hAnsi="黑体" w:eastAsia="黑体" w:cs="Times New Roman"/>
                <w:kern w:val="0"/>
                <w:sz w:val="28"/>
                <w:szCs w:val="32"/>
              </w:rPr>
              <w:t xml:space="preserve">专栏8 </w:t>
            </w:r>
            <w:r>
              <w:rPr>
                <w:rFonts w:hint="eastAsia" w:ascii="黑体" w:hAnsi="黑体" w:eastAsia="黑体" w:cs="Times New Roman"/>
                <w:kern w:val="0"/>
                <w:sz w:val="28"/>
                <w:szCs w:val="32"/>
              </w:rPr>
              <w:t>头雁领航人才工程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96" w:type="dxa"/>
          </w:tcPr>
          <w:p>
            <w:pPr>
              <w:numPr>
                <w:ilvl w:val="0"/>
                <w:numId w:val="4"/>
              </w:numPr>
              <w:adjustRightInd w:val="0"/>
              <w:snapToGrid w:val="0"/>
              <w:spacing w:line="276" w:lineRule="auto"/>
              <w:rPr>
                <w:rFonts w:ascii="黑体" w:hAnsi="黑体" w:eastAsia="黑体" w:cs="Times New Roman"/>
                <w:kern w:val="0"/>
                <w:sz w:val="24"/>
                <w:szCs w:val="32"/>
              </w:rPr>
            </w:pPr>
            <w:r>
              <w:rPr>
                <w:rFonts w:hint="eastAsia" w:ascii="仿宋_GB2312" w:hAnsi="黑体" w:eastAsia="仿宋_GB2312" w:cs="Times New Roman"/>
                <w:b/>
                <w:kern w:val="0"/>
                <w:sz w:val="24"/>
                <w:szCs w:val="32"/>
              </w:rPr>
              <w:t>新增“头雁领航”人才政策。</w:t>
            </w:r>
            <w:r>
              <w:rPr>
                <w:rFonts w:hint="eastAsia" w:ascii="仿宋_GB2312" w:hAnsi="黑体" w:eastAsia="仿宋_GB2312" w:cs="Times New Roman"/>
                <w:kern w:val="0"/>
                <w:sz w:val="24"/>
                <w:szCs w:val="32"/>
              </w:rPr>
              <w:t>围绕重大科技基础设施建设、运行和管理，在“鸿鹄人才”政策基础上，增加“头雁领航”人才政策，重点引进和培育全球具有丰富实践经验的重大科技基础设计建设、运行和管理顶尖科学家和专业技术人才，设立与国际接轨的人才评价机制。</w:t>
            </w:r>
          </w:p>
          <w:p>
            <w:pPr>
              <w:numPr>
                <w:ilvl w:val="0"/>
                <w:numId w:val="4"/>
              </w:numPr>
              <w:adjustRightInd w:val="0"/>
              <w:snapToGrid w:val="0"/>
              <w:spacing w:line="276" w:lineRule="auto"/>
              <w:rPr>
                <w:rFonts w:ascii="黑体" w:hAnsi="黑体" w:eastAsia="黑体" w:cs="Times New Roman"/>
                <w:kern w:val="0"/>
                <w:sz w:val="24"/>
                <w:szCs w:val="32"/>
              </w:rPr>
            </w:pPr>
            <w:r>
              <w:rPr>
                <w:rFonts w:hint="eastAsia" w:ascii="仿宋_GB2312" w:hAnsi="黑体" w:eastAsia="仿宋_GB2312" w:cs="Times New Roman"/>
                <w:b/>
                <w:kern w:val="0"/>
                <w:sz w:val="24"/>
                <w:szCs w:val="32"/>
              </w:rPr>
              <w:t>组建院士创新研究院。</w:t>
            </w:r>
            <w:r>
              <w:rPr>
                <w:rFonts w:hint="eastAsia" w:ascii="仿宋_GB2312" w:hAnsi="黑体" w:eastAsia="仿宋_GB2312" w:cs="Times New Roman"/>
                <w:kern w:val="0"/>
                <w:sz w:val="24"/>
                <w:szCs w:val="32"/>
              </w:rPr>
              <w:t>围绕智能产业、新材料、生命科学等领域，大力引进中国科学院院士、中国工程院院士、美国科学院院士等，组建院士创新研究院，政府每年提供专项科研经费，采用研究院自主管理、政府监督的运营模式。</w:t>
            </w:r>
          </w:p>
          <w:p>
            <w:pPr>
              <w:numPr>
                <w:ilvl w:val="0"/>
                <w:numId w:val="4"/>
              </w:numPr>
              <w:adjustRightInd w:val="0"/>
              <w:snapToGrid w:val="0"/>
              <w:spacing w:line="276" w:lineRule="auto"/>
              <w:rPr>
                <w:rFonts w:ascii="仿宋_GB2312" w:hAnsi="黑体" w:eastAsia="仿宋_GB2312" w:cs="Times New Roman"/>
                <w:kern w:val="0"/>
                <w:sz w:val="28"/>
                <w:szCs w:val="32"/>
              </w:rPr>
            </w:pPr>
            <w:r>
              <w:rPr>
                <w:rFonts w:hint="eastAsia" w:ascii="仿宋_GB2312" w:hAnsi="黑体" w:eastAsia="仿宋_GB2312" w:cs="Times New Roman"/>
                <w:b/>
                <w:kern w:val="0"/>
                <w:sz w:val="24"/>
                <w:szCs w:val="32"/>
              </w:rPr>
              <w:t>组建国际学术交流中心。</w:t>
            </w:r>
            <w:r>
              <w:rPr>
                <w:rFonts w:hint="eastAsia" w:ascii="仿宋_GB2312" w:hAnsi="黑体" w:eastAsia="仿宋_GB2312" w:cs="Times New Roman"/>
                <w:kern w:val="0"/>
                <w:sz w:val="24"/>
                <w:szCs w:val="32"/>
              </w:rPr>
              <w:t>用于吸引国际学术组织、创新机构和跨国公司在光明举办高水平学术会议等科技交流活动；支持高端专业论坛落户光明，提高国际交流水平，塑造国际交流品牌。</w:t>
            </w:r>
          </w:p>
          <w:p>
            <w:pPr>
              <w:numPr>
                <w:ilvl w:val="0"/>
                <w:numId w:val="4"/>
              </w:numPr>
              <w:adjustRightInd w:val="0"/>
              <w:snapToGrid w:val="0"/>
              <w:spacing w:line="276" w:lineRule="auto"/>
              <w:rPr>
                <w:rFonts w:ascii="仿宋_GB2312" w:hAnsi="黑体" w:eastAsia="仿宋_GB2312" w:cs="Times New Roman"/>
                <w:kern w:val="0"/>
                <w:sz w:val="28"/>
                <w:szCs w:val="32"/>
              </w:rPr>
            </w:pPr>
            <w:r>
              <w:rPr>
                <w:rFonts w:hint="eastAsia" w:ascii="仿宋_GB2312" w:hAnsi="黑体" w:eastAsia="仿宋_GB2312" w:cs="Times New Roman"/>
                <w:b/>
                <w:kern w:val="0"/>
                <w:sz w:val="24"/>
                <w:szCs w:val="32"/>
              </w:rPr>
              <w:t>打造光明高端人才国际社区。</w:t>
            </w:r>
            <w:r>
              <w:rPr>
                <w:rFonts w:hint="eastAsia" w:ascii="仿宋_GB2312" w:hAnsi="黑体" w:eastAsia="仿宋_GB2312" w:cs="Times New Roman"/>
                <w:kern w:val="0"/>
                <w:sz w:val="24"/>
                <w:szCs w:val="32"/>
              </w:rPr>
              <w:t>参照新加坡“邻里中心”模式，在光明小镇建设功能齐全、品质卓越的高端人才国际社区，为高端人才提供一站式服务。</w:t>
            </w:r>
            <w:r>
              <w:rPr>
                <w:rFonts w:ascii="仿宋_GB2312" w:hAnsi="黑体" w:eastAsia="仿宋_GB2312" w:cs="Times New Roman"/>
                <w:kern w:val="0"/>
                <w:sz w:val="24"/>
                <w:szCs w:val="32"/>
              </w:rPr>
              <w:t xml:space="preserve"> </w:t>
            </w:r>
          </w:p>
        </w:tc>
      </w:tr>
    </w:tbl>
    <w:p>
      <w:pPr>
        <w:keepNext/>
        <w:keepLines/>
        <w:spacing w:beforeLines="50" w:line="560" w:lineRule="exact"/>
        <w:ind w:firstLine="640" w:firstLineChars="200"/>
        <w:jc w:val="left"/>
        <w:outlineLvl w:val="0"/>
        <w:rPr>
          <w:rFonts w:eastAsia="黑体"/>
          <w:bCs/>
          <w:kern w:val="44"/>
          <w:sz w:val="32"/>
          <w:szCs w:val="44"/>
        </w:rPr>
      </w:pPr>
      <w:bookmarkStart w:id="65" w:name="_Toc536617678"/>
      <w:bookmarkStart w:id="66" w:name="_Toc3583611"/>
      <w:bookmarkStart w:id="67" w:name="_Toc535441321"/>
      <w:r>
        <w:rPr>
          <w:rFonts w:hint="eastAsia" w:eastAsia="黑体"/>
          <w:bCs/>
          <w:kern w:val="44"/>
          <w:sz w:val="32"/>
          <w:szCs w:val="44"/>
        </w:rPr>
        <w:t>五、重构产业空间布局</w:t>
      </w:r>
      <w:bookmarkEnd w:id="65"/>
      <w:bookmarkEnd w:id="66"/>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根据产业发展空间需求，以营造生态型产业空间与推动“产城融合”为导向，构建“一廊、三区、五集群”的总体空间布局，打造光明区现代产业发展新格局。</w:t>
      </w:r>
      <w:bookmarkStart w:id="68" w:name="_Toc495249231"/>
    </w:p>
    <w:p>
      <w:pPr>
        <w:spacing w:line="560" w:lineRule="exact"/>
        <w:ind w:firstLine="642" w:firstLineChars="200"/>
        <w:outlineLvl w:val="1"/>
        <w:rPr>
          <w:rFonts w:ascii="楷体_GB2312" w:hAnsi="黑体" w:eastAsia="楷体_GB2312" w:cs="Times New Roman"/>
          <w:b/>
          <w:sz w:val="32"/>
          <w:szCs w:val="32"/>
        </w:rPr>
      </w:pPr>
      <w:bookmarkStart w:id="69" w:name="_Toc3583612"/>
      <w:bookmarkStart w:id="70" w:name="_Toc536617679"/>
      <w:r>
        <w:rPr>
          <w:rFonts w:hint="eastAsia" w:ascii="楷体_GB2312" w:hAnsi="黑体" w:eastAsia="楷体_GB2312" w:cs="Times New Roman"/>
          <w:b/>
          <w:sz w:val="32"/>
          <w:szCs w:val="32"/>
        </w:rPr>
        <w:t>（一）构建“一廊、三区”的总体布局</w:t>
      </w:r>
      <w:bookmarkEnd w:id="68"/>
      <w:bookmarkEnd w:id="69"/>
      <w:bookmarkEnd w:id="70"/>
      <w:bookmarkStart w:id="71" w:name="_Toc495249232"/>
    </w:p>
    <w:p>
      <w:pPr>
        <w:spacing w:line="560" w:lineRule="exact"/>
        <w:ind w:firstLine="607" w:firstLineChars="189"/>
        <w:outlineLvl w:val="2"/>
        <w:rPr>
          <w:rFonts w:ascii="仿宋_GB2312" w:hAnsi="宋体" w:eastAsia="仿宋_GB2312" w:cs="黑体"/>
          <w:b/>
          <w:bCs/>
          <w:sz w:val="32"/>
          <w:szCs w:val="30"/>
        </w:rPr>
      </w:pPr>
      <w:bookmarkStart w:id="72" w:name="_Toc3583613"/>
      <w:bookmarkStart w:id="73" w:name="_Toc536617680"/>
      <w:r>
        <w:rPr>
          <w:rFonts w:hint="eastAsia" w:ascii="仿宋_GB2312" w:hAnsi="宋体" w:eastAsia="仿宋_GB2312" w:cs="黑体"/>
          <w:b/>
          <w:bCs/>
          <w:sz w:val="32"/>
          <w:szCs w:val="30"/>
        </w:rPr>
        <w:t>1.</w:t>
      </w:r>
      <w:bookmarkEnd w:id="71"/>
      <w:r>
        <w:rPr>
          <w:rFonts w:hint="eastAsia" w:ascii="仿宋_GB2312" w:hAnsi="宋体" w:eastAsia="仿宋_GB2312" w:cs="黑体"/>
          <w:b/>
          <w:bCs/>
          <w:sz w:val="32"/>
          <w:szCs w:val="30"/>
        </w:rPr>
        <w:t>一廊——打造龙大科技创新发展走廊</w:t>
      </w:r>
      <w:bookmarkEnd w:id="72"/>
      <w:bookmarkEnd w:id="73"/>
    </w:p>
    <w:p>
      <w:pPr>
        <w:spacing w:line="560" w:lineRule="exact"/>
        <w:ind w:firstLine="604" w:firstLineChars="189"/>
        <w:rPr>
          <w:rFonts w:ascii="仿宋_GB2312" w:hAnsi="仿宋_GB2312" w:eastAsia="仿宋_GB2312" w:cs="仿宋_GB2312"/>
          <w:sz w:val="32"/>
          <w:szCs w:val="32"/>
        </w:rPr>
      </w:pPr>
      <w:bookmarkStart w:id="74" w:name="_Toc495249233"/>
      <w:r>
        <w:rPr>
          <w:rFonts w:hint="eastAsia" w:ascii="仿宋_GB2312" w:hAnsi="仿宋_GB2312" w:eastAsia="仿宋_GB2312" w:cs="仿宋_GB2312"/>
          <w:sz w:val="32"/>
          <w:szCs w:val="32"/>
        </w:rPr>
        <w:t>加快推进龙大高速市政化改造，打造北联东莞、广州，南接福田、深港</w:t>
      </w:r>
      <w:r>
        <w:rPr>
          <w:rFonts w:ascii="仿宋_GB2312" w:hAnsi="仿宋_GB2312" w:eastAsia="仿宋_GB2312" w:cs="仿宋_GB2312"/>
          <w:sz w:val="32"/>
          <w:szCs w:val="32"/>
        </w:rPr>
        <w:t>科技创新合作区</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香港的</w:t>
      </w:r>
      <w:r>
        <w:rPr>
          <w:rFonts w:hint="eastAsia" w:ascii="仿宋_GB2312" w:hAnsi="仿宋_GB2312" w:eastAsia="仿宋_GB2312" w:cs="仿宋_GB2312"/>
          <w:sz w:val="32"/>
          <w:szCs w:val="32"/>
        </w:rPr>
        <w:t>区域性科技产业创新走廊。从北往南沿廊道两侧依次布局科技</w:t>
      </w:r>
      <w:r>
        <w:rPr>
          <w:rFonts w:ascii="仿宋_GB2312" w:hAnsi="仿宋_GB2312" w:eastAsia="仿宋_GB2312" w:cs="仿宋_GB2312"/>
          <w:sz w:val="32"/>
          <w:szCs w:val="32"/>
        </w:rPr>
        <w:t>创新</w:t>
      </w:r>
      <w:r>
        <w:rPr>
          <w:rFonts w:hint="eastAsia" w:ascii="仿宋_GB2312" w:hAnsi="仿宋_GB2312" w:eastAsia="仿宋_GB2312" w:cs="仿宋_GB2312"/>
          <w:sz w:val="32"/>
          <w:szCs w:val="32"/>
        </w:rPr>
        <w:t>区、成果</w:t>
      </w:r>
      <w:r>
        <w:rPr>
          <w:rFonts w:ascii="仿宋_GB2312" w:hAnsi="仿宋_GB2312" w:eastAsia="仿宋_GB2312" w:cs="仿宋_GB2312"/>
          <w:sz w:val="32"/>
          <w:szCs w:val="32"/>
        </w:rPr>
        <w:t>转化区</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产业发展区</w:t>
      </w:r>
      <w:r>
        <w:rPr>
          <w:rFonts w:hint="eastAsia" w:ascii="仿宋_GB2312" w:hAnsi="仿宋_GB2312" w:eastAsia="仿宋_GB2312" w:cs="仿宋_GB2312"/>
          <w:sz w:val="32"/>
          <w:szCs w:val="32"/>
        </w:rPr>
        <w:t>，构建“东创、中转、西产”相互协作、相互支撑的功能布局。</w:t>
      </w:r>
    </w:p>
    <w:p>
      <w:pPr>
        <w:spacing w:line="560" w:lineRule="exact"/>
        <w:ind w:firstLine="607" w:firstLineChars="189"/>
        <w:outlineLvl w:val="2"/>
        <w:rPr>
          <w:rFonts w:ascii="仿宋_GB2312" w:hAnsi="宋体" w:eastAsia="仿宋_GB2312" w:cs="黑体"/>
          <w:b/>
          <w:bCs/>
          <w:sz w:val="32"/>
          <w:szCs w:val="30"/>
        </w:rPr>
      </w:pPr>
      <w:bookmarkStart w:id="75" w:name="_Toc3583614"/>
      <w:bookmarkStart w:id="76" w:name="_Toc536617681"/>
      <w:r>
        <w:rPr>
          <w:rFonts w:hint="eastAsia" w:ascii="仿宋_GB2312" w:hAnsi="宋体" w:eastAsia="仿宋_GB2312" w:cs="黑体"/>
          <w:b/>
          <w:bCs/>
          <w:sz w:val="32"/>
          <w:szCs w:val="30"/>
        </w:rPr>
        <w:t>2.三区——构建</w:t>
      </w:r>
      <w:bookmarkEnd w:id="74"/>
      <w:r>
        <w:rPr>
          <w:rFonts w:hint="eastAsia" w:ascii="仿宋_GB2312" w:hAnsi="宋体" w:eastAsia="仿宋_GB2312" w:cs="黑体"/>
          <w:b/>
          <w:bCs/>
          <w:sz w:val="32"/>
          <w:szCs w:val="30"/>
        </w:rPr>
        <w:t>科技产业协调发展新生态</w:t>
      </w:r>
      <w:bookmarkEnd w:id="75"/>
      <w:bookmarkEnd w:id="76"/>
    </w:p>
    <w:p>
      <w:pPr>
        <w:spacing w:line="560" w:lineRule="exact"/>
        <w:ind w:firstLine="607" w:firstLineChars="189"/>
        <w:rPr>
          <w:rFonts w:ascii="仿宋_GB2312" w:eastAsia="仿宋_GB2312" w:cs="仿宋_GB2312"/>
          <w:sz w:val="32"/>
          <w:szCs w:val="32"/>
        </w:rPr>
      </w:pPr>
      <w:r>
        <w:rPr>
          <w:rFonts w:hint="eastAsia" w:ascii="仿宋_GB2312" w:hAnsi="仿宋_GB2312" w:eastAsia="仿宋_GB2312" w:cs="仿宋_GB2312"/>
          <w:b/>
          <w:sz w:val="32"/>
          <w:szCs w:val="32"/>
        </w:rPr>
        <w:t>科技创新区。</w:t>
      </w:r>
      <w:r>
        <w:rPr>
          <w:rFonts w:hint="eastAsia" w:ascii="仿宋_GB2312" w:hAnsi="仿宋_GB2312" w:eastAsia="仿宋_GB2312" w:cs="仿宋_GB2312"/>
          <w:sz w:val="32"/>
          <w:szCs w:val="32"/>
        </w:rPr>
        <w:t>位于新湖街道中北部，往南紧邻光明小镇，往西接龙大高速，北部至巍峨山，东部以东莞市为界，占地面积约为1</w:t>
      </w:r>
      <w:r>
        <w:rPr>
          <w:rFonts w:ascii="仿宋_GB2312" w:hAnsi="仿宋_GB2312" w:eastAsia="仿宋_GB2312" w:cs="仿宋_GB2312"/>
          <w:sz w:val="32"/>
          <w:szCs w:val="32"/>
        </w:rPr>
        <w:t>6</w:t>
      </w:r>
      <w:r>
        <w:rPr>
          <w:rFonts w:hint="eastAsia" w:ascii="仿宋_GB2312" w:hAnsi="仿宋_GB2312" w:eastAsia="仿宋_GB2312" w:cs="仿宋_GB2312"/>
          <w:sz w:val="32"/>
          <w:szCs w:val="32"/>
        </w:rPr>
        <w:t>平方公里。片区重点承载重大科技</w:t>
      </w:r>
      <w:r>
        <w:rPr>
          <w:rFonts w:ascii="仿宋_GB2312" w:hAnsi="仿宋_GB2312" w:eastAsia="仿宋_GB2312" w:cs="仿宋_GB2312"/>
          <w:sz w:val="32"/>
          <w:szCs w:val="32"/>
        </w:rPr>
        <w:t>基础</w:t>
      </w:r>
      <w:r>
        <w:rPr>
          <w:rFonts w:hint="eastAsia" w:ascii="仿宋_GB2312" w:hAnsi="仿宋_GB2312" w:eastAsia="仿宋_GB2312" w:cs="仿宋_GB2312"/>
          <w:sz w:val="32"/>
          <w:szCs w:val="32"/>
        </w:rPr>
        <w:t>设施集群</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中山大学深圳校区等光明科学城核心</w:t>
      </w:r>
      <w:r>
        <w:rPr>
          <w:rFonts w:ascii="仿宋_GB2312" w:hAnsi="仿宋_GB2312" w:eastAsia="仿宋_GB2312" w:cs="仿宋_GB2312"/>
          <w:sz w:val="32"/>
          <w:szCs w:val="32"/>
        </w:rPr>
        <w:t>要素的建设</w:t>
      </w:r>
      <w:r>
        <w:rPr>
          <w:rFonts w:hint="eastAsia" w:ascii="仿宋_GB2312" w:hAnsi="仿宋_GB2312" w:eastAsia="仿宋_GB2312" w:cs="仿宋_GB2312"/>
          <w:sz w:val="32"/>
          <w:szCs w:val="32"/>
        </w:rPr>
        <w:t>，重点布局功能性研究</w:t>
      </w:r>
      <w:r>
        <w:rPr>
          <w:rFonts w:ascii="仿宋_GB2312" w:hAnsi="仿宋_GB2312" w:eastAsia="仿宋_GB2312" w:cs="仿宋_GB2312"/>
          <w:sz w:val="32"/>
          <w:szCs w:val="32"/>
        </w:rPr>
        <w:t>平台和</w:t>
      </w:r>
      <w:r>
        <w:rPr>
          <w:rFonts w:hint="eastAsia" w:ascii="仿宋_GB2312" w:hAnsi="仿宋_GB2312" w:eastAsia="仿宋_GB2312" w:cs="仿宋_GB2312"/>
          <w:sz w:val="32"/>
          <w:szCs w:val="32"/>
        </w:rPr>
        <w:t>智能产业。</w:t>
      </w:r>
    </w:p>
    <w:p>
      <w:pPr>
        <w:spacing w:line="560" w:lineRule="exact"/>
        <w:ind w:firstLine="607" w:firstLineChars="189"/>
        <w:rPr>
          <w:rFonts w:ascii="仿宋_GB2312" w:eastAsia="仿宋_GB2312" w:cs="仿宋_GB2312"/>
          <w:color w:val="C55A11" w:themeColor="accent2" w:themeShade="BF"/>
          <w:sz w:val="32"/>
          <w:szCs w:val="32"/>
        </w:rPr>
      </w:pPr>
      <w:r>
        <w:rPr>
          <w:rFonts w:hint="eastAsia" w:ascii="仿宋_GB2312" w:hAnsi="仿宋_GB2312" w:eastAsia="仿宋_GB2312" w:cs="仿宋_GB2312"/>
          <w:b/>
          <w:sz w:val="32"/>
          <w:szCs w:val="32"/>
        </w:rPr>
        <w:t>成果转化区。</w:t>
      </w:r>
      <w:r>
        <w:rPr>
          <w:rFonts w:hint="eastAsia" w:ascii="仿宋_GB2312" w:hAnsi="仿宋_GB2312" w:eastAsia="仿宋_GB2312" w:cs="仿宋_GB2312"/>
          <w:sz w:val="32"/>
          <w:szCs w:val="32"/>
        </w:rPr>
        <w:t>涵盖光明中心区、光明</w:t>
      </w:r>
      <w:r>
        <w:rPr>
          <w:rFonts w:ascii="仿宋_GB2312" w:hAnsi="仿宋_GB2312" w:eastAsia="仿宋_GB2312" w:cs="仿宋_GB2312"/>
          <w:sz w:val="32"/>
          <w:szCs w:val="32"/>
        </w:rPr>
        <w:t>高新区</w:t>
      </w:r>
      <w:r>
        <w:rPr>
          <w:rFonts w:hint="eastAsia" w:ascii="仿宋_GB2312" w:hAnsi="仿宋_GB2312" w:eastAsia="仿宋_GB2312" w:cs="仿宋_GB2312"/>
          <w:sz w:val="32"/>
          <w:szCs w:val="32"/>
        </w:rPr>
        <w:t>、光明城站</w:t>
      </w:r>
      <w:r>
        <w:rPr>
          <w:rFonts w:ascii="仿宋_GB2312" w:hAnsi="仿宋_GB2312" w:eastAsia="仿宋_GB2312" w:cs="仿宋_GB2312"/>
          <w:sz w:val="32"/>
          <w:szCs w:val="32"/>
        </w:rPr>
        <w:t>周边</w:t>
      </w:r>
      <w:r>
        <w:rPr>
          <w:rFonts w:hint="eastAsia" w:ascii="仿宋_GB2312" w:hAnsi="仿宋_GB2312" w:eastAsia="仿宋_GB2312" w:cs="仿宋_GB2312"/>
          <w:sz w:val="32"/>
          <w:szCs w:val="32"/>
        </w:rPr>
        <w:t>及</w:t>
      </w:r>
      <w:r>
        <w:rPr>
          <w:rFonts w:ascii="仿宋_GB2312" w:hAnsi="仿宋_GB2312" w:eastAsia="仿宋_GB2312" w:cs="仿宋_GB2312"/>
          <w:sz w:val="32"/>
          <w:szCs w:val="32"/>
        </w:rPr>
        <w:t>白花片区</w:t>
      </w:r>
      <w:r>
        <w:rPr>
          <w:rFonts w:hint="eastAsia" w:ascii="仿宋_GB2312" w:hAnsi="仿宋_GB2312" w:eastAsia="仿宋_GB2312" w:cs="仿宋_GB2312"/>
          <w:sz w:val="32"/>
          <w:szCs w:val="32"/>
        </w:rPr>
        <w:t>，占地面积约为</w:t>
      </w:r>
      <w:r>
        <w:rPr>
          <w:rFonts w:ascii="仿宋_GB2312" w:hAnsi="仿宋_GB2312" w:eastAsia="仿宋_GB2312" w:cs="仿宋_GB2312"/>
          <w:sz w:val="32"/>
          <w:szCs w:val="32"/>
        </w:rPr>
        <w:t>20.6</w:t>
      </w:r>
      <w:r>
        <w:rPr>
          <w:rFonts w:hint="eastAsia" w:ascii="仿宋_GB2312" w:hAnsi="仿宋_GB2312" w:eastAsia="仿宋_GB2312" w:cs="仿宋_GB2312"/>
          <w:sz w:val="32"/>
          <w:szCs w:val="32"/>
        </w:rPr>
        <w:t>平方公里。片区重点</w:t>
      </w:r>
      <w:r>
        <w:rPr>
          <w:rFonts w:hint="eastAsia" w:ascii="仿宋_GB2312" w:hAnsi="Times New Roman" w:eastAsia="仿宋_GB2312" w:cs="宋体"/>
          <w:sz w:val="32"/>
          <w:szCs w:val="32"/>
        </w:rPr>
        <w:t>发展研究</w:t>
      </w:r>
      <w:r>
        <w:rPr>
          <w:rFonts w:ascii="仿宋_GB2312" w:hAnsi="Times New Roman" w:eastAsia="仿宋_GB2312" w:cs="宋体"/>
          <w:sz w:val="32"/>
          <w:szCs w:val="32"/>
        </w:rPr>
        <w:t>开发、检验检测、技术转移转化、</w:t>
      </w:r>
      <w:r>
        <w:rPr>
          <w:rFonts w:hint="eastAsia" w:ascii="仿宋_GB2312" w:hAnsi="Times New Roman" w:eastAsia="仿宋_GB2312" w:cs="宋体"/>
          <w:sz w:val="32"/>
          <w:szCs w:val="32"/>
        </w:rPr>
        <w:t>科技</w:t>
      </w:r>
      <w:r>
        <w:rPr>
          <w:rFonts w:ascii="仿宋_GB2312" w:hAnsi="Times New Roman" w:eastAsia="仿宋_GB2312" w:cs="宋体"/>
          <w:sz w:val="32"/>
          <w:szCs w:val="32"/>
        </w:rPr>
        <w:t>金融</w:t>
      </w:r>
      <w:r>
        <w:rPr>
          <w:rFonts w:hint="eastAsia" w:ascii="仿宋_GB2312" w:hAnsi="Times New Roman" w:eastAsia="仿宋_GB2312" w:cs="宋体"/>
          <w:sz w:val="32"/>
          <w:szCs w:val="32"/>
        </w:rPr>
        <w:t>、创新创业孵化等</w:t>
      </w:r>
      <w:r>
        <w:rPr>
          <w:rFonts w:ascii="仿宋_GB2312" w:hAnsi="Times New Roman" w:eastAsia="仿宋_GB2312" w:cs="宋体"/>
          <w:sz w:val="32"/>
          <w:szCs w:val="32"/>
        </w:rPr>
        <w:t>科技服务</w:t>
      </w:r>
      <w:r>
        <w:rPr>
          <w:rFonts w:hint="eastAsia" w:ascii="仿宋_GB2312" w:hAnsi="Times New Roman" w:eastAsia="仿宋_GB2312" w:cs="宋体"/>
          <w:sz w:val="32"/>
          <w:szCs w:val="32"/>
        </w:rPr>
        <w:t>业</w:t>
      </w:r>
      <w:r>
        <w:rPr>
          <w:rFonts w:ascii="仿宋_GB2312" w:hAnsi="Times New Roman" w:eastAsia="仿宋_GB2312" w:cs="宋体"/>
          <w:sz w:val="32"/>
          <w:szCs w:val="32"/>
        </w:rPr>
        <w:t>，</w:t>
      </w:r>
      <w:r>
        <w:rPr>
          <w:rFonts w:hint="eastAsia" w:ascii="仿宋_GB2312" w:hAnsi="Times New Roman" w:eastAsia="仿宋_GB2312" w:cs="宋体"/>
          <w:sz w:val="32"/>
          <w:szCs w:val="32"/>
        </w:rPr>
        <w:t>以及商业休闲、居住配套、文化教育等配套服务。</w:t>
      </w:r>
    </w:p>
    <w:p>
      <w:pPr>
        <w:spacing w:line="560" w:lineRule="exact"/>
        <w:ind w:firstLine="607" w:firstLineChars="189"/>
        <w:rPr>
          <w:rFonts w:ascii="仿宋_GB2312" w:hAnsi="仿宋_GB2312" w:eastAsia="仿宋_GB2312" w:cs="仿宋_GB2312"/>
          <w:sz w:val="32"/>
          <w:szCs w:val="32"/>
        </w:rPr>
      </w:pPr>
      <w:r>
        <w:rPr>
          <w:rFonts w:hint="eastAsia" w:ascii="仿宋_GB2312" w:hAnsi="仿宋_GB2312" w:eastAsia="仿宋_GB2312" w:cs="仿宋_GB2312"/>
          <w:b/>
          <w:sz w:val="32"/>
          <w:szCs w:val="32"/>
        </w:rPr>
        <w:t>产业发展区。</w:t>
      </w:r>
      <w:r>
        <w:rPr>
          <w:rFonts w:hint="eastAsia" w:ascii="仿宋_GB2312" w:hAnsi="仿宋_GB2312" w:eastAsia="仿宋_GB2312" w:cs="仿宋_GB2312"/>
          <w:sz w:val="32"/>
          <w:szCs w:val="32"/>
        </w:rPr>
        <w:t>位于光明区西部，包含公明街道南部、马田街道、玉塘街道以及凤凰街道西部，占地面积约为47.2平方公里。片区重点发展智能产业、新材料产业、生命科学产业和文化创意产业（钟表和内衣基地），打造特色鲜明、资源集聚、相互支撑的产业组团。</w:t>
      </w:r>
      <w:bookmarkStart w:id="77" w:name="_Toc495249235"/>
    </w:p>
    <w:p>
      <w:pPr>
        <w:spacing w:line="560" w:lineRule="exact"/>
        <w:ind w:firstLine="642" w:firstLineChars="200"/>
        <w:outlineLvl w:val="1"/>
        <w:rPr>
          <w:rFonts w:ascii="楷体_GB2312" w:hAnsi="黑体" w:eastAsia="楷体_GB2312" w:cs="Times New Roman"/>
          <w:b/>
          <w:sz w:val="32"/>
          <w:szCs w:val="32"/>
        </w:rPr>
      </w:pPr>
      <w:bookmarkStart w:id="78" w:name="_Toc3583615"/>
      <w:bookmarkStart w:id="79" w:name="_Toc536617682"/>
      <w:r>
        <w:rPr>
          <w:rFonts w:hint="eastAsia" w:ascii="楷体_GB2312" w:hAnsi="黑体" w:eastAsia="楷体_GB2312" w:cs="Times New Roman"/>
          <w:b/>
          <w:sz w:val="32"/>
          <w:szCs w:val="32"/>
        </w:rPr>
        <w:t>（二）升级打造“五集群”</w:t>
      </w:r>
      <w:bookmarkEnd w:id="77"/>
      <w:bookmarkEnd w:id="78"/>
      <w:bookmarkEnd w:id="79"/>
      <w:bookmarkStart w:id="80" w:name="_Toc495249236"/>
    </w:p>
    <w:p>
      <w:pPr>
        <w:spacing w:line="560" w:lineRule="exact"/>
        <w:ind w:firstLine="607" w:firstLineChars="189"/>
        <w:outlineLvl w:val="2"/>
        <w:rPr>
          <w:rFonts w:ascii="仿宋_GB2312" w:eastAsia="仿宋_GB2312" w:cs="黑体"/>
          <w:b/>
          <w:bCs/>
          <w:sz w:val="32"/>
          <w:szCs w:val="30"/>
        </w:rPr>
      </w:pPr>
      <w:bookmarkStart w:id="81" w:name="_Toc3583616"/>
      <w:bookmarkStart w:id="82" w:name="_Toc536617683"/>
      <w:r>
        <w:rPr>
          <w:rFonts w:hint="eastAsia" w:ascii="仿宋_GB2312" w:hAnsi="宋体" w:eastAsia="仿宋_GB2312" w:cs="黑体"/>
          <w:b/>
          <w:bCs/>
          <w:sz w:val="32"/>
          <w:szCs w:val="30"/>
        </w:rPr>
        <w:t>1.高端科技创新平台集群</w:t>
      </w:r>
      <w:bookmarkEnd w:id="80"/>
      <w:bookmarkEnd w:id="81"/>
      <w:bookmarkEnd w:id="82"/>
      <w:r>
        <w:rPr>
          <w:rFonts w:hint="eastAsia" w:ascii="仿宋_GB2312" w:hAnsi="宋体" w:eastAsia="仿宋_GB2312" w:cs="黑体"/>
          <w:b/>
          <w:bCs/>
          <w:sz w:val="32"/>
          <w:szCs w:val="30"/>
        </w:rPr>
        <w:t xml:space="preserve"> </w:t>
      </w:r>
    </w:p>
    <w:p>
      <w:pPr>
        <w:spacing w:line="560" w:lineRule="exact"/>
        <w:ind w:firstLine="604" w:firstLineChars="189"/>
        <w:rPr>
          <w:rFonts w:eastAsia="仿宋_GB2312" w:cs="仿宋_GB2312"/>
          <w:sz w:val="32"/>
          <w:szCs w:val="32"/>
        </w:rPr>
      </w:pPr>
      <w:r>
        <w:rPr>
          <w:rFonts w:hint="eastAsia" w:ascii="仿宋_GB2312" w:eastAsia="仿宋_GB2312" w:cs="仿宋_GB2312"/>
          <w:sz w:val="32"/>
          <w:szCs w:val="32"/>
        </w:rPr>
        <w:t>位于科技创新区，涵盖光明北产业</w:t>
      </w:r>
      <w:r>
        <w:rPr>
          <w:rFonts w:ascii="仿宋_GB2312" w:eastAsia="仿宋_GB2312" w:cs="仿宋_GB2312"/>
          <w:sz w:val="32"/>
          <w:szCs w:val="32"/>
        </w:rPr>
        <w:t>单元</w:t>
      </w:r>
      <w:r>
        <w:rPr>
          <w:rFonts w:hint="eastAsia" w:ascii="仿宋_GB2312" w:eastAsia="仿宋_GB2312" w:cs="仿宋_GB2312"/>
          <w:sz w:val="32"/>
          <w:szCs w:val="32"/>
        </w:rPr>
        <w:t>、楼村西</w:t>
      </w:r>
      <w:r>
        <w:rPr>
          <w:rFonts w:ascii="仿宋_GB2312" w:eastAsia="仿宋_GB2312" w:cs="仿宋_GB2312"/>
          <w:sz w:val="32"/>
          <w:szCs w:val="32"/>
        </w:rPr>
        <w:t>产业单元</w:t>
      </w:r>
      <w:r>
        <w:rPr>
          <w:rFonts w:hint="eastAsia" w:ascii="仿宋_GB2312" w:eastAsia="仿宋_GB2312" w:cs="仿宋_GB2312"/>
          <w:sz w:val="32"/>
          <w:szCs w:val="32"/>
        </w:rPr>
        <w:t>、巍峨山</w:t>
      </w:r>
      <w:r>
        <w:rPr>
          <w:rFonts w:hint="eastAsia" w:ascii="仿宋_GB2312" w:hAnsi="仿宋_GB2312" w:eastAsia="仿宋_GB2312" w:cs="仿宋_GB2312"/>
          <w:sz w:val="32"/>
          <w:szCs w:val="32"/>
        </w:rPr>
        <w:t>重大科技</w:t>
      </w:r>
      <w:r>
        <w:rPr>
          <w:rFonts w:ascii="仿宋_GB2312" w:hAnsi="仿宋_GB2312" w:eastAsia="仿宋_GB2312" w:cs="仿宋_GB2312"/>
          <w:sz w:val="32"/>
          <w:szCs w:val="32"/>
        </w:rPr>
        <w:t>基础设施</w:t>
      </w:r>
      <w:r>
        <w:rPr>
          <w:rFonts w:hint="eastAsia" w:ascii="仿宋_GB2312" w:eastAsia="仿宋_GB2312" w:cs="仿宋_GB2312"/>
          <w:sz w:val="32"/>
          <w:szCs w:val="32"/>
        </w:rPr>
        <w:t>核心区单元。重点</w:t>
      </w:r>
      <w:r>
        <w:rPr>
          <w:rFonts w:hint="eastAsia" w:ascii="仿宋_GB2312" w:hAnsi="仿宋_GB2312" w:eastAsia="仿宋_GB2312" w:cs="仿宋_GB2312"/>
          <w:sz w:val="32"/>
          <w:szCs w:val="32"/>
        </w:rPr>
        <w:t>布局建设一批重大科技</w:t>
      </w:r>
      <w:r>
        <w:rPr>
          <w:rFonts w:ascii="仿宋_GB2312" w:hAnsi="仿宋_GB2312" w:eastAsia="仿宋_GB2312" w:cs="仿宋_GB2312"/>
          <w:sz w:val="32"/>
          <w:szCs w:val="32"/>
        </w:rPr>
        <w:t>基础设施</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高校和科研院所</w:t>
      </w:r>
      <w:r>
        <w:rPr>
          <w:rFonts w:hint="eastAsia" w:ascii="仿宋_GB2312" w:hAnsi="仿宋_GB2312" w:eastAsia="仿宋_GB2312" w:cs="仿宋_GB2312"/>
          <w:sz w:val="32"/>
          <w:szCs w:val="32"/>
        </w:rPr>
        <w:t>，</w:t>
      </w:r>
      <w:r>
        <w:rPr>
          <w:rFonts w:hint="eastAsia" w:ascii="仿宋_GB2312" w:eastAsia="仿宋_GB2312" w:cs="仿宋_GB2312"/>
          <w:sz w:val="32"/>
          <w:szCs w:val="32"/>
        </w:rPr>
        <w:t>打造重大科技</w:t>
      </w:r>
      <w:r>
        <w:rPr>
          <w:rFonts w:ascii="仿宋_GB2312" w:eastAsia="仿宋_GB2312" w:cs="仿宋_GB2312"/>
          <w:sz w:val="32"/>
          <w:szCs w:val="32"/>
        </w:rPr>
        <w:t>基础</w:t>
      </w:r>
      <w:r>
        <w:rPr>
          <w:rFonts w:hint="eastAsia" w:ascii="仿宋_GB2312" w:eastAsia="仿宋_GB2312" w:cs="仿宋_GB2312"/>
          <w:sz w:val="32"/>
          <w:szCs w:val="32"/>
        </w:rPr>
        <w:t>设施与功能性研究</w:t>
      </w:r>
      <w:r>
        <w:rPr>
          <w:rFonts w:ascii="仿宋_GB2312" w:eastAsia="仿宋_GB2312" w:cs="仿宋_GB2312"/>
          <w:sz w:val="32"/>
          <w:szCs w:val="32"/>
        </w:rPr>
        <w:t>平台</w:t>
      </w:r>
      <w:r>
        <w:rPr>
          <w:rFonts w:hint="eastAsia" w:ascii="仿宋_GB2312" w:eastAsia="仿宋_GB2312" w:cs="仿宋_GB2312"/>
          <w:sz w:val="32"/>
          <w:szCs w:val="32"/>
        </w:rPr>
        <w:t>的核心承载区。</w:t>
      </w:r>
      <w:bookmarkStart w:id="83" w:name="_Toc495249237"/>
    </w:p>
    <w:bookmarkEnd w:id="83"/>
    <w:p>
      <w:pPr>
        <w:spacing w:line="560" w:lineRule="exact"/>
        <w:ind w:firstLine="607" w:firstLineChars="189"/>
        <w:outlineLvl w:val="2"/>
        <w:rPr>
          <w:rFonts w:eastAsia="仿宋_GB2312" w:cs="黑体"/>
          <w:b/>
          <w:bCs/>
          <w:sz w:val="32"/>
          <w:szCs w:val="30"/>
        </w:rPr>
      </w:pPr>
      <w:bookmarkStart w:id="84" w:name="_Toc536617685"/>
      <w:bookmarkStart w:id="85" w:name="_Toc495249238"/>
      <w:bookmarkStart w:id="86" w:name="_Toc3583617"/>
      <w:r>
        <w:rPr>
          <w:rFonts w:ascii="仿宋_GB2312" w:hAnsi="宋体" w:eastAsia="仿宋_GB2312" w:cs="黑体"/>
          <w:b/>
          <w:bCs/>
          <w:sz w:val="32"/>
          <w:szCs w:val="30"/>
        </w:rPr>
        <w:t>2</w:t>
      </w:r>
      <w:r>
        <w:rPr>
          <w:rFonts w:hint="eastAsia" w:ascii="仿宋_GB2312" w:hAnsi="宋体" w:eastAsia="仿宋_GB2312" w:cs="黑体"/>
          <w:b/>
          <w:bCs/>
          <w:sz w:val="32"/>
          <w:szCs w:val="30"/>
        </w:rPr>
        <w:t>.</w:t>
      </w:r>
      <w:bookmarkEnd w:id="84"/>
      <w:bookmarkEnd w:id="85"/>
      <w:r>
        <w:rPr>
          <w:rFonts w:hint="eastAsia" w:ascii="仿宋_GB2312" w:hAnsi="宋体" w:eastAsia="仿宋_GB2312" w:cs="黑体"/>
          <w:b/>
          <w:bCs/>
          <w:sz w:val="32"/>
          <w:szCs w:val="30"/>
        </w:rPr>
        <w:t>科技</w:t>
      </w:r>
      <w:r>
        <w:rPr>
          <w:rFonts w:ascii="仿宋_GB2312" w:hAnsi="宋体" w:eastAsia="仿宋_GB2312" w:cs="黑体"/>
          <w:b/>
          <w:bCs/>
          <w:sz w:val="32"/>
          <w:szCs w:val="30"/>
        </w:rPr>
        <w:t>服务集群</w:t>
      </w:r>
      <w:bookmarkEnd w:id="86"/>
      <w:r>
        <w:rPr>
          <w:rFonts w:ascii="仿宋_GB2312" w:hAnsi="宋体" w:eastAsia="仿宋_GB2312" w:cs="黑体"/>
          <w:b/>
          <w:bCs/>
          <w:sz w:val="32"/>
          <w:szCs w:val="30"/>
        </w:rPr>
        <w:t xml:space="preserve"> </w:t>
      </w:r>
    </w:p>
    <w:p>
      <w:pPr>
        <w:spacing w:line="560" w:lineRule="exact"/>
        <w:ind w:firstLine="604" w:firstLineChars="189"/>
        <w:rPr>
          <w:rFonts w:eastAsia="仿宋_GB2312" w:cs="仿宋_GB2312"/>
          <w:bCs/>
          <w:sz w:val="32"/>
          <w:szCs w:val="32"/>
        </w:rPr>
      </w:pPr>
      <w:r>
        <w:rPr>
          <w:rFonts w:hint="eastAsia" w:ascii="仿宋_GB2312" w:hAnsi="仿宋_GB2312" w:eastAsia="仿宋_GB2312" w:cs="仿宋_GB2312"/>
          <w:sz w:val="32"/>
          <w:szCs w:val="32"/>
        </w:rPr>
        <w:t>位于成果转化区，涵盖光明新城</w:t>
      </w:r>
      <w:r>
        <w:rPr>
          <w:rFonts w:ascii="仿宋_GB2312" w:hAnsi="仿宋_GB2312" w:eastAsia="仿宋_GB2312" w:cs="仿宋_GB2312"/>
          <w:sz w:val="32"/>
          <w:szCs w:val="32"/>
        </w:rPr>
        <w:t>产业单元、</w:t>
      </w:r>
      <w:r>
        <w:rPr>
          <w:rFonts w:hint="eastAsia" w:ascii="仿宋_GB2312" w:hAnsi="仿宋_GB2312" w:eastAsia="仿宋_GB2312" w:cs="仿宋_GB2312"/>
          <w:sz w:val="32"/>
          <w:szCs w:val="32"/>
        </w:rPr>
        <w:t>翠湖</w:t>
      </w:r>
      <w:r>
        <w:rPr>
          <w:rFonts w:ascii="仿宋_GB2312" w:hAnsi="仿宋_GB2312" w:eastAsia="仿宋_GB2312" w:cs="仿宋_GB2312"/>
          <w:sz w:val="32"/>
          <w:szCs w:val="32"/>
        </w:rPr>
        <w:t>产业单元、光明大街单元、高新园东产业单元、</w:t>
      </w:r>
      <w:r>
        <w:rPr>
          <w:rFonts w:hint="eastAsia" w:ascii="仿宋_GB2312" w:hAnsi="仿宋_GB2312" w:eastAsia="仿宋_GB2312" w:cs="仿宋_GB2312"/>
          <w:sz w:val="32"/>
          <w:szCs w:val="32"/>
        </w:rPr>
        <w:t>光明城站</w:t>
      </w:r>
      <w:r>
        <w:rPr>
          <w:rFonts w:ascii="仿宋_GB2312" w:hAnsi="仿宋_GB2312" w:eastAsia="仿宋_GB2312" w:cs="仿宋_GB2312"/>
          <w:sz w:val="32"/>
          <w:szCs w:val="32"/>
        </w:rPr>
        <w:t>门户单元</w:t>
      </w:r>
      <w:r>
        <w:rPr>
          <w:rFonts w:hint="eastAsia" w:ascii="仿宋_GB2312" w:hAnsi="仿宋_GB2312" w:eastAsia="仿宋_GB2312" w:cs="仿宋_GB2312"/>
          <w:sz w:val="32"/>
          <w:szCs w:val="32"/>
        </w:rPr>
        <w:t>与白花</w:t>
      </w:r>
      <w:r>
        <w:rPr>
          <w:rFonts w:ascii="仿宋_GB2312" w:hAnsi="仿宋_GB2312" w:eastAsia="仿宋_GB2312" w:cs="仿宋_GB2312"/>
          <w:sz w:val="32"/>
          <w:szCs w:val="32"/>
        </w:rPr>
        <w:t>产业单元</w:t>
      </w:r>
      <w:r>
        <w:rPr>
          <w:rFonts w:hint="eastAsia" w:ascii="仿宋_GB2312" w:hAnsi="Times New Roman" w:eastAsia="仿宋_GB2312" w:cs="宋体"/>
          <w:sz w:val="32"/>
          <w:szCs w:val="32"/>
        </w:rPr>
        <w:t>。建设</w:t>
      </w:r>
      <w:r>
        <w:rPr>
          <w:rFonts w:ascii="仿宋_GB2312" w:hAnsi="Times New Roman" w:eastAsia="仿宋_GB2312" w:cs="宋体"/>
          <w:sz w:val="32"/>
          <w:szCs w:val="32"/>
        </w:rPr>
        <w:t>一批技术研发平台、成果</w:t>
      </w:r>
      <w:r>
        <w:rPr>
          <w:rFonts w:hint="eastAsia" w:ascii="仿宋_GB2312" w:hAnsi="Times New Roman" w:eastAsia="仿宋_GB2312" w:cs="宋体"/>
          <w:sz w:val="32"/>
          <w:szCs w:val="32"/>
        </w:rPr>
        <w:t>转移</w:t>
      </w:r>
      <w:r>
        <w:rPr>
          <w:rFonts w:ascii="仿宋_GB2312" w:hAnsi="Times New Roman" w:eastAsia="仿宋_GB2312" w:cs="宋体"/>
          <w:sz w:val="32"/>
          <w:szCs w:val="32"/>
        </w:rPr>
        <w:t>转化平台</w:t>
      </w:r>
      <w:r>
        <w:rPr>
          <w:rFonts w:hint="eastAsia" w:ascii="仿宋_GB2312" w:hAnsi="Times New Roman" w:eastAsia="仿宋_GB2312" w:cs="宋体"/>
          <w:sz w:val="32"/>
          <w:szCs w:val="32"/>
        </w:rPr>
        <w:t>、</w:t>
      </w:r>
      <w:r>
        <w:rPr>
          <w:rFonts w:ascii="仿宋_GB2312" w:hAnsi="Times New Roman" w:eastAsia="仿宋_GB2312" w:cs="宋体"/>
          <w:sz w:val="32"/>
          <w:szCs w:val="32"/>
        </w:rPr>
        <w:t>检验检测机构及</w:t>
      </w:r>
      <w:r>
        <w:rPr>
          <w:rFonts w:hint="eastAsia" w:ascii="仿宋_GB2312" w:hAnsi="Times New Roman" w:eastAsia="仿宋_GB2312" w:cs="宋体"/>
          <w:sz w:val="32"/>
          <w:szCs w:val="32"/>
        </w:rPr>
        <w:t>金融</w:t>
      </w:r>
      <w:r>
        <w:rPr>
          <w:rFonts w:ascii="仿宋_GB2312" w:hAnsi="Times New Roman" w:eastAsia="仿宋_GB2312" w:cs="宋体"/>
          <w:sz w:val="32"/>
          <w:szCs w:val="32"/>
        </w:rPr>
        <w:t>机构，</w:t>
      </w:r>
      <w:r>
        <w:rPr>
          <w:rFonts w:hint="eastAsia" w:ascii="仿宋_GB2312" w:hAnsi="Times New Roman" w:eastAsia="仿宋_GB2312" w:cs="宋体"/>
          <w:sz w:val="32"/>
          <w:szCs w:val="32"/>
        </w:rPr>
        <w:t>构建“创业苗圃+孵化器+加速器”的创业孵化服务链条，</w:t>
      </w:r>
      <w:r>
        <w:rPr>
          <w:rFonts w:ascii="仿宋_GB2312" w:hAnsi="Times New Roman" w:eastAsia="仿宋_GB2312" w:cs="宋体"/>
          <w:sz w:val="32"/>
          <w:szCs w:val="32"/>
        </w:rPr>
        <w:t>沿高铁站、轨道站点</w:t>
      </w:r>
      <w:r>
        <w:rPr>
          <w:rFonts w:hint="eastAsia" w:ascii="仿宋_GB2312" w:hAnsi="Times New Roman" w:eastAsia="仿宋_GB2312" w:cs="宋体"/>
          <w:sz w:val="32"/>
          <w:szCs w:val="32"/>
        </w:rPr>
        <w:t>布局</w:t>
      </w:r>
      <w:r>
        <w:rPr>
          <w:rFonts w:ascii="仿宋_GB2312" w:hAnsi="Times New Roman" w:eastAsia="仿宋_GB2312" w:cs="宋体"/>
          <w:sz w:val="32"/>
          <w:szCs w:val="32"/>
        </w:rPr>
        <w:t>商业综合体</w:t>
      </w:r>
      <w:r>
        <w:rPr>
          <w:rFonts w:hint="eastAsia" w:ascii="仿宋_GB2312" w:hAnsi="Times New Roman" w:eastAsia="仿宋_GB2312" w:cs="宋体"/>
          <w:sz w:val="32"/>
          <w:szCs w:val="32"/>
        </w:rPr>
        <w:t>及</w:t>
      </w:r>
      <w:r>
        <w:rPr>
          <w:rFonts w:ascii="仿宋_GB2312" w:hAnsi="Times New Roman" w:eastAsia="仿宋_GB2312" w:cs="宋体"/>
          <w:sz w:val="32"/>
          <w:szCs w:val="32"/>
        </w:rPr>
        <w:t>人才配套服务设施。</w:t>
      </w:r>
      <w:bookmarkStart w:id="87" w:name="_Toc495249239"/>
    </w:p>
    <w:bookmarkEnd w:id="87"/>
    <w:p>
      <w:pPr>
        <w:spacing w:line="560" w:lineRule="exact"/>
        <w:ind w:firstLine="607" w:firstLineChars="189"/>
        <w:outlineLvl w:val="2"/>
        <w:rPr>
          <w:rFonts w:eastAsia="仿宋_GB2312" w:cs="黑体"/>
          <w:b/>
          <w:bCs/>
          <w:sz w:val="32"/>
          <w:szCs w:val="30"/>
        </w:rPr>
      </w:pPr>
      <w:bookmarkStart w:id="88" w:name="_Toc536617689"/>
      <w:bookmarkStart w:id="89" w:name="_Toc3583618"/>
      <w:bookmarkStart w:id="90" w:name="_Toc495249241"/>
      <w:bookmarkStart w:id="91" w:name="_Toc536617688"/>
      <w:r>
        <w:rPr>
          <w:rFonts w:ascii="仿宋_GB2312" w:hAnsi="宋体" w:eastAsia="仿宋_GB2312" w:cs="黑体"/>
          <w:b/>
          <w:bCs/>
          <w:sz w:val="32"/>
          <w:szCs w:val="30"/>
        </w:rPr>
        <w:t>3</w:t>
      </w:r>
      <w:r>
        <w:rPr>
          <w:rFonts w:hint="eastAsia" w:ascii="仿宋_GB2312" w:hAnsi="宋体" w:eastAsia="仿宋_GB2312" w:cs="黑体"/>
          <w:b/>
          <w:bCs/>
          <w:sz w:val="32"/>
          <w:szCs w:val="30"/>
        </w:rPr>
        <w:t>.智能产业</w:t>
      </w:r>
      <w:bookmarkEnd w:id="88"/>
      <w:r>
        <w:rPr>
          <w:rFonts w:hint="eastAsia" w:ascii="仿宋_GB2312" w:hAnsi="宋体" w:eastAsia="仿宋_GB2312" w:cs="黑体"/>
          <w:b/>
          <w:bCs/>
          <w:sz w:val="32"/>
          <w:szCs w:val="30"/>
        </w:rPr>
        <w:t>集群</w:t>
      </w:r>
      <w:bookmarkEnd w:id="89"/>
    </w:p>
    <w:p>
      <w:pPr>
        <w:spacing w:line="560" w:lineRule="exact"/>
        <w:ind w:firstLine="604" w:firstLineChars="189"/>
        <w:rPr>
          <w:rFonts w:ascii="仿宋_GB2312" w:eastAsia="仿宋_GB2312" w:cs="仿宋_GB2312"/>
          <w:color w:val="C55A11" w:themeColor="accent2" w:themeShade="BF"/>
          <w:sz w:val="32"/>
          <w:szCs w:val="32"/>
        </w:rPr>
      </w:pPr>
      <w:r>
        <w:rPr>
          <w:rFonts w:hint="eastAsia" w:ascii="仿宋_GB2312" w:hAnsi="仿宋_GB2312" w:eastAsia="仿宋_GB2312" w:cs="仿宋_GB2312"/>
          <w:sz w:val="32"/>
          <w:szCs w:val="32"/>
        </w:rPr>
        <w:t>位于产业发展</w:t>
      </w:r>
      <w:r>
        <w:rPr>
          <w:rFonts w:ascii="仿宋_GB2312" w:hAnsi="仿宋_GB2312" w:eastAsia="仿宋_GB2312" w:cs="仿宋_GB2312"/>
          <w:sz w:val="32"/>
          <w:szCs w:val="32"/>
        </w:rPr>
        <w:t>区中部</w:t>
      </w:r>
      <w:r>
        <w:rPr>
          <w:rFonts w:hint="eastAsia" w:ascii="仿宋_GB2312" w:hAnsi="仿宋_GB2312" w:eastAsia="仿宋_GB2312" w:cs="仿宋_GB2312"/>
          <w:sz w:val="32"/>
          <w:szCs w:val="32"/>
        </w:rPr>
        <w:t>，涵盖凤凰社区</w:t>
      </w:r>
      <w:r>
        <w:rPr>
          <w:rFonts w:ascii="仿宋_GB2312" w:hAnsi="仿宋_GB2312" w:eastAsia="仿宋_GB2312" w:cs="仿宋_GB2312"/>
          <w:sz w:val="32"/>
          <w:szCs w:val="32"/>
        </w:rPr>
        <w:t>产业单元、</w:t>
      </w:r>
      <w:r>
        <w:rPr>
          <w:rFonts w:hint="eastAsia" w:ascii="仿宋_GB2312" w:hAnsi="仿宋_GB2312" w:eastAsia="仿宋_GB2312" w:cs="仿宋_GB2312"/>
          <w:sz w:val="32"/>
          <w:szCs w:val="32"/>
        </w:rPr>
        <w:t>塘尾-东坑</w:t>
      </w:r>
      <w:r>
        <w:rPr>
          <w:rFonts w:ascii="仿宋_GB2312" w:hAnsi="仿宋_GB2312" w:eastAsia="仿宋_GB2312" w:cs="仿宋_GB2312"/>
          <w:sz w:val="32"/>
          <w:szCs w:val="32"/>
        </w:rPr>
        <w:t>产业单元、</w:t>
      </w:r>
      <w:r>
        <w:rPr>
          <w:rFonts w:hint="eastAsia" w:ascii="仿宋_GB2312" w:hAnsi="仿宋_GB2312" w:eastAsia="仿宋_GB2312" w:cs="仿宋_GB2312"/>
          <w:sz w:val="32"/>
          <w:szCs w:val="32"/>
        </w:rPr>
        <w:t>长圳</w:t>
      </w:r>
      <w:r>
        <w:rPr>
          <w:rFonts w:ascii="仿宋_GB2312" w:hAnsi="仿宋_GB2312" w:eastAsia="仿宋_GB2312" w:cs="仿宋_GB2312"/>
          <w:sz w:val="32"/>
          <w:szCs w:val="32"/>
        </w:rPr>
        <w:t>-甲子塘</w:t>
      </w:r>
      <w:r>
        <w:rPr>
          <w:rFonts w:hint="eastAsia" w:ascii="仿宋_GB2312" w:hAnsi="仿宋_GB2312" w:eastAsia="仿宋_GB2312" w:cs="仿宋_GB2312"/>
          <w:sz w:val="32"/>
          <w:szCs w:val="32"/>
        </w:rPr>
        <w:t>产业</w:t>
      </w:r>
      <w:r>
        <w:rPr>
          <w:rFonts w:ascii="仿宋_GB2312" w:hAnsi="仿宋_GB2312" w:eastAsia="仿宋_GB2312" w:cs="仿宋_GB2312"/>
          <w:sz w:val="32"/>
          <w:szCs w:val="32"/>
        </w:rPr>
        <w:t>单元、</w:t>
      </w:r>
      <w:r>
        <w:rPr>
          <w:rFonts w:hint="eastAsia" w:ascii="仿宋_GB2312" w:hAnsi="仿宋_GB2312" w:eastAsia="仿宋_GB2312" w:cs="仿宋_GB2312"/>
          <w:sz w:val="32"/>
          <w:szCs w:val="32"/>
        </w:rPr>
        <w:t>塘尾</w:t>
      </w:r>
      <w:r>
        <w:rPr>
          <w:rFonts w:ascii="仿宋_GB2312" w:hAnsi="仿宋_GB2312" w:eastAsia="仿宋_GB2312" w:cs="仿宋_GB2312"/>
          <w:sz w:val="32"/>
          <w:szCs w:val="32"/>
        </w:rPr>
        <w:t>产业单元、将石产业单元、</w:t>
      </w:r>
      <w:r>
        <w:rPr>
          <w:rFonts w:hint="eastAsia" w:ascii="仿宋_GB2312" w:hAnsi="仿宋_GB2312" w:eastAsia="仿宋_GB2312" w:cs="仿宋_GB2312"/>
          <w:sz w:val="32"/>
          <w:szCs w:val="32"/>
        </w:rPr>
        <w:t>合水口-马山头</w:t>
      </w:r>
      <w:r>
        <w:rPr>
          <w:rFonts w:ascii="仿宋_GB2312" w:hAnsi="仿宋_GB2312" w:eastAsia="仿宋_GB2312" w:cs="仿宋_GB2312"/>
          <w:sz w:val="32"/>
          <w:szCs w:val="32"/>
        </w:rPr>
        <w:t>产业单元</w:t>
      </w:r>
      <w:r>
        <w:rPr>
          <w:rFonts w:hint="eastAsia" w:ascii="仿宋_GB2312" w:hAnsi="仿宋_GB2312" w:eastAsia="仿宋_GB2312" w:cs="仿宋_GB2312"/>
          <w:sz w:val="32"/>
          <w:szCs w:val="32"/>
        </w:rPr>
        <w:t>。重点布局</w:t>
      </w:r>
      <w:r>
        <w:rPr>
          <w:rFonts w:ascii="仿宋_GB2312" w:hAnsi="仿宋_GB2312" w:eastAsia="仿宋_GB2312" w:cs="仿宋_GB2312"/>
          <w:sz w:val="32"/>
          <w:szCs w:val="32"/>
        </w:rPr>
        <w:t>人工智能、</w:t>
      </w:r>
      <w:r>
        <w:rPr>
          <w:rFonts w:hint="eastAsia" w:ascii="仿宋_GB2312" w:hAnsi="仿宋_GB2312" w:eastAsia="仿宋_GB2312" w:cs="仿宋_GB2312"/>
          <w:sz w:val="32"/>
          <w:szCs w:val="32"/>
        </w:rPr>
        <w:t>下一代移动通信、</w:t>
      </w:r>
      <w:r>
        <w:rPr>
          <w:rFonts w:ascii="仿宋_GB2312" w:hAnsi="仿宋_GB2312" w:eastAsia="仿宋_GB2312" w:cs="仿宋_GB2312"/>
          <w:sz w:val="32"/>
          <w:szCs w:val="32"/>
        </w:rPr>
        <w:t>柔性电子与新型显示</w:t>
      </w:r>
      <w:r>
        <w:rPr>
          <w:rFonts w:hint="eastAsia" w:ascii="仿宋_GB2312" w:hAnsi="仿宋_GB2312" w:eastAsia="仿宋_GB2312" w:cs="仿宋_GB2312"/>
          <w:sz w:val="32"/>
          <w:szCs w:val="32"/>
        </w:rPr>
        <w:t>等</w:t>
      </w:r>
      <w:r>
        <w:rPr>
          <w:rFonts w:ascii="仿宋_GB2312" w:hAnsi="仿宋_GB2312" w:eastAsia="仿宋_GB2312" w:cs="仿宋_GB2312"/>
          <w:sz w:val="32"/>
          <w:szCs w:val="32"/>
        </w:rPr>
        <w:t>产业</w:t>
      </w:r>
      <w:r>
        <w:rPr>
          <w:rFonts w:hint="eastAsia" w:ascii="仿宋_GB2312" w:hAnsi="仿宋_GB2312" w:eastAsia="仿宋_GB2312" w:cs="仿宋_GB2312"/>
          <w:sz w:val="32"/>
          <w:szCs w:val="32"/>
        </w:rPr>
        <w:t>。升级建设智能穿戴产业基地（钟表基地）和智能装备产业基地（模具基地）,布局一批工业互联网平台、</w:t>
      </w:r>
      <w:r>
        <w:rPr>
          <w:rFonts w:ascii="仿宋_GB2312" w:hAnsi="仿宋_GB2312" w:eastAsia="仿宋_GB2312" w:cs="仿宋_GB2312"/>
          <w:sz w:val="32"/>
          <w:szCs w:val="32"/>
        </w:rPr>
        <w:t>智能产业</w:t>
      </w:r>
      <w:r>
        <w:rPr>
          <w:rFonts w:hint="eastAsia" w:ascii="仿宋_GB2312" w:hAnsi="仿宋_GB2312" w:eastAsia="仿宋_GB2312" w:cs="仿宋_GB2312"/>
          <w:sz w:val="32"/>
          <w:szCs w:val="32"/>
        </w:rPr>
        <w:t>研发总部</w:t>
      </w:r>
      <w:r>
        <w:rPr>
          <w:rFonts w:hint="eastAsia" w:ascii="仿宋_GB2312" w:eastAsia="仿宋_GB2312" w:cs="仿宋_GB2312"/>
          <w:sz w:val="32"/>
          <w:szCs w:val="32"/>
        </w:rPr>
        <w:t>。</w:t>
      </w:r>
    </w:p>
    <w:p>
      <w:pPr>
        <w:spacing w:line="560" w:lineRule="exact"/>
        <w:ind w:firstLine="607" w:firstLineChars="189"/>
        <w:outlineLvl w:val="2"/>
        <w:rPr>
          <w:rFonts w:eastAsia="仿宋_GB2312" w:cs="黑体"/>
          <w:b/>
          <w:bCs/>
          <w:sz w:val="32"/>
          <w:szCs w:val="30"/>
        </w:rPr>
      </w:pPr>
      <w:bookmarkStart w:id="92" w:name="_Toc3583619"/>
      <w:r>
        <w:rPr>
          <w:rFonts w:hint="eastAsia" w:ascii="仿宋_GB2312" w:hAnsi="宋体" w:eastAsia="仿宋_GB2312" w:cs="黑体"/>
          <w:b/>
          <w:bCs/>
          <w:sz w:val="32"/>
          <w:szCs w:val="30"/>
        </w:rPr>
        <w:t>4.</w:t>
      </w:r>
      <w:bookmarkEnd w:id="90"/>
      <w:r>
        <w:rPr>
          <w:rFonts w:hint="eastAsia" w:ascii="仿宋_GB2312" w:hAnsi="宋体" w:eastAsia="仿宋_GB2312" w:cs="黑体"/>
          <w:b/>
          <w:bCs/>
          <w:sz w:val="32"/>
          <w:szCs w:val="30"/>
        </w:rPr>
        <w:t>生命科学产业</w:t>
      </w:r>
      <w:bookmarkEnd w:id="91"/>
      <w:r>
        <w:rPr>
          <w:rFonts w:hint="eastAsia" w:eastAsia="仿宋_GB2312" w:cs="黑体"/>
          <w:b/>
          <w:bCs/>
          <w:sz w:val="32"/>
          <w:szCs w:val="30"/>
        </w:rPr>
        <w:t>集群</w:t>
      </w:r>
      <w:bookmarkEnd w:id="92"/>
    </w:p>
    <w:p>
      <w:pPr>
        <w:spacing w:line="560" w:lineRule="exact"/>
        <w:ind w:firstLine="604" w:firstLineChars="189"/>
        <w:rPr>
          <w:rFonts w:ascii="仿宋_GB2312" w:eastAsia="仿宋_GB2312" w:cs="仿宋_GB2312"/>
          <w:sz w:val="32"/>
          <w:szCs w:val="32"/>
        </w:rPr>
      </w:pPr>
      <w:r>
        <w:rPr>
          <w:rFonts w:hint="eastAsia" w:ascii="仿宋_GB2312" w:hAnsi="仿宋_GB2312" w:eastAsia="仿宋_GB2312" w:cs="仿宋_GB2312"/>
          <w:sz w:val="32"/>
          <w:szCs w:val="32"/>
        </w:rPr>
        <w:t>位于产业发展区南</w:t>
      </w:r>
      <w:r>
        <w:rPr>
          <w:rFonts w:ascii="仿宋_GB2312" w:hAnsi="仿宋_GB2312" w:eastAsia="仿宋_GB2312" w:cs="仿宋_GB2312"/>
          <w:sz w:val="32"/>
          <w:szCs w:val="32"/>
        </w:rPr>
        <w:t>部</w:t>
      </w:r>
      <w:r>
        <w:rPr>
          <w:rFonts w:hint="eastAsia" w:ascii="仿宋_GB2312" w:hAnsi="仿宋_GB2312" w:eastAsia="仿宋_GB2312" w:cs="仿宋_GB2312"/>
          <w:sz w:val="32"/>
          <w:szCs w:val="32"/>
        </w:rPr>
        <w:t>，涵盖田寮-玉津产业</w:t>
      </w:r>
      <w:r>
        <w:rPr>
          <w:rFonts w:ascii="仿宋_GB2312" w:hAnsi="仿宋_GB2312" w:eastAsia="仿宋_GB2312" w:cs="仿宋_GB2312"/>
          <w:sz w:val="32"/>
          <w:szCs w:val="32"/>
        </w:rPr>
        <w:t>单元</w:t>
      </w:r>
      <w:r>
        <w:rPr>
          <w:rFonts w:hint="eastAsia" w:ascii="仿宋_GB2312" w:hAnsi="仿宋_GB2312" w:eastAsia="仿宋_GB2312" w:cs="仿宋_GB2312"/>
          <w:sz w:val="32"/>
          <w:szCs w:val="32"/>
        </w:rPr>
        <w:t>。重点布局生物制品、化学药、医学影像</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医药CRO</w:t>
      </w:r>
      <w:r>
        <w:rPr>
          <w:rFonts w:hint="eastAsia" w:eastAsia="仿宋_GB2312" w:cs="仿宋_GB2312"/>
          <w:sz w:val="32"/>
          <w:szCs w:val="32"/>
        </w:rPr>
        <w:t>、</w:t>
      </w:r>
      <w:r>
        <w:rPr>
          <w:rFonts w:eastAsia="仿宋_GB2312" w:cs="仿宋_GB2312"/>
          <w:sz w:val="32"/>
          <w:szCs w:val="32"/>
        </w:rPr>
        <w:t>精准医疗</w:t>
      </w:r>
      <w:r>
        <w:rPr>
          <w:rFonts w:hint="eastAsia" w:ascii="仿宋_GB2312" w:hAnsi="仿宋_GB2312" w:eastAsia="仿宋_GB2312" w:cs="仿宋_GB2312"/>
          <w:sz w:val="32"/>
          <w:szCs w:val="32"/>
        </w:rPr>
        <w:t>等产业，建设一批</w:t>
      </w:r>
      <w:r>
        <w:rPr>
          <w:rFonts w:hint="eastAsia" w:ascii="仿宋_GB2312" w:eastAsia="仿宋_GB2312" w:cs="仿宋_GB2312"/>
          <w:sz w:val="32"/>
          <w:szCs w:val="32"/>
        </w:rPr>
        <w:t>临床研究基地、药物发现</w:t>
      </w:r>
      <w:r>
        <w:rPr>
          <w:rFonts w:hint="eastAsia" w:ascii="仿宋_GB2312" w:hAnsi="Calibri" w:eastAsia="仿宋_GB2312" w:cs="仿宋_GB2312"/>
          <w:sz w:val="32"/>
          <w:szCs w:val="32"/>
        </w:rPr>
        <w:t>等平台</w:t>
      </w:r>
      <w:r>
        <w:rPr>
          <w:rFonts w:hint="eastAsia" w:ascii="仿宋_GB2312" w:eastAsia="仿宋_GB2312" w:cs="仿宋_GB2312"/>
          <w:sz w:val="32"/>
          <w:szCs w:val="32"/>
        </w:rPr>
        <w:t>。</w:t>
      </w:r>
      <w:bookmarkStart w:id="93" w:name="_Toc495249242"/>
    </w:p>
    <w:bookmarkEnd w:id="93"/>
    <w:p>
      <w:pPr>
        <w:spacing w:line="560" w:lineRule="exact"/>
        <w:ind w:firstLine="607" w:firstLineChars="189"/>
        <w:outlineLvl w:val="2"/>
        <w:rPr>
          <w:rFonts w:eastAsia="仿宋_GB2312" w:cs="黑体"/>
          <w:b/>
          <w:bCs/>
          <w:sz w:val="32"/>
          <w:szCs w:val="30"/>
        </w:rPr>
      </w:pPr>
      <w:bookmarkStart w:id="94" w:name="_Toc495249243"/>
      <w:bookmarkStart w:id="95" w:name="_Toc536617690"/>
      <w:bookmarkStart w:id="96" w:name="_Toc3583620"/>
      <w:r>
        <w:rPr>
          <w:rFonts w:ascii="仿宋_GB2312" w:hAnsi="宋体" w:eastAsia="仿宋_GB2312" w:cs="黑体"/>
          <w:b/>
          <w:bCs/>
          <w:sz w:val="32"/>
          <w:szCs w:val="30"/>
        </w:rPr>
        <w:t>5</w:t>
      </w:r>
      <w:r>
        <w:rPr>
          <w:rFonts w:hint="eastAsia" w:ascii="仿宋_GB2312" w:hAnsi="宋体" w:eastAsia="仿宋_GB2312" w:cs="黑体"/>
          <w:b/>
          <w:bCs/>
          <w:sz w:val="32"/>
          <w:szCs w:val="30"/>
        </w:rPr>
        <w:t>.</w:t>
      </w:r>
      <w:bookmarkEnd w:id="94"/>
      <w:r>
        <w:rPr>
          <w:rFonts w:hint="eastAsia" w:ascii="仿宋_GB2312" w:hAnsi="宋体" w:eastAsia="仿宋_GB2312" w:cs="黑体"/>
          <w:b/>
          <w:bCs/>
          <w:sz w:val="32"/>
          <w:szCs w:val="30"/>
        </w:rPr>
        <w:t>新材料产业</w:t>
      </w:r>
      <w:bookmarkEnd w:id="95"/>
      <w:r>
        <w:rPr>
          <w:rFonts w:hint="eastAsia" w:ascii="仿宋_GB2312" w:hAnsi="宋体" w:eastAsia="仿宋_GB2312" w:cs="黑体"/>
          <w:b/>
          <w:bCs/>
          <w:sz w:val="32"/>
          <w:szCs w:val="30"/>
        </w:rPr>
        <w:t>集群</w:t>
      </w:r>
      <w:bookmarkEnd w:id="96"/>
    </w:p>
    <w:p>
      <w:pPr>
        <w:spacing w:line="560" w:lineRule="exact"/>
        <w:ind w:firstLine="604" w:firstLineChars="189"/>
        <w:rPr>
          <w:rFonts w:eastAsia="仿宋_GB2312" w:cs="仿宋_GB2312"/>
          <w:color w:val="000000"/>
          <w:sz w:val="32"/>
          <w:szCs w:val="32"/>
        </w:rPr>
      </w:pPr>
      <w:r>
        <w:rPr>
          <w:rFonts w:hint="eastAsia" w:ascii="仿宋_GB2312" w:hAnsi="仿宋_GB2312" w:eastAsia="仿宋_GB2312" w:cs="仿宋_GB2312"/>
          <w:sz w:val="32"/>
          <w:szCs w:val="32"/>
        </w:rPr>
        <w:t>位于产业发展区北部，涵盖薯田埔</w:t>
      </w:r>
      <w:r>
        <w:rPr>
          <w:rFonts w:ascii="仿宋_GB2312" w:hAnsi="仿宋_GB2312" w:eastAsia="仿宋_GB2312" w:cs="仿宋_GB2312"/>
          <w:sz w:val="32"/>
          <w:szCs w:val="32"/>
        </w:rPr>
        <w:t>产业单元、</w:t>
      </w:r>
      <w:r>
        <w:rPr>
          <w:rFonts w:hint="eastAsia" w:ascii="仿宋_GB2312" w:hAnsi="仿宋_GB2312" w:eastAsia="仿宋_GB2312" w:cs="仿宋_GB2312"/>
          <w:sz w:val="32"/>
          <w:szCs w:val="32"/>
        </w:rPr>
        <w:t>公明</w:t>
      </w:r>
      <w:r>
        <w:rPr>
          <w:rFonts w:ascii="仿宋_GB2312" w:hAnsi="仿宋_GB2312" w:eastAsia="仿宋_GB2312" w:cs="仿宋_GB2312"/>
          <w:sz w:val="32"/>
          <w:szCs w:val="32"/>
        </w:rPr>
        <w:t>中心产业单元、</w:t>
      </w:r>
      <w:r>
        <w:rPr>
          <w:rFonts w:hint="eastAsia" w:ascii="仿宋_GB2312" w:hAnsi="仿宋_GB2312" w:eastAsia="仿宋_GB2312" w:cs="仿宋_GB2312"/>
          <w:sz w:val="32"/>
          <w:szCs w:val="32"/>
        </w:rPr>
        <w:t>下村</w:t>
      </w:r>
      <w:r>
        <w:rPr>
          <w:rFonts w:ascii="仿宋_GB2312" w:hAnsi="仿宋_GB2312" w:eastAsia="仿宋_GB2312" w:cs="仿宋_GB2312"/>
          <w:sz w:val="32"/>
          <w:szCs w:val="32"/>
        </w:rPr>
        <w:t>产业单元、上村产业单元、</w:t>
      </w:r>
      <w:r>
        <w:rPr>
          <w:rFonts w:hint="eastAsia" w:ascii="仿宋_GB2312" w:hAnsi="仿宋_GB2312" w:eastAsia="仿宋_GB2312" w:cs="仿宋_GB2312"/>
          <w:sz w:val="32"/>
          <w:szCs w:val="32"/>
        </w:rPr>
        <w:t>李松</w:t>
      </w:r>
      <w:r>
        <w:rPr>
          <w:rFonts w:hint="eastAsia" w:ascii="宋体" w:hAnsi="宋体" w:eastAsia="宋体" w:cs="宋体"/>
          <w:sz w:val="32"/>
          <w:szCs w:val="32"/>
        </w:rPr>
        <w:t>蓢</w:t>
      </w:r>
      <w:r>
        <w:rPr>
          <w:rFonts w:hint="eastAsia" w:ascii="仿宋_GB2312" w:hAnsi="仿宋_GB2312" w:eastAsia="仿宋_GB2312" w:cs="仿宋_GB2312"/>
          <w:sz w:val="32"/>
          <w:szCs w:val="32"/>
        </w:rPr>
        <w:t>-西田</w:t>
      </w:r>
      <w:r>
        <w:rPr>
          <w:rFonts w:ascii="仿宋_GB2312" w:hAnsi="仿宋_GB2312" w:eastAsia="仿宋_GB2312" w:cs="仿宋_GB2312"/>
          <w:sz w:val="32"/>
          <w:szCs w:val="32"/>
        </w:rPr>
        <w:t>产业单元</w:t>
      </w:r>
      <w:r>
        <w:rPr>
          <w:rFonts w:hint="eastAsia" w:ascii="仿宋_GB2312" w:hAnsi="仿宋_GB2312" w:eastAsia="仿宋_GB2312" w:cs="仿宋_GB2312"/>
          <w:sz w:val="32"/>
          <w:szCs w:val="32"/>
        </w:rPr>
        <w:t>。重点布局新型显示材料、锂离子</w:t>
      </w:r>
      <w:r>
        <w:rPr>
          <w:rFonts w:ascii="仿宋_GB2312" w:hAnsi="仿宋_GB2312" w:eastAsia="仿宋_GB2312" w:cs="仿宋_GB2312"/>
          <w:sz w:val="32"/>
          <w:szCs w:val="32"/>
        </w:rPr>
        <w:t>电池关键材料、</w:t>
      </w:r>
      <w:r>
        <w:rPr>
          <w:rFonts w:hint="eastAsia" w:ascii="仿宋_GB2312" w:hAnsi="仿宋_GB2312" w:eastAsia="仿宋_GB2312" w:cs="仿宋_GB2312"/>
          <w:color w:val="000000"/>
          <w:sz w:val="32"/>
          <w:szCs w:val="32"/>
        </w:rPr>
        <w:t>石墨烯等二维材料、第三代半导体材料等。</w:t>
      </w:r>
      <w:r>
        <w:rPr>
          <w:rFonts w:hint="eastAsia" w:ascii="仿宋_GB2312" w:hAnsi="仿宋_GB2312" w:eastAsia="仿宋_GB2312" w:cs="仿宋_GB2312"/>
          <w:sz w:val="32"/>
          <w:szCs w:val="32"/>
        </w:rPr>
        <w:t>建设一批</w:t>
      </w:r>
      <w:r>
        <w:rPr>
          <w:rFonts w:hint="eastAsia" w:ascii="仿宋_GB2312" w:eastAsia="仿宋_GB2312" w:cs="仿宋_GB2312"/>
          <w:sz w:val="32"/>
          <w:szCs w:val="32"/>
        </w:rPr>
        <w:t>材料测试评价</w:t>
      </w:r>
      <w:r>
        <w:rPr>
          <w:rFonts w:ascii="仿宋_GB2312" w:eastAsia="仿宋_GB2312" w:cs="仿宋_GB2312"/>
          <w:sz w:val="32"/>
          <w:szCs w:val="32"/>
        </w:rPr>
        <w:t>、新产品应用</w:t>
      </w:r>
      <w:r>
        <w:rPr>
          <w:rFonts w:hint="eastAsia" w:ascii="仿宋_GB2312" w:hAnsi="Calibri" w:eastAsia="仿宋_GB2312" w:cs="仿宋_GB2312"/>
          <w:sz w:val="32"/>
          <w:szCs w:val="32"/>
        </w:rPr>
        <w:t>等功能性平台</w:t>
      </w:r>
      <w:r>
        <w:rPr>
          <w:rFonts w:hint="eastAsia" w:ascii="仿宋_GB2312" w:eastAsia="仿宋_GB2312" w:cs="仿宋_GB2312"/>
          <w:sz w:val="32"/>
          <w:szCs w:val="32"/>
        </w:rPr>
        <w:t>。</w:t>
      </w:r>
    </w:p>
    <w:p>
      <w:r>
        <w:rPr>
          <w:rFonts w:hint="eastAsia" w:ascii="楷体_GB2312" w:hAnsi="黑体" w:eastAsia="楷体_GB2312" w:cs="Times New Roman"/>
          <w:b/>
          <w:sz w:val="32"/>
          <w:szCs w:val="32"/>
        </w:rPr>
        <w:t xml:space="preserve"> </w:t>
      </w:r>
      <w:r>
        <w:rPr>
          <w:rFonts w:ascii="楷体_GB2312" w:hAnsi="黑体" w:eastAsia="楷体_GB2312" w:cs="Times New Roman"/>
          <w:b/>
          <w:sz w:val="32"/>
          <w:szCs w:val="32"/>
        </w:rPr>
        <w:drawing>
          <wp:inline distT="0" distB="0" distL="0" distR="0">
            <wp:extent cx="5271770" cy="5043805"/>
            <wp:effectExtent l="0" t="0" r="5080" b="4445"/>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noChangeArrowheads="true"/>
                    </pic:cNvPicPr>
                  </pic:nvPicPr>
                  <pic:blipFill>
                    <a:blip r:embed="rId7" cstate="print">
                      <a:extLst>
                        <a:ext uri="{28A0092B-C50C-407E-A947-70E740481C1C}">
                          <a14:useLocalDpi xmlns:a14="http://schemas.microsoft.com/office/drawing/2010/main" val="false"/>
                        </a:ext>
                      </a:extLst>
                    </a:blip>
                    <a:srcRect/>
                    <a:stretch>
                      <a:fillRect/>
                    </a:stretch>
                  </pic:blipFill>
                  <pic:spPr>
                    <a:xfrm>
                      <a:off x="0" y="0"/>
                      <a:ext cx="5278397" cy="5049914"/>
                    </a:xfrm>
                    <a:prstGeom prst="rect">
                      <a:avLst/>
                    </a:prstGeom>
                    <a:noFill/>
                  </pic:spPr>
                </pic:pic>
              </a:graphicData>
            </a:graphic>
          </wp:inline>
        </w:drawing>
      </w:r>
    </w:p>
    <w:bookmarkEnd w:id="67"/>
    <w:p>
      <w:pPr>
        <w:pStyle w:val="2"/>
        <w:spacing w:line="560" w:lineRule="exact"/>
        <w:ind w:firstLine="640"/>
      </w:pPr>
      <w:bookmarkStart w:id="97" w:name="_Toc3583621"/>
      <w:bookmarkStart w:id="98" w:name="_Toc528593482"/>
      <w:bookmarkStart w:id="99" w:name="_Toc535441324"/>
      <w:r>
        <w:rPr>
          <w:rFonts w:hint="eastAsia"/>
        </w:rPr>
        <w:t>六、保障</w:t>
      </w:r>
      <w:r>
        <w:t>措施</w:t>
      </w:r>
      <w:bookmarkEnd w:id="97"/>
    </w:p>
    <w:p>
      <w:pPr>
        <w:spacing w:line="560" w:lineRule="exact"/>
        <w:ind w:firstLine="642" w:firstLineChars="200"/>
        <w:outlineLvl w:val="1"/>
        <w:rPr>
          <w:rFonts w:ascii="楷体_GB2312" w:hAnsi="黑体" w:eastAsia="楷体_GB2312" w:cs="Times New Roman"/>
          <w:b/>
          <w:sz w:val="32"/>
          <w:szCs w:val="32"/>
        </w:rPr>
      </w:pPr>
      <w:bookmarkStart w:id="100" w:name="_Toc3583622"/>
      <w:r>
        <w:rPr>
          <w:rFonts w:hint="eastAsia" w:ascii="楷体_GB2312" w:hAnsi="黑体" w:eastAsia="楷体_GB2312" w:cs="Times New Roman"/>
          <w:b/>
          <w:sz w:val="32"/>
          <w:szCs w:val="32"/>
        </w:rPr>
        <w:t>（一）加强组织落实</w:t>
      </w:r>
      <w:bookmarkEnd w:id="100"/>
    </w:p>
    <w:p>
      <w:pPr>
        <w:spacing w:line="560" w:lineRule="exact"/>
        <w:ind w:firstLine="640" w:firstLineChars="200"/>
        <w:rPr>
          <w:rFonts w:ascii="仿宋_GB2312" w:eastAsia="仿宋_GB2312"/>
          <w:sz w:val="32"/>
          <w:szCs w:val="32"/>
        </w:rPr>
      </w:pPr>
      <w:r>
        <w:rPr>
          <w:rFonts w:hint="eastAsia" w:ascii="仿宋_GB2312" w:eastAsia="仿宋_GB2312"/>
          <w:sz w:val="32"/>
          <w:szCs w:val="32"/>
        </w:rPr>
        <w:t>建立光明区产业发展联席会议制度，负责审议产业规划、产业政策、产业空间布局以及重大产业项目落地等事项。各有关部门要加强协调配合，遵循本规划所明确的战略路径、产业方向、空间布局等开展工作，切实做到组织到位、责任到位、工作到位，确保规划目标有计划、按步骤得到落实。</w:t>
      </w:r>
    </w:p>
    <w:p>
      <w:pPr>
        <w:spacing w:line="560" w:lineRule="exact"/>
        <w:ind w:firstLine="642" w:firstLineChars="200"/>
        <w:outlineLvl w:val="1"/>
        <w:rPr>
          <w:rFonts w:ascii="楷体_GB2312" w:hAnsi="黑体" w:eastAsia="楷体_GB2312" w:cs="Times New Roman"/>
          <w:b/>
          <w:sz w:val="32"/>
          <w:szCs w:val="32"/>
        </w:rPr>
      </w:pPr>
      <w:bookmarkStart w:id="101" w:name="_Toc3583623"/>
      <w:r>
        <w:rPr>
          <w:rFonts w:hint="eastAsia" w:ascii="楷体_GB2312" w:hAnsi="黑体" w:eastAsia="楷体_GB2312" w:cs="Times New Roman"/>
          <w:b/>
          <w:sz w:val="32"/>
          <w:szCs w:val="32"/>
        </w:rPr>
        <w:t>（二）完善产业政策</w:t>
      </w:r>
      <w:bookmarkEnd w:id="101"/>
    </w:p>
    <w:p>
      <w:pPr>
        <w:spacing w:line="560" w:lineRule="exact"/>
        <w:ind w:firstLine="604" w:firstLineChars="189"/>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由发改部门牵头，出台针对</w:t>
      </w:r>
      <w:r>
        <w:rPr>
          <w:rFonts w:ascii="仿宋_GB2312" w:hAnsi="仿宋_GB2312" w:eastAsia="仿宋_GB2312" w:cs="仿宋_GB2312"/>
          <w:color w:val="000000"/>
          <w:sz w:val="32"/>
          <w:szCs w:val="32"/>
        </w:rPr>
        <w:t>人才</w:t>
      </w: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资金</w:t>
      </w: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用地</w:t>
      </w: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环境等方面</w:t>
      </w:r>
      <w:r>
        <w:rPr>
          <w:rFonts w:hint="eastAsia" w:ascii="仿宋_GB2312" w:hAnsi="仿宋_GB2312" w:eastAsia="仿宋_GB2312" w:cs="仿宋_GB2312"/>
          <w:color w:val="000000"/>
          <w:sz w:val="32"/>
          <w:szCs w:val="32"/>
        </w:rPr>
        <w:t>的</w:t>
      </w:r>
      <w:r>
        <w:rPr>
          <w:rFonts w:ascii="仿宋_GB2312" w:hAnsi="仿宋_GB2312" w:eastAsia="仿宋_GB2312" w:cs="仿宋_GB2312"/>
          <w:color w:val="000000"/>
          <w:sz w:val="32"/>
          <w:szCs w:val="32"/>
        </w:rPr>
        <w:t>产业扶持政策</w:t>
      </w:r>
      <w:r>
        <w:rPr>
          <w:rFonts w:hint="eastAsia" w:ascii="仿宋_GB2312" w:hAnsi="仿宋_GB2312" w:eastAsia="仿宋_GB2312" w:cs="仿宋_GB2312"/>
          <w:color w:val="000000"/>
          <w:sz w:val="32"/>
          <w:szCs w:val="32"/>
        </w:rPr>
        <w:t>，强化政策统筹引导作用。</w:t>
      </w:r>
      <w:r>
        <w:rPr>
          <w:rFonts w:hint="eastAsia" w:ascii="仿宋_GB2312" w:eastAsia="仿宋_GB2312"/>
          <w:sz w:val="32"/>
          <w:szCs w:val="32"/>
        </w:rPr>
        <w:t>加大光明区经济发展专项资金对智能产业、新材料、生命科学、科技服务业等重点领域的投入力度，综合运用股权投资、贷款贴息、直接补助等方式，建立健全无偿与有偿并行、事前与事后结合的多元化扶持方式。</w:t>
      </w:r>
    </w:p>
    <w:p>
      <w:pPr>
        <w:spacing w:line="560" w:lineRule="exact"/>
        <w:ind w:firstLine="642" w:firstLineChars="200"/>
        <w:outlineLvl w:val="1"/>
        <w:rPr>
          <w:rFonts w:ascii="楷体_GB2312" w:hAnsi="黑体" w:eastAsia="楷体_GB2312" w:cs="Times New Roman"/>
          <w:b/>
          <w:sz w:val="32"/>
          <w:szCs w:val="32"/>
        </w:rPr>
      </w:pPr>
      <w:bookmarkStart w:id="102" w:name="_Toc3583624"/>
      <w:r>
        <w:rPr>
          <w:rFonts w:hint="eastAsia" w:ascii="楷体_GB2312" w:hAnsi="黑体" w:eastAsia="楷体_GB2312" w:cs="Times New Roman"/>
          <w:b/>
          <w:sz w:val="32"/>
          <w:szCs w:val="32"/>
        </w:rPr>
        <w:t>（三）强化空间保障</w:t>
      </w:r>
      <w:bookmarkEnd w:id="102"/>
    </w:p>
    <w:p>
      <w:pPr>
        <w:spacing w:line="560" w:lineRule="exact"/>
        <w:ind w:firstLine="604" w:firstLineChars="189"/>
        <w:rPr>
          <w:rFonts w:ascii="仿宋_GB2312" w:eastAsia="仿宋_GB2312"/>
          <w:sz w:val="32"/>
          <w:szCs w:val="32"/>
        </w:rPr>
      </w:pPr>
      <w:r>
        <w:rPr>
          <w:rFonts w:hint="eastAsia" w:ascii="仿宋_GB2312" w:eastAsia="仿宋_GB2312"/>
          <w:sz w:val="32"/>
          <w:szCs w:val="32"/>
        </w:rPr>
        <w:t>加大土地资源供应力度，规划新建一批各具特色的产业基地和园区，</w:t>
      </w:r>
      <w:r>
        <w:rPr>
          <w:rFonts w:ascii="仿宋_GB2312" w:eastAsia="仿宋_GB2312"/>
          <w:sz w:val="32"/>
          <w:szCs w:val="32"/>
        </w:rPr>
        <w:t>引导企业</w:t>
      </w:r>
      <w:r>
        <w:rPr>
          <w:rFonts w:hint="eastAsia" w:ascii="仿宋_GB2312" w:eastAsia="仿宋_GB2312"/>
          <w:sz w:val="32"/>
          <w:szCs w:val="32"/>
        </w:rPr>
        <w:t>进入选定片区集聚</w:t>
      </w:r>
      <w:r>
        <w:rPr>
          <w:rFonts w:ascii="仿宋_GB2312" w:eastAsia="仿宋_GB2312"/>
          <w:sz w:val="32"/>
          <w:szCs w:val="32"/>
        </w:rPr>
        <w:t>发展</w:t>
      </w:r>
      <w:r>
        <w:rPr>
          <w:rFonts w:hint="eastAsia" w:ascii="仿宋_GB2312" w:eastAsia="仿宋_GB2312"/>
          <w:sz w:val="32"/>
          <w:szCs w:val="32"/>
        </w:rPr>
        <w:t>，建成一批集聚度高、关联性强、带动效应好的产业集聚区。优化重大产业项目遴选机制，综合运用财税、环保、安监、信用等措施,倒逼企业盘活存量低效用地。加大创新型产业用房供给，实现创新空间资源优化配置，形成支持创新型产业发展的长效机制。</w:t>
      </w:r>
    </w:p>
    <w:p>
      <w:pPr>
        <w:spacing w:line="560" w:lineRule="exact"/>
        <w:ind w:firstLine="642" w:firstLineChars="200"/>
        <w:outlineLvl w:val="1"/>
        <w:rPr>
          <w:rFonts w:ascii="楷体_GB2312" w:hAnsi="黑体" w:eastAsia="楷体_GB2312" w:cs="Times New Roman"/>
          <w:b/>
          <w:sz w:val="32"/>
          <w:szCs w:val="32"/>
        </w:rPr>
      </w:pPr>
      <w:bookmarkStart w:id="103" w:name="_Toc3583625"/>
      <w:r>
        <w:rPr>
          <w:rFonts w:hint="eastAsia" w:ascii="楷体_GB2312" w:hAnsi="黑体" w:eastAsia="楷体_GB2312" w:cs="Times New Roman"/>
          <w:b/>
          <w:sz w:val="32"/>
          <w:szCs w:val="32"/>
        </w:rPr>
        <w:t>（四）优化营商环境</w:t>
      </w:r>
      <w:bookmarkEnd w:id="103"/>
    </w:p>
    <w:p>
      <w:pPr>
        <w:spacing w:line="560" w:lineRule="exact"/>
        <w:ind w:firstLine="640" w:firstLineChars="200"/>
        <w:rPr>
          <w:rFonts w:ascii="仿宋_GB2312" w:eastAsia="仿宋_GB2312"/>
          <w:sz w:val="32"/>
          <w:szCs w:val="32"/>
        </w:rPr>
      </w:pPr>
      <w:r>
        <w:rPr>
          <w:rFonts w:hint="eastAsia" w:ascii="仿宋_GB2312" w:eastAsia="仿宋_GB2312"/>
          <w:sz w:val="32"/>
          <w:szCs w:val="32"/>
        </w:rPr>
        <w:t>建立可视化光明产业地图，通过发挥产业地图的指南作用，有效服务各类投资者，推动重大项目与产业地图精准匹配、快速落地，引导社会资本向重点区域集聚。提升政务服务信息化、智慧化水平，使政务服务效率得到进一步提升。进一步完善重点企业服务制度，建设完善政企合作平台，以企业发展所需为出发点，创新服务方式、提升服务质量、建立长效机制，构建具备光明特色的企业服务体系。加强交通基础设施建设，加快完善城市功能配套。</w:t>
      </w:r>
    </w:p>
    <w:p>
      <w:pPr>
        <w:spacing w:line="560" w:lineRule="exact"/>
        <w:ind w:firstLine="642" w:firstLineChars="200"/>
        <w:outlineLvl w:val="1"/>
        <w:rPr>
          <w:rFonts w:ascii="楷体_GB2312" w:hAnsi="黑体" w:eastAsia="楷体_GB2312" w:cs="Times New Roman"/>
          <w:b/>
          <w:sz w:val="32"/>
          <w:szCs w:val="32"/>
        </w:rPr>
      </w:pPr>
      <w:bookmarkStart w:id="104" w:name="_Toc3583626"/>
      <w:r>
        <w:rPr>
          <w:rFonts w:hint="eastAsia" w:ascii="楷体_GB2312" w:hAnsi="黑体" w:eastAsia="楷体_GB2312" w:cs="Times New Roman"/>
          <w:b/>
          <w:sz w:val="32"/>
          <w:szCs w:val="32"/>
        </w:rPr>
        <w:t>（五）完善监督考核</w:t>
      </w:r>
      <w:bookmarkEnd w:id="104"/>
    </w:p>
    <w:p>
      <w:pPr>
        <w:spacing w:line="560" w:lineRule="exact"/>
        <w:ind w:firstLine="604" w:firstLineChars="189"/>
        <w:rPr>
          <w:rFonts w:ascii="仿宋_GB2312" w:hAnsi="仿宋_GB2312" w:eastAsia="仿宋_GB2312" w:cs="仿宋_GB2312"/>
          <w:color w:val="000000"/>
          <w:sz w:val="32"/>
          <w:szCs w:val="32"/>
        </w:rPr>
      </w:pPr>
      <w:r>
        <w:rPr>
          <w:rFonts w:hint="eastAsia" w:ascii="仿宋_GB2312" w:eastAsia="仿宋_GB2312"/>
          <w:sz w:val="32"/>
          <w:szCs w:val="32"/>
        </w:rPr>
        <w:t>由发改部门牵头，建立规划实施定期考核机制，按照规划实施的目标责任和任务进行分工。强化动态管理，积极开展对规划指标、政策措施和重大工程等实施情况的跟踪监测分析。建立与产业界、专业智库的研究合作，针对产业发展与规划的落实情况开展联合咨询研究和客观评估，适时调整规划实施重点、政策举措及保障机制。</w:t>
      </w:r>
      <w:r>
        <w:rPr>
          <w:rFonts w:hint="eastAsia" w:ascii="仿宋_GB2312" w:hAnsi="仿宋_GB2312" w:eastAsia="仿宋_GB2312" w:cs="仿宋_GB2312"/>
          <w:color w:val="000000"/>
          <w:sz w:val="32"/>
          <w:szCs w:val="32"/>
        </w:rPr>
        <w:t>健全规划中期评估制度，</w:t>
      </w:r>
      <w:r>
        <w:rPr>
          <w:rFonts w:ascii="仿宋_GB2312" w:hAnsi="仿宋_GB2312" w:eastAsia="仿宋_GB2312" w:cs="仿宋_GB2312"/>
          <w:color w:val="000000"/>
          <w:sz w:val="32"/>
          <w:szCs w:val="32"/>
        </w:rPr>
        <w:t>由区政府</w:t>
      </w:r>
      <w:r>
        <w:rPr>
          <w:rFonts w:hint="eastAsia" w:ascii="仿宋_GB2312" w:hAnsi="仿宋_GB2312" w:eastAsia="仿宋_GB2312" w:cs="仿宋_GB2312"/>
          <w:color w:val="000000"/>
          <w:sz w:val="32"/>
          <w:szCs w:val="32"/>
        </w:rPr>
        <w:t>组织全面评估，检查规划落实情况</w:t>
      </w:r>
      <w:r>
        <w:rPr>
          <w:rFonts w:ascii="仿宋_GB2312" w:hAnsi="仿宋_GB2312" w:eastAsia="仿宋_GB2312" w:cs="仿宋_GB2312"/>
          <w:color w:val="000000"/>
          <w:sz w:val="32"/>
          <w:szCs w:val="32"/>
        </w:rPr>
        <w:t>。</w:t>
      </w:r>
    </w:p>
    <w:bookmarkEnd w:id="98"/>
    <w:bookmarkEnd w:id="99"/>
    <w:p>
      <w:pPr>
        <w:spacing w:line="560" w:lineRule="exact"/>
        <w:ind w:firstLine="640" w:firstLineChars="200"/>
        <w:rPr>
          <w:rFonts w:ascii="仿宋_GB2312" w:eastAsia="仿宋_GB2312"/>
          <w:sz w:val="32"/>
          <w:szCs w:val="32"/>
        </w:rPr>
      </w:pPr>
    </w:p>
    <w:p>
      <w:pPr>
        <w:widowControl/>
        <w:jc w:val="left"/>
        <w:rPr>
          <w:rFonts w:ascii="仿宋_GB2312" w:eastAsia="仿宋_GB2312"/>
          <w:sz w:val="32"/>
          <w:szCs w:val="32"/>
        </w:rPr>
      </w:pPr>
      <w:r>
        <w:rPr>
          <w:rFonts w:ascii="仿宋_GB2312" w:eastAsia="仿宋_GB2312"/>
          <w:sz w:val="32"/>
          <w:szCs w:val="32"/>
        </w:rPr>
        <w:br w:type="page"/>
      </w:r>
    </w:p>
    <w:p>
      <w:pPr>
        <w:spacing w:line="560" w:lineRule="exact"/>
        <w:jc w:val="left"/>
        <w:outlineLvl w:val="0"/>
        <w:rPr>
          <w:rFonts w:ascii="黑体" w:hAnsi="黑体" w:eastAsia="黑体"/>
          <w:kern w:val="11"/>
          <w:sz w:val="32"/>
          <w:szCs w:val="32"/>
        </w:rPr>
      </w:pPr>
      <w:bookmarkStart w:id="105" w:name="_Toc3583627"/>
      <w:r>
        <w:rPr>
          <w:rFonts w:hint="eastAsia" w:ascii="黑体" w:hAnsi="黑体" w:eastAsia="黑体"/>
          <w:kern w:val="11"/>
          <w:sz w:val="32"/>
          <w:szCs w:val="32"/>
        </w:rPr>
        <w:t xml:space="preserve">附件 </w:t>
      </w:r>
      <w:r>
        <w:rPr>
          <w:rFonts w:ascii="黑体" w:hAnsi="黑体" w:eastAsia="黑体"/>
          <w:kern w:val="11"/>
          <w:sz w:val="32"/>
          <w:szCs w:val="32"/>
        </w:rPr>
        <w:t xml:space="preserve">                   名词解释</w:t>
      </w:r>
      <w:bookmarkEnd w:id="105"/>
    </w:p>
    <w:p>
      <w:pPr>
        <w:spacing w:line="560" w:lineRule="exact"/>
        <w:ind w:firstLine="803" w:firstLineChars="200"/>
        <w:jc w:val="center"/>
        <w:rPr>
          <w:rFonts w:ascii="新宋体" w:hAnsi="新宋体" w:eastAsia="新宋体" w:cs="Times New Roman"/>
          <w:b/>
          <w:sz w:val="40"/>
          <w:szCs w:val="32"/>
        </w:rPr>
      </w:pPr>
    </w:p>
    <w:p>
      <w:pPr>
        <w:spacing w:line="600" w:lineRule="exact"/>
        <w:ind w:firstLine="640" w:firstLineChars="200"/>
        <w:rPr>
          <w:rFonts w:ascii="Times New Roman" w:hAnsi="Times New Roman" w:eastAsia="仿宋_GB2312" w:cs="Times New Roman"/>
          <w:bCs/>
          <w:kern w:val="0"/>
          <w:sz w:val="32"/>
          <w:szCs w:val="32"/>
        </w:rPr>
      </w:pPr>
      <w:r>
        <w:rPr>
          <w:rFonts w:ascii="Times New Roman" w:hAnsi="Times New Roman" w:eastAsia="黑体" w:cs="Times New Roman"/>
          <w:bCs/>
          <w:kern w:val="0"/>
          <w:sz w:val="32"/>
          <w:szCs w:val="32"/>
        </w:rPr>
        <w:t>1.智能产业：</w:t>
      </w:r>
      <w:r>
        <w:rPr>
          <w:rFonts w:hint="eastAsia" w:ascii="Times New Roman" w:hAnsi="Times New Roman" w:eastAsia="仿宋_GB2312" w:cs="Times New Roman"/>
          <w:bCs/>
          <w:kern w:val="0"/>
          <w:sz w:val="32"/>
          <w:szCs w:val="32"/>
        </w:rPr>
        <w:t>是指基于人工智能、</w:t>
      </w:r>
      <w:r>
        <w:rPr>
          <w:rFonts w:ascii="Times New Roman" w:hAnsi="Times New Roman" w:eastAsia="仿宋_GB2312" w:cs="Times New Roman"/>
          <w:bCs/>
          <w:kern w:val="0"/>
          <w:sz w:val="32"/>
          <w:szCs w:val="32"/>
        </w:rPr>
        <w:t>5G</w:t>
      </w:r>
      <w:r>
        <w:rPr>
          <w:rFonts w:hint="eastAsia" w:ascii="Times New Roman" w:hAnsi="Times New Roman" w:eastAsia="仿宋_GB2312" w:cs="Times New Roman"/>
          <w:bCs/>
          <w:kern w:val="0"/>
          <w:sz w:val="32"/>
          <w:szCs w:val="32"/>
        </w:rPr>
        <w:t>、物联网等新兴技术，以“智能”为特征的下一代信息技术产业。</w:t>
      </w:r>
    </w:p>
    <w:p>
      <w:pPr>
        <w:spacing w:line="600" w:lineRule="exact"/>
        <w:ind w:firstLine="640" w:firstLineChars="200"/>
        <w:rPr>
          <w:rFonts w:ascii="Times New Roman" w:hAnsi="Times New Roman" w:eastAsia="仿宋_GB2312" w:cs="Times New Roman"/>
          <w:b/>
          <w:bCs/>
          <w:kern w:val="0"/>
          <w:sz w:val="32"/>
          <w:szCs w:val="32"/>
        </w:rPr>
      </w:pPr>
      <w:r>
        <w:rPr>
          <w:rFonts w:ascii="Times New Roman" w:hAnsi="Times New Roman" w:eastAsia="黑体" w:cs="Times New Roman"/>
          <w:bCs/>
          <w:kern w:val="0"/>
          <w:sz w:val="32"/>
          <w:szCs w:val="32"/>
        </w:rPr>
        <w:t>2.</w:t>
      </w:r>
      <w:r>
        <w:rPr>
          <w:rFonts w:ascii="Times New Roman" w:hAnsi="Times New Roman" w:eastAsia="仿宋_GB2312" w:cs="Times New Roman"/>
          <w:b/>
          <w:bCs/>
          <w:kern w:val="0"/>
          <w:sz w:val="32"/>
          <w:szCs w:val="32"/>
        </w:rPr>
        <w:t>5G</w:t>
      </w:r>
      <w:r>
        <w:rPr>
          <w:rFonts w:hint="eastAsia" w:ascii="Times New Roman" w:hAnsi="Times New Roman" w:eastAsia="仿宋_GB2312" w:cs="Times New Roman"/>
          <w:b/>
          <w:bCs/>
          <w:kern w:val="0"/>
          <w:sz w:val="32"/>
          <w:szCs w:val="32"/>
        </w:rPr>
        <w:t>（</w:t>
      </w:r>
      <w:r>
        <w:rPr>
          <w:rFonts w:ascii="Times New Roman" w:hAnsi="Times New Roman" w:eastAsia="仿宋_GB2312" w:cs="Times New Roman"/>
          <w:b/>
          <w:bCs/>
          <w:kern w:val="0"/>
          <w:sz w:val="32"/>
          <w:szCs w:val="32"/>
        </w:rPr>
        <w:t>5th-Generation</w:t>
      </w:r>
      <w:r>
        <w:rPr>
          <w:rFonts w:hint="eastAsia" w:ascii="Times New Roman" w:hAnsi="Times New Roman" w:eastAsia="仿宋_GB2312" w:cs="Times New Roman"/>
          <w:b/>
          <w:bCs/>
          <w:kern w:val="0"/>
          <w:sz w:val="32"/>
          <w:szCs w:val="32"/>
        </w:rPr>
        <w:t>）：</w:t>
      </w:r>
      <w:r>
        <w:rPr>
          <w:rFonts w:hint="eastAsia" w:ascii="Times New Roman" w:hAnsi="Times New Roman" w:eastAsia="仿宋_GB2312" w:cs="Times New Roman"/>
          <w:kern w:val="0"/>
          <w:sz w:val="32"/>
          <w:szCs w:val="32"/>
        </w:rPr>
        <w:t>第五代移动通信技术，</w:t>
      </w:r>
      <w:r>
        <w:rPr>
          <w:rFonts w:ascii="Times New Roman" w:hAnsi="Times New Roman" w:eastAsia="仿宋_GB2312" w:cs="Times New Roman"/>
          <w:kern w:val="0"/>
          <w:sz w:val="32"/>
          <w:szCs w:val="32"/>
        </w:rPr>
        <w:t>5G</w:t>
      </w:r>
      <w:r>
        <w:rPr>
          <w:rFonts w:hint="eastAsia" w:ascii="Times New Roman" w:hAnsi="Times New Roman" w:eastAsia="仿宋_GB2312" w:cs="Times New Roman"/>
          <w:kern w:val="0"/>
          <w:sz w:val="32"/>
          <w:szCs w:val="32"/>
        </w:rPr>
        <w:t>技术相比</w:t>
      </w:r>
      <w:r>
        <w:rPr>
          <w:rFonts w:ascii="Times New Roman" w:hAnsi="Times New Roman" w:eastAsia="仿宋_GB2312" w:cs="Times New Roman"/>
          <w:kern w:val="0"/>
          <w:sz w:val="32"/>
          <w:szCs w:val="32"/>
        </w:rPr>
        <w:t>4G</w:t>
      </w:r>
      <w:r>
        <w:rPr>
          <w:rFonts w:hint="eastAsia" w:ascii="Times New Roman" w:hAnsi="Times New Roman" w:eastAsia="仿宋_GB2312" w:cs="Times New Roman"/>
          <w:kern w:val="0"/>
          <w:sz w:val="32"/>
          <w:szCs w:val="32"/>
        </w:rPr>
        <w:t>技术，其峰值速率将增长数十倍，从</w:t>
      </w:r>
      <w:r>
        <w:rPr>
          <w:rFonts w:ascii="Times New Roman" w:hAnsi="Times New Roman" w:eastAsia="仿宋_GB2312" w:cs="Times New Roman"/>
          <w:kern w:val="0"/>
          <w:sz w:val="32"/>
          <w:szCs w:val="32"/>
        </w:rPr>
        <w:t>4G</w:t>
      </w:r>
      <w:r>
        <w:rPr>
          <w:rFonts w:hint="eastAsia" w:ascii="Times New Roman" w:hAnsi="Times New Roman" w:eastAsia="仿宋_GB2312" w:cs="Times New Roman"/>
          <w:kern w:val="0"/>
          <w:sz w:val="32"/>
          <w:szCs w:val="32"/>
        </w:rPr>
        <w:t>的</w:t>
      </w:r>
      <w:r>
        <w:rPr>
          <w:rFonts w:ascii="Times New Roman" w:hAnsi="Times New Roman" w:eastAsia="仿宋_GB2312" w:cs="Times New Roman"/>
          <w:kern w:val="0"/>
          <w:sz w:val="32"/>
          <w:szCs w:val="32"/>
        </w:rPr>
        <w:t>100Mb/s</w:t>
      </w:r>
      <w:r>
        <w:rPr>
          <w:rFonts w:hint="eastAsia" w:ascii="Times New Roman" w:hAnsi="Times New Roman" w:eastAsia="仿宋_GB2312" w:cs="Times New Roman"/>
          <w:kern w:val="0"/>
          <w:sz w:val="32"/>
          <w:szCs w:val="32"/>
        </w:rPr>
        <w:t>提高到几十</w:t>
      </w:r>
      <w:r>
        <w:rPr>
          <w:rFonts w:ascii="Times New Roman" w:hAnsi="Times New Roman" w:eastAsia="仿宋_GB2312" w:cs="Times New Roman"/>
          <w:kern w:val="0"/>
          <w:sz w:val="32"/>
          <w:szCs w:val="32"/>
        </w:rPr>
        <w:t>Gb/s</w:t>
      </w:r>
      <w:r>
        <w:rPr>
          <w:rFonts w:hint="eastAsia" w:ascii="Times New Roman" w:hAnsi="Times New Roman" w:eastAsia="仿宋_GB2312" w:cs="Times New Roman"/>
          <w:kern w:val="0"/>
          <w:sz w:val="32"/>
          <w:szCs w:val="32"/>
        </w:rPr>
        <w:t>。</w:t>
      </w:r>
    </w:p>
    <w:p>
      <w:pPr>
        <w:shd w:val="clear" w:color="auto" w:fill="FFFFFF"/>
        <w:spacing w:before="100" w:after="100" w:line="600" w:lineRule="exact"/>
        <w:ind w:firstLine="640" w:firstLineChars="200"/>
        <w:rPr>
          <w:rFonts w:ascii="Times New Roman" w:hAnsi="Times New Roman" w:eastAsia="仿宋_GB2312" w:cs="Times New Roman"/>
          <w:kern w:val="0"/>
          <w:sz w:val="32"/>
          <w:szCs w:val="32"/>
        </w:rPr>
      </w:pPr>
      <w:r>
        <w:rPr>
          <w:rFonts w:ascii="Times New Roman" w:hAnsi="Times New Roman" w:eastAsia="黑体" w:cs="Times New Roman"/>
          <w:bCs/>
          <w:kern w:val="0"/>
          <w:sz w:val="32"/>
          <w:szCs w:val="32"/>
        </w:rPr>
        <w:t>3.</w:t>
      </w:r>
      <w:r>
        <w:rPr>
          <w:rFonts w:hint="eastAsia" w:ascii="Times New Roman" w:hAnsi="Times New Roman" w:eastAsia="黑体" w:cs="Times New Roman"/>
          <w:kern w:val="0"/>
          <w:sz w:val="32"/>
          <w:szCs w:val="32"/>
        </w:rPr>
        <w:t>人工智能：</w:t>
      </w:r>
      <w:r>
        <w:rPr>
          <w:rFonts w:hint="eastAsia" w:ascii="Times New Roman" w:hAnsi="Times New Roman" w:eastAsia="仿宋_GB2312" w:cs="Times New Roman"/>
          <w:kern w:val="0"/>
          <w:sz w:val="32"/>
          <w:szCs w:val="32"/>
        </w:rPr>
        <w:t>是研究、开发用于模拟、延伸和扩展人的智能的理论、方法、技术及应用系统的一门新的技术科学。</w:t>
      </w:r>
    </w:p>
    <w:p>
      <w:pPr>
        <w:spacing w:line="560" w:lineRule="exact"/>
        <w:ind w:firstLine="640" w:firstLineChars="200"/>
        <w:rPr>
          <w:rFonts w:ascii="Times New Roman" w:hAnsi="Times New Roman" w:eastAsia="仿宋_GB2312" w:cs="Times New Roman"/>
          <w:kern w:val="0"/>
          <w:sz w:val="32"/>
          <w:szCs w:val="32"/>
        </w:rPr>
      </w:pPr>
      <w:r>
        <w:rPr>
          <w:rFonts w:ascii="Times New Roman" w:hAnsi="Times New Roman" w:eastAsia="黑体" w:cs="Times New Roman"/>
          <w:bCs/>
          <w:kern w:val="0"/>
          <w:sz w:val="32"/>
          <w:szCs w:val="32"/>
        </w:rPr>
        <w:t>4.</w:t>
      </w:r>
      <w:r>
        <w:rPr>
          <w:rFonts w:hint="eastAsia" w:ascii="Times New Roman" w:hAnsi="Times New Roman" w:eastAsia="黑体" w:cs="Times New Roman"/>
          <w:bCs/>
          <w:kern w:val="0"/>
          <w:sz w:val="32"/>
          <w:szCs w:val="32"/>
        </w:rPr>
        <w:t>柔性电子：</w:t>
      </w:r>
      <w:r>
        <w:rPr>
          <w:rFonts w:hint="eastAsia" w:ascii="Times New Roman" w:hAnsi="Times New Roman" w:eastAsia="仿宋_GB2312" w:cs="Times New Roman"/>
          <w:kern w:val="0"/>
          <w:sz w:val="32"/>
          <w:szCs w:val="32"/>
        </w:rPr>
        <w:t>是一种技术的通称，是将有机</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无机材料电子器件制作在柔性</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可延性基板上的新兴电子技术。</w:t>
      </w:r>
    </w:p>
    <w:p>
      <w:pPr>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黑体" w:cs="Times New Roman"/>
          <w:bCs/>
          <w:kern w:val="0"/>
          <w:sz w:val="32"/>
          <w:szCs w:val="32"/>
        </w:rPr>
        <w:t>5.</w:t>
      </w:r>
      <w:r>
        <w:rPr>
          <w:rFonts w:ascii="Times New Roman" w:hAnsi="Times New Roman" w:eastAsia="仿宋_GB2312" w:cs="Times New Roman"/>
          <w:b/>
          <w:bCs/>
          <w:kern w:val="0"/>
          <w:sz w:val="32"/>
          <w:szCs w:val="32"/>
        </w:rPr>
        <w:t>TFT-LCD</w:t>
      </w:r>
      <w:r>
        <w:rPr>
          <w:rFonts w:hint="eastAsia" w:ascii="Times New Roman" w:hAnsi="Times New Roman" w:eastAsia="黑体" w:cs="Times New Roman"/>
          <w:bCs/>
          <w:kern w:val="0"/>
          <w:sz w:val="32"/>
          <w:szCs w:val="32"/>
        </w:rPr>
        <w:t>（薄膜晶体管液晶显示技术）：</w:t>
      </w:r>
      <w:r>
        <w:rPr>
          <w:rFonts w:hint="eastAsia" w:ascii="Times New Roman" w:hAnsi="Times New Roman" w:eastAsia="仿宋_GB2312" w:cs="Times New Roman"/>
          <w:bCs/>
          <w:kern w:val="0"/>
          <w:sz w:val="32"/>
          <w:szCs w:val="32"/>
        </w:rPr>
        <w:t>是微电子加工技术与液晶显示技术的结合，新型显示产业主流技术流派之一。</w:t>
      </w:r>
    </w:p>
    <w:p>
      <w:pPr>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黑体" w:cs="Times New Roman"/>
          <w:bCs/>
          <w:kern w:val="0"/>
          <w:sz w:val="32"/>
          <w:szCs w:val="32"/>
        </w:rPr>
        <w:t>6.</w:t>
      </w:r>
      <w:r>
        <w:rPr>
          <w:rFonts w:ascii="Times New Roman" w:hAnsi="Times New Roman" w:eastAsia="仿宋_GB2312" w:cs="Times New Roman"/>
          <w:b/>
          <w:bCs/>
          <w:kern w:val="0"/>
          <w:sz w:val="32"/>
          <w:szCs w:val="32"/>
        </w:rPr>
        <w:t>AMOLED</w:t>
      </w:r>
      <w:r>
        <w:rPr>
          <w:rFonts w:hint="eastAsia" w:ascii="Times New Roman" w:hAnsi="Times New Roman" w:eastAsia="黑体" w:cs="Times New Roman"/>
          <w:bCs/>
          <w:kern w:val="0"/>
          <w:sz w:val="32"/>
          <w:szCs w:val="32"/>
        </w:rPr>
        <w:t>（有源矩阵有机发光二极体）：</w:t>
      </w:r>
      <w:r>
        <w:rPr>
          <w:rFonts w:hint="eastAsia" w:ascii="Times New Roman" w:hAnsi="Times New Roman" w:eastAsia="仿宋_GB2312" w:cs="Times New Roman"/>
          <w:bCs/>
          <w:kern w:val="0"/>
          <w:sz w:val="32"/>
          <w:szCs w:val="32"/>
        </w:rPr>
        <w:t>是新型显示产业主流技术之一，其发光方式是通过电流刺激有机体自发光。</w:t>
      </w:r>
    </w:p>
    <w:p>
      <w:pPr>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黑体" w:cs="Times New Roman"/>
          <w:bCs/>
          <w:kern w:val="0"/>
          <w:sz w:val="32"/>
          <w:szCs w:val="32"/>
        </w:rPr>
        <w:t>7.</w:t>
      </w:r>
      <w:r>
        <w:rPr>
          <w:rFonts w:ascii="Times New Roman" w:hAnsi="Times New Roman" w:eastAsia="仿宋_GB2312" w:cs="Times New Roman"/>
          <w:b/>
          <w:bCs/>
          <w:kern w:val="0"/>
          <w:sz w:val="32"/>
          <w:szCs w:val="32"/>
        </w:rPr>
        <w:t>QLED</w:t>
      </w:r>
      <w:r>
        <w:rPr>
          <w:rFonts w:hint="eastAsia" w:ascii="Times New Roman" w:hAnsi="Times New Roman" w:eastAsia="黑体" w:cs="Times New Roman"/>
          <w:bCs/>
          <w:kern w:val="0"/>
          <w:sz w:val="32"/>
          <w:szCs w:val="32"/>
        </w:rPr>
        <w:t>（量子点发光技术）：</w:t>
      </w:r>
      <w:r>
        <w:rPr>
          <w:rFonts w:hint="eastAsia" w:ascii="Times New Roman" w:hAnsi="Times New Roman" w:eastAsia="仿宋_GB2312" w:cs="Times New Roman"/>
          <w:bCs/>
          <w:kern w:val="0"/>
          <w:sz w:val="32"/>
          <w:szCs w:val="32"/>
        </w:rPr>
        <w:t>是新型显示产业新兴技术之一，其发光方式是通过量子点自发光。</w:t>
      </w:r>
    </w:p>
    <w:p>
      <w:pPr>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黑体" w:cs="Times New Roman"/>
          <w:bCs/>
          <w:kern w:val="0"/>
          <w:sz w:val="32"/>
          <w:szCs w:val="32"/>
        </w:rPr>
        <w:t>8.</w:t>
      </w:r>
      <w:r>
        <w:rPr>
          <w:rFonts w:ascii="Times New Roman" w:hAnsi="Times New Roman" w:eastAsia="仿宋_GB2312" w:cs="Times New Roman"/>
          <w:b/>
          <w:bCs/>
          <w:kern w:val="0"/>
          <w:sz w:val="32"/>
          <w:szCs w:val="32"/>
        </w:rPr>
        <w:t>Micro LED</w:t>
      </w:r>
      <w:r>
        <w:rPr>
          <w:rFonts w:hint="eastAsia" w:ascii="Times New Roman" w:hAnsi="Times New Roman" w:eastAsia="黑体" w:cs="Times New Roman"/>
          <w:bCs/>
          <w:kern w:val="0"/>
          <w:sz w:val="32"/>
          <w:szCs w:val="32"/>
        </w:rPr>
        <w:t>（微型发光二极管技术）：</w:t>
      </w:r>
      <w:r>
        <w:rPr>
          <w:rFonts w:hint="eastAsia" w:ascii="Times New Roman" w:hAnsi="Times New Roman" w:eastAsia="仿宋_GB2312" w:cs="Times New Roman"/>
          <w:bCs/>
          <w:kern w:val="0"/>
          <w:sz w:val="32"/>
          <w:szCs w:val="32"/>
        </w:rPr>
        <w:t>是新型显示产业新兴技术之一，其发光方式是通过微型化的</w:t>
      </w:r>
      <w:r>
        <w:rPr>
          <w:rFonts w:ascii="Times New Roman" w:hAnsi="Times New Roman" w:eastAsia="仿宋_GB2312" w:cs="Times New Roman"/>
          <w:bCs/>
          <w:kern w:val="0"/>
          <w:sz w:val="32"/>
          <w:szCs w:val="32"/>
        </w:rPr>
        <w:t>LED</w:t>
      </w:r>
      <w:r>
        <w:rPr>
          <w:rFonts w:hint="eastAsia" w:ascii="Times New Roman" w:hAnsi="Times New Roman" w:eastAsia="仿宋_GB2312" w:cs="Times New Roman"/>
          <w:bCs/>
          <w:kern w:val="0"/>
          <w:sz w:val="32"/>
          <w:szCs w:val="32"/>
        </w:rPr>
        <w:t>进行发光。</w:t>
      </w:r>
    </w:p>
    <w:p>
      <w:pPr>
        <w:spacing w:line="560" w:lineRule="exact"/>
        <w:ind w:firstLine="640" w:firstLineChars="200"/>
        <w:rPr>
          <w:rFonts w:ascii="Times New Roman" w:hAnsi="Times New Roman" w:eastAsia="黑体" w:cs="Times New Roman"/>
          <w:color w:val="FF0000"/>
          <w:sz w:val="32"/>
          <w:szCs w:val="32"/>
        </w:rPr>
      </w:pPr>
      <w:r>
        <w:rPr>
          <w:rFonts w:ascii="Times New Roman" w:hAnsi="Times New Roman" w:eastAsia="黑体" w:cs="Times New Roman"/>
          <w:bCs/>
          <w:kern w:val="0"/>
          <w:sz w:val="32"/>
          <w:szCs w:val="32"/>
        </w:rPr>
        <w:t>9.</w:t>
      </w:r>
      <w:r>
        <w:rPr>
          <w:rFonts w:hint="eastAsia" w:ascii="Times New Roman" w:hAnsi="Times New Roman" w:eastAsia="黑体" w:cs="Times New Roman"/>
          <w:bCs/>
          <w:kern w:val="0"/>
          <w:sz w:val="32"/>
          <w:szCs w:val="32"/>
        </w:rPr>
        <w:t>脑科学与类脑算法：</w:t>
      </w:r>
      <w:r>
        <w:rPr>
          <w:rFonts w:hint="eastAsia" w:ascii="Times New Roman" w:hAnsi="Times New Roman" w:eastAsia="仿宋_GB2312" w:cs="Times New Roman"/>
          <w:bCs/>
          <w:kern w:val="0"/>
          <w:sz w:val="32"/>
          <w:szCs w:val="32"/>
        </w:rPr>
        <w:t>是以探索大脑秘密、攻克大脑疾病为导向的脑科学研究以及以建立和发展人工智能技术为导向的类脑算法研究。</w:t>
      </w:r>
    </w:p>
    <w:p>
      <w:pPr>
        <w:spacing w:line="560" w:lineRule="exact"/>
        <w:ind w:firstLine="640" w:firstLineChars="200"/>
        <w:rPr>
          <w:rFonts w:ascii="Times New Roman" w:hAnsi="Times New Roman" w:eastAsia="黑体" w:cs="Times New Roman"/>
          <w:color w:val="FF0000"/>
          <w:sz w:val="32"/>
          <w:szCs w:val="32"/>
        </w:rPr>
      </w:pPr>
      <w:r>
        <w:rPr>
          <w:rFonts w:ascii="Times New Roman" w:hAnsi="Times New Roman" w:eastAsia="黑体" w:cs="Times New Roman"/>
          <w:bCs/>
          <w:kern w:val="0"/>
          <w:sz w:val="32"/>
          <w:szCs w:val="32"/>
        </w:rPr>
        <w:t>10.</w:t>
      </w:r>
      <w:r>
        <w:rPr>
          <w:rFonts w:hint="eastAsia" w:ascii="Times New Roman" w:hAnsi="Times New Roman" w:eastAsia="黑体" w:cs="Times New Roman"/>
          <w:bCs/>
          <w:kern w:val="0"/>
          <w:sz w:val="32"/>
          <w:szCs w:val="32"/>
        </w:rPr>
        <w:t>高级机器学习理论：</w:t>
      </w:r>
      <w:r>
        <w:rPr>
          <w:rFonts w:hint="eastAsia" w:ascii="Times New Roman" w:hAnsi="Times New Roman" w:eastAsia="仿宋_GB2312" w:cs="Times New Roman"/>
          <w:bCs/>
          <w:kern w:val="0"/>
          <w:sz w:val="32"/>
          <w:szCs w:val="32"/>
        </w:rPr>
        <w:t>包含统计学习基础理论、不确定性推理与决策、分布式学习与交互、隐私保护学习、小样本学习、深度强化学习、无监督学习、半监督学习、主动学习等学习理论和高效模型等。</w:t>
      </w:r>
    </w:p>
    <w:p>
      <w:pPr>
        <w:spacing w:line="560" w:lineRule="exact"/>
        <w:ind w:firstLine="640" w:firstLineChars="200"/>
        <w:rPr>
          <w:rFonts w:ascii="Times New Roman" w:hAnsi="Times New Roman" w:eastAsia="仿宋_GB2312" w:cs="Times New Roman"/>
          <w:bCs/>
          <w:kern w:val="0"/>
          <w:sz w:val="32"/>
          <w:szCs w:val="32"/>
        </w:rPr>
      </w:pPr>
      <w:r>
        <w:rPr>
          <w:rFonts w:ascii="Times New Roman" w:hAnsi="Times New Roman" w:eastAsia="黑体" w:cs="Times New Roman"/>
          <w:bCs/>
          <w:kern w:val="0"/>
          <w:sz w:val="32"/>
          <w:szCs w:val="32"/>
        </w:rPr>
        <w:t>11.</w:t>
      </w:r>
      <w:r>
        <w:rPr>
          <w:rFonts w:hint="eastAsia" w:ascii="Times New Roman" w:hAnsi="Times New Roman" w:eastAsia="黑体" w:cs="Times New Roman"/>
          <w:bCs/>
          <w:kern w:val="0"/>
          <w:sz w:val="32"/>
          <w:szCs w:val="32"/>
        </w:rPr>
        <w:t>人类增强：</w:t>
      </w:r>
      <w:r>
        <w:rPr>
          <w:rFonts w:hint="eastAsia" w:ascii="Times New Roman" w:hAnsi="Times New Roman" w:eastAsia="仿宋_GB2312" w:cs="Times New Roman"/>
          <w:bCs/>
          <w:kern w:val="0"/>
          <w:sz w:val="32"/>
          <w:szCs w:val="32"/>
        </w:rPr>
        <w:t>是指可以暂时或永久的克服人体局限的技术，包含体力增强、视听增强、机能增强等方面。</w:t>
      </w:r>
    </w:p>
    <w:p>
      <w:pPr>
        <w:ind w:firstLine="640" w:firstLineChars="200"/>
        <w:rPr>
          <w:rFonts w:ascii="Times New Roman" w:hAnsi="Times New Roman" w:eastAsia="仿宋_GB2312" w:cs="Times New Roman"/>
          <w:kern w:val="0"/>
          <w:sz w:val="32"/>
          <w:szCs w:val="32"/>
        </w:rPr>
      </w:pPr>
      <w:r>
        <w:rPr>
          <w:rFonts w:ascii="Times New Roman" w:hAnsi="Times New Roman" w:eastAsia="黑体" w:cs="Times New Roman"/>
          <w:bCs/>
          <w:kern w:val="0"/>
          <w:sz w:val="32"/>
          <w:szCs w:val="32"/>
        </w:rPr>
        <w:t>12.</w:t>
      </w:r>
      <w:r>
        <w:rPr>
          <w:rFonts w:hint="eastAsia" w:ascii="Times New Roman" w:hAnsi="Times New Roman" w:eastAsia="黑体" w:cs="Times New Roman"/>
          <w:bCs/>
          <w:kern w:val="0"/>
          <w:sz w:val="32"/>
          <w:szCs w:val="32"/>
        </w:rPr>
        <w:t>合金材料：</w:t>
      </w:r>
      <w:r>
        <w:rPr>
          <w:rFonts w:hint="eastAsia" w:ascii="Times New Roman" w:hAnsi="Times New Roman" w:eastAsia="仿宋_GB2312" w:cs="Times New Roman"/>
          <w:kern w:val="0"/>
          <w:sz w:val="32"/>
          <w:szCs w:val="32"/>
        </w:rPr>
        <w:t>一般是由两种或两种以上的金属与非金属经过熔合成均匀液体再凝固所合成的具有金属特性的物质。根据组成元素的数目，可分为二元合金、三元合金和多元合金。</w:t>
      </w:r>
    </w:p>
    <w:p>
      <w:pPr>
        <w:ind w:firstLine="640" w:firstLineChars="200"/>
        <w:rPr>
          <w:rFonts w:ascii="Times New Roman" w:hAnsi="Times New Roman" w:eastAsia="仿宋_GB2312" w:cs="Times New Roman"/>
          <w:kern w:val="0"/>
          <w:sz w:val="32"/>
          <w:szCs w:val="32"/>
        </w:rPr>
      </w:pPr>
      <w:r>
        <w:rPr>
          <w:rFonts w:ascii="Times New Roman" w:hAnsi="Times New Roman" w:eastAsia="黑体" w:cs="Times New Roman"/>
          <w:bCs/>
          <w:kern w:val="0"/>
          <w:sz w:val="32"/>
          <w:szCs w:val="32"/>
        </w:rPr>
        <w:t>13.</w:t>
      </w:r>
      <w:r>
        <w:rPr>
          <w:rFonts w:hint="eastAsia" w:ascii="Times New Roman" w:hAnsi="Times New Roman" w:eastAsia="黑体" w:cs="Times New Roman"/>
          <w:bCs/>
          <w:kern w:val="0"/>
          <w:sz w:val="32"/>
          <w:szCs w:val="32"/>
        </w:rPr>
        <w:t>碳纤维：</w:t>
      </w:r>
      <w:r>
        <w:rPr>
          <w:rFonts w:hint="eastAsia" w:ascii="Times New Roman" w:hAnsi="Times New Roman" w:eastAsia="仿宋_GB2312" w:cs="Times New Roman"/>
          <w:kern w:val="0"/>
          <w:sz w:val="32"/>
          <w:szCs w:val="32"/>
        </w:rPr>
        <w:t>是由有机纤维经过一系列热处理转化而成，含碳量高于</w:t>
      </w:r>
      <w:r>
        <w:rPr>
          <w:rFonts w:ascii="Times New Roman" w:hAnsi="Times New Roman" w:eastAsia="仿宋_GB2312" w:cs="Times New Roman"/>
          <w:kern w:val="0"/>
          <w:sz w:val="32"/>
          <w:szCs w:val="32"/>
        </w:rPr>
        <w:t>90%</w:t>
      </w:r>
      <w:r>
        <w:rPr>
          <w:rFonts w:hint="eastAsia" w:ascii="Times New Roman" w:hAnsi="Times New Roman" w:eastAsia="仿宋_GB2312" w:cs="Times New Roman"/>
          <w:kern w:val="0"/>
          <w:sz w:val="32"/>
          <w:szCs w:val="32"/>
        </w:rPr>
        <w:t>的无机高性能纤维，是一种力学性能优异的新材料，具有碳材料的固有本性特征，又兼备纺织纤维的柔软可加工性，是新一代增强纤维。</w:t>
      </w:r>
    </w:p>
    <w:p>
      <w:pPr>
        <w:ind w:firstLine="640" w:firstLineChars="200"/>
        <w:rPr>
          <w:rFonts w:ascii="Times New Roman" w:hAnsi="Times New Roman" w:eastAsia="仿宋_GB2312" w:cs="Times New Roman"/>
          <w:kern w:val="0"/>
          <w:sz w:val="32"/>
          <w:szCs w:val="32"/>
        </w:rPr>
      </w:pPr>
      <w:r>
        <w:rPr>
          <w:rFonts w:ascii="Times New Roman" w:hAnsi="Times New Roman" w:eastAsia="黑体" w:cs="Times New Roman"/>
          <w:bCs/>
          <w:kern w:val="0"/>
          <w:sz w:val="32"/>
          <w:szCs w:val="32"/>
        </w:rPr>
        <w:t>14.</w:t>
      </w:r>
      <w:r>
        <w:rPr>
          <w:rFonts w:hint="eastAsia" w:ascii="Times New Roman" w:hAnsi="Times New Roman" w:eastAsia="黑体" w:cs="Times New Roman"/>
          <w:bCs/>
          <w:kern w:val="0"/>
          <w:sz w:val="32"/>
          <w:szCs w:val="32"/>
        </w:rPr>
        <w:t>第三代</w:t>
      </w:r>
      <w:r>
        <w:rPr>
          <w:rFonts w:ascii="Times New Roman" w:hAnsi="Times New Roman" w:eastAsia="黑体" w:cs="Times New Roman"/>
          <w:bCs/>
          <w:kern w:val="0"/>
          <w:sz w:val="32"/>
          <w:szCs w:val="32"/>
        </w:rPr>
        <w:t>半导体</w:t>
      </w:r>
      <w:r>
        <w:rPr>
          <w:rFonts w:hint="eastAsia" w:ascii="Times New Roman" w:hAnsi="Times New Roman" w:eastAsia="黑体" w:cs="Times New Roman"/>
          <w:bCs/>
          <w:kern w:val="0"/>
          <w:sz w:val="32"/>
          <w:szCs w:val="32"/>
        </w:rPr>
        <w:t>材料：</w:t>
      </w:r>
      <w:r>
        <w:rPr>
          <w:rFonts w:hint="eastAsia" w:ascii="Times New Roman" w:hAnsi="Times New Roman" w:eastAsia="仿宋_GB2312" w:cs="Times New Roman"/>
          <w:kern w:val="0"/>
          <w:sz w:val="32"/>
          <w:szCs w:val="32"/>
        </w:rPr>
        <w:t>主要以碳化硅、氮化镓、氧化锌、金刚石、氮化铝为代表的宽禁带半导体材料。</w:t>
      </w:r>
    </w:p>
    <w:p>
      <w:pPr>
        <w:ind w:firstLine="640" w:firstLineChars="200"/>
        <w:rPr>
          <w:rFonts w:ascii="Times New Roman" w:hAnsi="Times New Roman" w:eastAsia="仿宋_GB2312" w:cs="Times New Roman"/>
          <w:kern w:val="0"/>
          <w:sz w:val="32"/>
          <w:szCs w:val="32"/>
        </w:rPr>
      </w:pPr>
      <w:r>
        <w:rPr>
          <w:rFonts w:ascii="Times New Roman" w:hAnsi="Times New Roman" w:eastAsia="黑体" w:cs="Times New Roman"/>
          <w:bCs/>
          <w:kern w:val="0"/>
          <w:sz w:val="32"/>
          <w:szCs w:val="32"/>
        </w:rPr>
        <w:t>15.生命科学产业：</w:t>
      </w:r>
      <w:r>
        <w:rPr>
          <w:rFonts w:ascii="Times New Roman" w:hAnsi="Times New Roman" w:eastAsia="仿宋_GB2312" w:cs="Times New Roman"/>
          <w:kern w:val="0"/>
          <w:sz w:val="32"/>
          <w:szCs w:val="32"/>
        </w:rPr>
        <w:t>2017</w:t>
      </w:r>
      <w:r>
        <w:rPr>
          <w:rFonts w:hint="eastAsia" w:ascii="Times New Roman" w:hAnsi="Times New Roman" w:eastAsia="仿宋_GB2312" w:cs="Times New Roman"/>
          <w:kern w:val="0"/>
          <w:sz w:val="32"/>
          <w:szCs w:val="32"/>
        </w:rPr>
        <w:t>年英国生命科学办公室发布《生命科学产业战略》。生命科学产业是指基于现代生物技术、医学大数据、人工智能等前沿技术，以</w:t>
      </w:r>
      <w:r>
        <w:rPr>
          <w:rFonts w:ascii="Times New Roman" w:hAnsi="Times New Roman" w:eastAsia="仿宋_GB2312" w:cs="Times New Roman"/>
          <w:kern w:val="0"/>
          <w:sz w:val="32"/>
          <w:szCs w:val="32"/>
        </w:rPr>
        <w:t>BT+IT</w:t>
      </w:r>
      <w:r>
        <w:rPr>
          <w:rFonts w:hint="eastAsia" w:ascii="Times New Roman" w:hAnsi="Times New Roman" w:eastAsia="仿宋_GB2312" w:cs="Times New Roman"/>
          <w:kern w:val="0"/>
          <w:sz w:val="32"/>
          <w:szCs w:val="32"/>
        </w:rPr>
        <w:t>跨界融合为特征的新兴业态，主要包括</w:t>
      </w:r>
      <w:r>
        <w:rPr>
          <w:rFonts w:ascii="Times New Roman" w:hAnsi="Times New Roman" w:eastAsia="仿宋_GB2312" w:cs="Times New Roman"/>
          <w:kern w:val="0"/>
          <w:sz w:val="32"/>
          <w:szCs w:val="32"/>
        </w:rPr>
        <w:t>AI</w:t>
      </w:r>
      <w:r>
        <w:rPr>
          <w:rFonts w:hint="eastAsia" w:ascii="Times New Roman" w:hAnsi="Times New Roman" w:eastAsia="仿宋_GB2312" w:cs="Times New Roman"/>
          <w:kern w:val="0"/>
          <w:sz w:val="32"/>
          <w:szCs w:val="32"/>
        </w:rPr>
        <w:t>药物研发、智慧医学影像、精准医疗、数字生命、医药</w:t>
      </w:r>
      <w:r>
        <w:rPr>
          <w:rFonts w:ascii="Times New Roman" w:hAnsi="Times New Roman" w:eastAsia="仿宋_GB2312" w:cs="Times New Roman"/>
          <w:kern w:val="0"/>
          <w:sz w:val="32"/>
          <w:szCs w:val="32"/>
        </w:rPr>
        <w:t>CRO</w:t>
      </w:r>
      <w:r>
        <w:rPr>
          <w:rFonts w:hint="eastAsia" w:ascii="Times New Roman" w:hAnsi="Times New Roman" w:eastAsia="仿宋_GB2312" w:cs="Times New Roman"/>
          <w:kern w:val="0"/>
          <w:sz w:val="32"/>
          <w:szCs w:val="32"/>
        </w:rPr>
        <w:t>等。</w:t>
      </w:r>
    </w:p>
    <w:p>
      <w:pPr>
        <w:wordWrap w:val="0"/>
        <w:topLinePunct/>
        <w:snapToGrid w:val="0"/>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黑体" w:cs="Times New Roman"/>
          <w:bCs/>
          <w:kern w:val="0"/>
          <w:sz w:val="32"/>
          <w:szCs w:val="32"/>
        </w:rPr>
        <w:t>16.创新药：</w:t>
      </w:r>
      <w:r>
        <w:rPr>
          <w:rFonts w:hint="eastAsia" w:ascii="Times New Roman" w:hAnsi="Times New Roman" w:eastAsia="仿宋_GB2312" w:cs="Times New Roman"/>
          <w:sz w:val="32"/>
          <w:szCs w:val="32"/>
        </w:rPr>
        <w:t>指研发得到具有自主知识产权的药物，含有新的、结构明确的、具有药理作用的化合物且具有一定临床价值，是国际制药巨头重点研究布局的对象。</w:t>
      </w:r>
    </w:p>
    <w:p>
      <w:pPr>
        <w:wordWrap w:val="0"/>
        <w:topLinePunct/>
        <w:snapToGrid w:val="0"/>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黑体" w:cs="Times New Roman"/>
          <w:bCs/>
          <w:kern w:val="0"/>
          <w:sz w:val="32"/>
          <w:szCs w:val="32"/>
        </w:rPr>
        <w:t>17.仿制药：</w:t>
      </w:r>
      <w:r>
        <w:rPr>
          <w:rFonts w:hint="eastAsia" w:ascii="Times New Roman" w:hAnsi="Times New Roman" w:eastAsia="仿宋_GB2312" w:cs="Times New Roman"/>
          <w:sz w:val="32"/>
          <w:szCs w:val="32"/>
        </w:rPr>
        <w:t>指仿制创新药得到的药品，其具有与原研药品相同的活性成份、剂型、规格、适应症、给药途径和用法用量的原料药及其制剂。</w:t>
      </w:r>
    </w:p>
    <w:p>
      <w:pPr>
        <w:wordWrap w:val="0"/>
        <w:topLinePunct/>
        <w:snapToGrid w:val="0"/>
        <w:spacing w:line="560" w:lineRule="exact"/>
        <w:ind w:firstLine="640" w:firstLineChars="200"/>
        <w:jc w:val="left"/>
        <w:rPr>
          <w:rFonts w:ascii="Times New Roman" w:hAnsi="Times New Roman" w:eastAsia="仿宋_GB2312" w:cs="Times New Roman"/>
          <w:b/>
          <w:sz w:val="32"/>
          <w:szCs w:val="32"/>
        </w:rPr>
      </w:pPr>
      <w:r>
        <w:rPr>
          <w:rFonts w:ascii="Times New Roman" w:hAnsi="Times New Roman" w:eastAsia="黑体" w:cs="Times New Roman"/>
          <w:bCs/>
          <w:kern w:val="0"/>
          <w:sz w:val="32"/>
          <w:szCs w:val="32"/>
        </w:rPr>
        <w:t>18.</w:t>
      </w:r>
      <w:r>
        <w:rPr>
          <w:rFonts w:hint="eastAsia" w:ascii="Times New Roman" w:hAnsi="Times New Roman" w:eastAsia="黑体" w:cs="Times New Roman"/>
          <w:bCs/>
          <w:kern w:val="0"/>
          <w:sz w:val="32"/>
          <w:szCs w:val="32"/>
        </w:rPr>
        <w:t>生物</w:t>
      </w:r>
      <w:r>
        <w:rPr>
          <w:rFonts w:ascii="Times New Roman" w:hAnsi="Times New Roman" w:eastAsia="黑体" w:cs="Times New Roman"/>
          <w:bCs/>
          <w:kern w:val="0"/>
          <w:sz w:val="32"/>
          <w:szCs w:val="32"/>
        </w:rPr>
        <w:t>制品：</w:t>
      </w:r>
      <w:r>
        <w:rPr>
          <w:rFonts w:hint="eastAsia" w:ascii="Times New Roman" w:hAnsi="Times New Roman" w:eastAsia="仿宋_GB2312" w:cs="Times New Roman"/>
          <w:sz w:val="32"/>
          <w:szCs w:val="32"/>
        </w:rPr>
        <w:t>以基因工程、细胞工程、发酵工程等生物技术获得的微生物、细胞及各种动物和人源的组织等生物材料，用于制备人类疾病预防、治疗和诊断的药品。</w:t>
      </w:r>
    </w:p>
    <w:p>
      <w:pPr>
        <w:wordWrap w:val="0"/>
        <w:topLinePunct/>
        <w:snapToGrid w:val="0"/>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黑体" w:cs="Times New Roman"/>
          <w:bCs/>
          <w:kern w:val="0"/>
          <w:sz w:val="32"/>
          <w:szCs w:val="32"/>
        </w:rPr>
        <w:t>19.</w:t>
      </w:r>
      <w:r>
        <w:rPr>
          <w:rFonts w:hint="eastAsia" w:ascii="Times New Roman" w:hAnsi="Times New Roman" w:eastAsia="黑体" w:cs="Times New Roman"/>
          <w:bCs/>
          <w:kern w:val="0"/>
          <w:sz w:val="32"/>
          <w:szCs w:val="32"/>
        </w:rPr>
        <w:t>生物医学工程领域</w:t>
      </w:r>
      <w:r>
        <w:rPr>
          <w:rFonts w:ascii="Times New Roman" w:hAnsi="Times New Roman" w:eastAsia="黑体" w:cs="Times New Roman"/>
          <w:bCs/>
          <w:kern w:val="0"/>
          <w:sz w:val="32"/>
          <w:szCs w:val="32"/>
        </w:rPr>
        <w:t>：</w:t>
      </w:r>
      <w:r>
        <w:rPr>
          <w:rFonts w:hint="eastAsia" w:ascii="Times New Roman" w:hAnsi="Times New Roman" w:eastAsia="仿宋_GB2312" w:cs="Times New Roman"/>
          <w:sz w:val="32"/>
          <w:szCs w:val="32"/>
        </w:rPr>
        <w:t>直接或者间接用于人体的仪器、设备、器具、体外诊断试剂及校准物、材料以及其他类似或者相关的物品，包括计算机软件。</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bCs/>
          <w:kern w:val="0"/>
          <w:sz w:val="32"/>
          <w:szCs w:val="32"/>
        </w:rPr>
        <w:t>20</w:t>
      </w:r>
      <w:r>
        <w:rPr>
          <w:rFonts w:hint="eastAsia" w:ascii="Times New Roman" w:hAnsi="Times New Roman" w:eastAsia="黑体" w:cs="Times New Roman"/>
          <w:bCs/>
          <w:kern w:val="0"/>
          <w:sz w:val="32"/>
          <w:szCs w:val="32"/>
        </w:rPr>
        <w:t>.医学影像：</w:t>
      </w:r>
      <w:r>
        <w:rPr>
          <w:rFonts w:hint="eastAsia" w:ascii="Times New Roman" w:hAnsi="Times New Roman" w:eastAsia="仿宋_GB2312" w:cs="Times New Roman"/>
          <w:sz w:val="32"/>
          <w:szCs w:val="32"/>
        </w:rPr>
        <w:t>指利用专门成像机制的设备</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以无创性方式获取人体内部组织结构信息的技术与处理过程，包括</w:t>
      </w:r>
      <w:r>
        <w:rPr>
          <w:rFonts w:ascii="Times New Roman" w:hAnsi="Times New Roman" w:eastAsia="仿宋_GB2312" w:cs="Times New Roman"/>
          <w:sz w:val="32"/>
          <w:szCs w:val="32"/>
        </w:rPr>
        <w:t>X</w:t>
      </w:r>
      <w:r>
        <w:rPr>
          <w:rFonts w:hint="eastAsia" w:ascii="Times New Roman" w:hAnsi="Times New Roman" w:eastAsia="仿宋_GB2312" w:cs="Times New Roman"/>
          <w:sz w:val="32"/>
          <w:szCs w:val="32"/>
        </w:rPr>
        <w:t>线成像技术、</w:t>
      </w:r>
      <w:r>
        <w:rPr>
          <w:rFonts w:ascii="Times New Roman" w:hAnsi="Times New Roman" w:eastAsia="仿宋_GB2312" w:cs="Times New Roman"/>
          <w:sz w:val="32"/>
          <w:szCs w:val="32"/>
        </w:rPr>
        <w:t>MRI</w:t>
      </w:r>
      <w:r>
        <w:rPr>
          <w:rFonts w:hint="eastAsia" w:ascii="Times New Roman" w:hAnsi="Times New Roman" w:eastAsia="仿宋_GB2312" w:cs="Times New Roman"/>
          <w:sz w:val="32"/>
          <w:szCs w:val="32"/>
        </w:rPr>
        <w:t>技术与核医学技术等。</w:t>
      </w:r>
    </w:p>
    <w:p>
      <w:pPr>
        <w:spacing w:line="560" w:lineRule="exact"/>
        <w:ind w:firstLine="640" w:firstLineChars="200"/>
        <w:rPr>
          <w:rFonts w:ascii="Times New Roman" w:hAnsi="Times New Roman" w:eastAsia="仿宋_GB2312" w:cs="Times New Roman"/>
          <w:b/>
          <w:sz w:val="32"/>
          <w:szCs w:val="32"/>
        </w:rPr>
      </w:pPr>
      <w:r>
        <w:rPr>
          <w:rFonts w:ascii="Times New Roman" w:hAnsi="Times New Roman" w:eastAsia="黑体" w:cs="Times New Roman"/>
          <w:bCs/>
          <w:kern w:val="0"/>
          <w:sz w:val="32"/>
          <w:szCs w:val="32"/>
        </w:rPr>
        <w:t xml:space="preserve">21. </w:t>
      </w:r>
      <w:r>
        <w:rPr>
          <w:rFonts w:ascii="Times New Roman" w:hAnsi="Times New Roman" w:eastAsia="仿宋_GB2312" w:cs="Times New Roman"/>
          <w:b/>
          <w:sz w:val="32"/>
          <w:szCs w:val="32"/>
        </w:rPr>
        <w:t>CT</w:t>
      </w:r>
      <w:r>
        <w:rPr>
          <w:rFonts w:hint="eastAsia" w:ascii="Times New Roman" w:hAnsi="Times New Roman" w:eastAsia="黑体" w:cs="Times New Roman"/>
          <w:bCs/>
          <w:kern w:val="0"/>
          <w:sz w:val="32"/>
          <w:szCs w:val="32"/>
        </w:rPr>
        <w:t>（</w:t>
      </w:r>
      <w:r>
        <w:rPr>
          <w:rFonts w:ascii="Times New Roman" w:hAnsi="Times New Roman" w:eastAsia="黑体" w:cs="Times New Roman"/>
          <w:bCs/>
          <w:kern w:val="0"/>
          <w:sz w:val="32"/>
          <w:szCs w:val="32"/>
        </w:rPr>
        <w:t>电子计算机断层扫描</w:t>
      </w:r>
      <w:r>
        <w:rPr>
          <w:rFonts w:hint="eastAsia" w:ascii="Times New Roman" w:hAnsi="Times New Roman" w:eastAsia="黑体" w:cs="Times New Roman"/>
          <w:bCs/>
          <w:kern w:val="0"/>
          <w:sz w:val="32"/>
          <w:szCs w:val="32"/>
        </w:rPr>
        <w:t>）</w:t>
      </w:r>
      <w:r>
        <w:rPr>
          <w:rFonts w:ascii="Times New Roman" w:hAnsi="Times New Roman" w:eastAsia="黑体" w:cs="Times New Roman"/>
          <w:bCs/>
          <w:kern w:val="0"/>
          <w:sz w:val="32"/>
          <w:szCs w:val="32"/>
        </w:rPr>
        <w:t>：</w:t>
      </w:r>
      <w:r>
        <w:rPr>
          <w:rFonts w:hint="eastAsia" w:ascii="Times New Roman" w:hAnsi="Times New Roman" w:eastAsia="仿宋_GB2312" w:cs="Times New Roman"/>
          <w:sz w:val="32"/>
          <w:szCs w:val="32"/>
        </w:rPr>
        <w:t>利用精确准直的</w:t>
      </w:r>
      <w:r>
        <w:rPr>
          <w:rFonts w:ascii="Times New Roman" w:hAnsi="Times New Roman" w:eastAsia="仿宋_GB2312" w:cs="Times New Roman"/>
          <w:sz w:val="32"/>
          <w:szCs w:val="32"/>
        </w:rPr>
        <w:t>X</w:t>
      </w:r>
      <w:r>
        <w:rPr>
          <w:rFonts w:hint="eastAsia" w:ascii="Times New Roman" w:hAnsi="Times New Roman" w:eastAsia="仿宋_GB2312" w:cs="Times New Roman"/>
          <w:sz w:val="32"/>
          <w:szCs w:val="32"/>
        </w:rPr>
        <w:t>线束、</w:t>
      </w:r>
      <w:r>
        <w:rPr>
          <w:rFonts w:ascii="Times New Roman" w:hAnsi="Times New Roman" w:eastAsia="仿宋_GB2312" w:cs="Times New Roman"/>
          <w:sz w:val="32"/>
          <w:szCs w:val="32"/>
        </w:rPr>
        <w:t>γ</w:t>
      </w:r>
      <w:r>
        <w:rPr>
          <w:rFonts w:hint="eastAsia" w:ascii="Times New Roman" w:hAnsi="Times New Roman" w:eastAsia="仿宋_GB2312" w:cs="Times New Roman"/>
          <w:sz w:val="32"/>
          <w:szCs w:val="32"/>
        </w:rPr>
        <w:t>射线、超声波等，与灵敏度极高的探测器一同围绕人体的某一部位作连续的断面扫描，具有扫描时间快，图像清晰等特点，可用于多种疾病的检查。</w:t>
      </w:r>
    </w:p>
    <w:p>
      <w:pPr>
        <w:spacing w:line="560" w:lineRule="exact"/>
        <w:ind w:firstLine="640" w:firstLineChars="200"/>
        <w:rPr>
          <w:rFonts w:ascii="Times New Roman" w:hAnsi="Times New Roman" w:eastAsia="仿宋_GB2312" w:cs="Times New Roman"/>
          <w:b/>
          <w:sz w:val="32"/>
          <w:szCs w:val="32"/>
        </w:rPr>
      </w:pPr>
      <w:r>
        <w:rPr>
          <w:rFonts w:ascii="Times New Roman" w:hAnsi="Times New Roman" w:eastAsia="黑体" w:cs="Times New Roman"/>
          <w:bCs/>
          <w:kern w:val="0"/>
          <w:sz w:val="32"/>
          <w:szCs w:val="32"/>
        </w:rPr>
        <w:t>22.</w:t>
      </w:r>
      <w:r>
        <w:rPr>
          <w:rFonts w:ascii="Times New Roman" w:hAnsi="Times New Roman" w:eastAsia="仿宋_GB2312" w:cs="Times New Roman"/>
          <w:b/>
          <w:sz w:val="32"/>
          <w:szCs w:val="32"/>
        </w:rPr>
        <w:t>MRI</w:t>
      </w:r>
      <w:r>
        <w:rPr>
          <w:rFonts w:ascii="Times New Roman" w:hAnsi="Times New Roman" w:cs="Times New Roman"/>
        </w:rPr>
        <w:t xml:space="preserve"> </w:t>
      </w:r>
      <w:r>
        <w:rPr>
          <w:rFonts w:ascii="Times New Roman" w:hAnsi="Times New Roman" w:eastAsia="黑体" w:cs="Times New Roman"/>
          <w:bCs/>
          <w:kern w:val="0"/>
          <w:sz w:val="32"/>
          <w:szCs w:val="32"/>
        </w:rPr>
        <w:t>（</w:t>
      </w:r>
      <w:r>
        <w:rPr>
          <w:rFonts w:hint="eastAsia" w:ascii="Times New Roman" w:hAnsi="Times New Roman" w:eastAsia="黑体" w:cs="Times New Roman"/>
          <w:bCs/>
          <w:kern w:val="0"/>
          <w:sz w:val="32"/>
          <w:szCs w:val="32"/>
        </w:rPr>
        <w:t>核磁共振</w:t>
      </w:r>
      <w:r>
        <w:rPr>
          <w:rFonts w:ascii="Times New Roman" w:hAnsi="Times New Roman" w:eastAsia="黑体" w:cs="Times New Roman"/>
          <w:bCs/>
          <w:kern w:val="0"/>
          <w:sz w:val="32"/>
          <w:szCs w:val="32"/>
        </w:rPr>
        <w:t>）：</w:t>
      </w:r>
      <w:r>
        <w:rPr>
          <w:rFonts w:hint="eastAsia" w:ascii="Times New Roman" w:hAnsi="Times New Roman" w:eastAsia="仿宋_GB2312" w:cs="Times New Roman"/>
          <w:sz w:val="32"/>
          <w:szCs w:val="32"/>
        </w:rPr>
        <w:t>采用静磁场和射频磁场使人体组织成像，在成像过程中，既不用电离辐射,也不用造影剂就可获得高对比度的清晰图像。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bCs/>
          <w:kern w:val="0"/>
          <w:sz w:val="32"/>
          <w:szCs w:val="32"/>
        </w:rPr>
        <w:t>23.</w:t>
      </w:r>
      <w:r>
        <w:rPr>
          <w:rFonts w:ascii="Times New Roman" w:hAnsi="Times New Roman" w:eastAsia="仿宋_GB2312" w:cs="Times New Roman"/>
          <w:b/>
          <w:sz w:val="32"/>
          <w:szCs w:val="32"/>
        </w:rPr>
        <w:t>PET</w:t>
      </w:r>
      <w:r>
        <w:rPr>
          <w:rFonts w:ascii="Times New Roman" w:hAnsi="Times New Roman" w:eastAsia="黑体" w:cs="Times New Roman"/>
          <w:bCs/>
          <w:kern w:val="0"/>
          <w:sz w:val="32"/>
          <w:szCs w:val="32"/>
        </w:rPr>
        <w:t>（</w:t>
      </w:r>
      <w:r>
        <w:rPr>
          <w:rFonts w:hint="eastAsia" w:ascii="Times New Roman" w:hAnsi="Times New Roman" w:eastAsia="黑体" w:cs="Times New Roman"/>
          <w:bCs/>
          <w:kern w:val="0"/>
          <w:sz w:val="32"/>
          <w:szCs w:val="32"/>
        </w:rPr>
        <w:t>正电子发射型计算机断层显像</w:t>
      </w:r>
      <w:r>
        <w:rPr>
          <w:rFonts w:ascii="Times New Roman" w:hAnsi="Times New Roman" w:eastAsia="黑体" w:cs="Times New Roman"/>
          <w:bCs/>
          <w:kern w:val="0"/>
          <w:sz w:val="32"/>
          <w:szCs w:val="32"/>
        </w:rPr>
        <w:t>）：</w:t>
      </w:r>
      <w:r>
        <w:rPr>
          <w:rFonts w:hint="eastAsia" w:ascii="Times New Roman" w:hAnsi="Times New Roman" w:eastAsia="仿宋_GB2312" w:cs="Times New Roman"/>
          <w:sz w:val="32"/>
          <w:szCs w:val="32"/>
        </w:rPr>
        <w:t>是核医学领域比较先进的临床检查影像技术。将生物生命代谢中必须的物质标记上短寿命的放射性核素</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如</w:t>
      </w:r>
      <w:r>
        <w:rPr>
          <w:rFonts w:ascii="Times New Roman" w:hAnsi="Times New Roman" w:eastAsia="仿宋_GB2312" w:cs="Times New Roman"/>
          <w:sz w:val="32"/>
          <w:szCs w:val="32"/>
        </w:rPr>
        <w:t>18F</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11C</w:t>
      </w:r>
      <w:r>
        <w:rPr>
          <w:rFonts w:hint="eastAsia" w:ascii="Times New Roman" w:hAnsi="Times New Roman" w:eastAsia="仿宋_GB2312" w:cs="Times New Roman"/>
          <w:sz w:val="32"/>
          <w:szCs w:val="32"/>
        </w:rPr>
        <w:t>等</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，注入人体后，通过对于该物质在代谢中的聚集，来反映生命代谢活动的情况，从而达到诊断的目的。</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bCs/>
          <w:kern w:val="0"/>
          <w:sz w:val="32"/>
          <w:szCs w:val="32"/>
        </w:rPr>
        <w:t>24.</w:t>
      </w:r>
      <w:r>
        <w:rPr>
          <w:rFonts w:ascii="Times New Roman" w:hAnsi="Times New Roman" w:eastAsia="仿宋_GB2312" w:cs="Times New Roman"/>
          <w:b/>
          <w:sz w:val="32"/>
          <w:szCs w:val="32"/>
        </w:rPr>
        <w:t>SPECT</w:t>
      </w:r>
      <w:r>
        <w:rPr>
          <w:rFonts w:ascii="Times New Roman" w:hAnsi="Times New Roman" w:eastAsia="黑体" w:cs="Times New Roman"/>
          <w:bCs/>
          <w:kern w:val="0"/>
          <w:sz w:val="32"/>
          <w:szCs w:val="32"/>
        </w:rPr>
        <w:t>（</w:t>
      </w:r>
      <w:r>
        <w:rPr>
          <w:rFonts w:hint="eastAsia" w:ascii="Times New Roman" w:hAnsi="Times New Roman" w:eastAsia="黑体" w:cs="Times New Roman"/>
          <w:bCs/>
          <w:kern w:val="0"/>
          <w:sz w:val="32"/>
          <w:szCs w:val="32"/>
        </w:rPr>
        <w:t>单光子发射计算机断层成像术</w:t>
      </w:r>
      <w:r>
        <w:rPr>
          <w:rFonts w:ascii="Times New Roman" w:hAnsi="Times New Roman" w:eastAsia="黑体" w:cs="Times New Roman"/>
          <w:bCs/>
          <w:kern w:val="0"/>
          <w:sz w:val="32"/>
          <w:szCs w:val="32"/>
        </w:rPr>
        <w:t>）：</w:t>
      </w:r>
      <w:r>
        <w:rPr>
          <w:rFonts w:hint="eastAsia" w:ascii="Times New Roman" w:hAnsi="Times New Roman" w:eastAsia="仿宋_GB2312" w:cs="Times New Roman"/>
          <w:sz w:val="32"/>
          <w:szCs w:val="32"/>
        </w:rPr>
        <w:t>是一种放射性同位素</w:t>
      </w:r>
      <w:r>
        <w:rPr>
          <w:rFonts w:ascii="Times New Roman" w:hAnsi="Times New Roman" w:eastAsia="仿宋_GB2312" w:cs="Times New Roman"/>
          <w:sz w:val="32"/>
          <w:szCs w:val="32"/>
        </w:rPr>
        <w:t>CT</w:t>
      </w:r>
      <w:r>
        <w:rPr>
          <w:rFonts w:hint="eastAsia" w:ascii="Times New Roman" w:hAnsi="Times New Roman" w:eastAsia="仿宋_GB2312" w:cs="Times New Roman"/>
          <w:sz w:val="32"/>
          <w:szCs w:val="32"/>
        </w:rPr>
        <w:t>扫描，属核医学范畴，其成像原理系将放射性核素显影与</w:t>
      </w:r>
      <w:r>
        <w:rPr>
          <w:rFonts w:ascii="Times New Roman" w:hAnsi="Times New Roman" w:eastAsia="仿宋_GB2312" w:cs="Times New Roman"/>
          <w:sz w:val="32"/>
          <w:szCs w:val="32"/>
        </w:rPr>
        <w:t>CT</w:t>
      </w:r>
      <w:r>
        <w:rPr>
          <w:rFonts w:hint="eastAsia" w:ascii="Times New Roman" w:hAnsi="Times New Roman" w:eastAsia="仿宋_GB2312" w:cs="Times New Roman"/>
          <w:sz w:val="32"/>
          <w:szCs w:val="32"/>
        </w:rPr>
        <w:t>的三维成像技术结合在一起，可以显示不同层面内放射性同位素的分布图像。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bCs/>
          <w:kern w:val="0"/>
          <w:sz w:val="32"/>
          <w:szCs w:val="32"/>
        </w:rPr>
        <w:t>25.</w:t>
      </w:r>
      <w:r>
        <w:rPr>
          <w:rFonts w:hint="eastAsia" w:ascii="Times New Roman" w:hAnsi="Times New Roman" w:eastAsia="黑体" w:cs="Times New Roman"/>
          <w:sz w:val="32"/>
          <w:szCs w:val="32"/>
        </w:rPr>
        <w:t>体外诊断</w:t>
      </w:r>
      <w:r>
        <w:rPr>
          <w:rFonts w:hint="eastAsia" w:ascii="Times New Roman" w:hAnsi="Times New Roman" w:eastAsia="黑体" w:cs="Times New Roman"/>
          <w:bCs/>
          <w:kern w:val="0"/>
          <w:sz w:val="32"/>
          <w:szCs w:val="32"/>
        </w:rPr>
        <w:t>（</w:t>
      </w:r>
      <w:r>
        <w:rPr>
          <w:rFonts w:ascii="Times New Roman" w:hAnsi="Times New Roman" w:eastAsia="黑体" w:cs="Times New Roman"/>
          <w:bCs/>
          <w:kern w:val="0"/>
          <w:sz w:val="32"/>
          <w:szCs w:val="32"/>
        </w:rPr>
        <w:t>In Vitro Diagnosis, IVD</w:t>
      </w:r>
      <w:r>
        <w:rPr>
          <w:rFonts w:hint="eastAsia" w:ascii="Times New Roman" w:hAnsi="Times New Roman" w:eastAsia="黑体" w:cs="Times New Roman"/>
          <w:bCs/>
          <w:kern w:val="0"/>
          <w:sz w:val="32"/>
          <w:szCs w:val="32"/>
        </w:rPr>
        <w:t>）</w:t>
      </w:r>
      <w:r>
        <w:rPr>
          <w:rFonts w:ascii="Times New Roman" w:hAnsi="Times New Roman" w:eastAsia="黑体" w:cs="Times New Roman"/>
          <w:bCs/>
          <w:kern w:val="0"/>
          <w:sz w:val="32"/>
          <w:szCs w:val="32"/>
        </w:rPr>
        <w:t>：</w:t>
      </w:r>
      <w:r>
        <w:rPr>
          <w:rFonts w:hint="eastAsia" w:ascii="Times New Roman" w:hAnsi="Times New Roman" w:eastAsia="仿宋_GB2312" w:cs="Times New Roman"/>
          <w:sz w:val="32"/>
          <w:szCs w:val="32"/>
        </w:rPr>
        <w:t>对人体样品</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血液、体液、组织等</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进行收集、制备和对样品进行检测的试剂、仪器和系统，通过检测获取临床诊断信息，进而对疾病或机体功能做出判断。</w:t>
      </w:r>
    </w:p>
    <w:p>
      <w:pPr>
        <w:ind w:firstLine="640" w:firstLineChars="200"/>
        <w:rPr>
          <w:rFonts w:ascii="Times New Roman" w:hAnsi="Times New Roman" w:eastAsia="仿宋_GB2312" w:cs="Times New Roman"/>
          <w:sz w:val="32"/>
          <w:szCs w:val="32"/>
        </w:rPr>
      </w:pPr>
      <w:r>
        <w:rPr>
          <w:rFonts w:ascii="Times New Roman" w:hAnsi="Times New Roman" w:eastAsia="黑体" w:cs="Times New Roman"/>
          <w:bCs/>
          <w:kern w:val="0"/>
          <w:sz w:val="32"/>
          <w:szCs w:val="32"/>
        </w:rPr>
        <w:t>26.</w:t>
      </w:r>
      <w:r>
        <w:rPr>
          <w:rFonts w:hint="eastAsia" w:ascii="Times New Roman" w:hAnsi="Times New Roman" w:eastAsia="黑体" w:cs="Times New Roman"/>
          <w:bCs/>
          <w:kern w:val="0"/>
          <w:sz w:val="32"/>
          <w:szCs w:val="32"/>
        </w:rPr>
        <w:t>新兴医疗设备</w:t>
      </w:r>
      <w:r>
        <w:rPr>
          <w:rFonts w:ascii="Times New Roman" w:hAnsi="Times New Roman" w:eastAsia="黑体" w:cs="Times New Roman"/>
          <w:bCs/>
          <w:kern w:val="0"/>
          <w:sz w:val="32"/>
          <w:szCs w:val="32"/>
        </w:rPr>
        <w:t>：</w:t>
      </w:r>
      <w:r>
        <w:rPr>
          <w:rFonts w:hint="eastAsia" w:ascii="Times New Roman" w:hAnsi="Times New Roman" w:eastAsia="仿宋_GB2312" w:cs="Times New Roman"/>
          <w:sz w:val="32"/>
          <w:szCs w:val="32"/>
        </w:rPr>
        <w:t>依托大数据、物联网等新一代信息技术的新一代数字化、网络化、智能化的医疗设备。</w:t>
      </w:r>
    </w:p>
    <w:p>
      <w:pPr>
        <w:ind w:firstLine="640" w:firstLineChars="200"/>
        <w:rPr>
          <w:rFonts w:ascii="Times New Roman" w:hAnsi="Times New Roman" w:eastAsia="仿宋_GB2312" w:cs="Times New Roman"/>
          <w:sz w:val="32"/>
          <w:szCs w:val="32"/>
        </w:rPr>
      </w:pPr>
      <w:r>
        <w:rPr>
          <w:rFonts w:ascii="Times New Roman" w:hAnsi="Times New Roman" w:eastAsia="黑体" w:cs="Times New Roman"/>
          <w:bCs/>
          <w:kern w:val="0"/>
          <w:sz w:val="32"/>
          <w:szCs w:val="32"/>
        </w:rPr>
        <w:t>27.</w:t>
      </w:r>
      <w:r>
        <w:rPr>
          <w:rFonts w:hint="eastAsia" w:ascii="Times New Roman" w:hAnsi="Times New Roman" w:eastAsia="黑体" w:cs="Times New Roman"/>
          <w:bCs/>
          <w:kern w:val="0"/>
          <w:sz w:val="32"/>
          <w:szCs w:val="32"/>
        </w:rPr>
        <w:t>手术机器人</w:t>
      </w:r>
      <w:r>
        <w:rPr>
          <w:rFonts w:ascii="Times New Roman" w:hAnsi="Times New Roman" w:eastAsia="黑体" w:cs="Times New Roman"/>
          <w:bCs/>
          <w:kern w:val="0"/>
          <w:sz w:val="32"/>
          <w:szCs w:val="32"/>
        </w:rPr>
        <w:t>：</w:t>
      </w:r>
      <w:r>
        <w:rPr>
          <w:rFonts w:hint="eastAsia" w:ascii="Times New Roman" w:hAnsi="Times New Roman" w:eastAsia="仿宋_GB2312" w:cs="Times New Roman"/>
          <w:sz w:val="32"/>
          <w:szCs w:val="32"/>
        </w:rPr>
        <w:t>集多项科技手段于一体的综合设备，主要用于心脏外科和前列腺切除术，可实现外科医生远离手术台操纵机器进行手术。</w:t>
      </w:r>
    </w:p>
    <w:p>
      <w:pPr>
        <w:ind w:firstLine="640" w:firstLineChars="200"/>
        <w:rPr>
          <w:rFonts w:ascii="Times New Roman" w:hAnsi="Times New Roman" w:eastAsia="仿宋_GB2312" w:cs="Times New Roman"/>
          <w:sz w:val="32"/>
          <w:szCs w:val="32"/>
        </w:rPr>
      </w:pPr>
      <w:r>
        <w:rPr>
          <w:rFonts w:ascii="Times New Roman" w:hAnsi="Times New Roman" w:eastAsia="黑体" w:cs="Times New Roman"/>
          <w:bCs/>
          <w:kern w:val="0"/>
          <w:sz w:val="32"/>
          <w:szCs w:val="32"/>
        </w:rPr>
        <w:t>28.</w:t>
      </w:r>
      <w:r>
        <w:rPr>
          <w:rFonts w:hint="eastAsia" w:ascii="Times New Roman" w:hAnsi="Times New Roman" w:eastAsia="黑体" w:cs="Times New Roman"/>
          <w:bCs/>
          <w:kern w:val="0"/>
          <w:sz w:val="32"/>
          <w:szCs w:val="32"/>
        </w:rPr>
        <w:t>人工基因组设计合成</w:t>
      </w:r>
      <w:r>
        <w:rPr>
          <w:rFonts w:ascii="Times New Roman" w:hAnsi="Times New Roman" w:eastAsia="黑体" w:cs="Times New Roman"/>
          <w:bCs/>
          <w:kern w:val="0"/>
          <w:sz w:val="32"/>
          <w:szCs w:val="32"/>
        </w:rPr>
        <w:t>：</w:t>
      </w:r>
      <w:r>
        <w:rPr>
          <w:rFonts w:hint="eastAsia" w:ascii="Times New Roman" w:hAnsi="Times New Roman" w:eastAsia="仿宋_GB2312" w:cs="Times New Roman"/>
          <w:sz w:val="32"/>
          <w:szCs w:val="32"/>
        </w:rPr>
        <w:t>指在体外人工设计及合成完整遗传信息并产生双链</w:t>
      </w:r>
      <w:r>
        <w:rPr>
          <w:rFonts w:ascii="Times New Roman" w:hAnsi="Times New Roman" w:eastAsia="仿宋_GB2312" w:cs="Times New Roman"/>
          <w:sz w:val="32"/>
          <w:szCs w:val="32"/>
        </w:rPr>
        <w:t>DNA</w:t>
      </w:r>
      <w:r>
        <w:rPr>
          <w:rFonts w:hint="eastAsia" w:ascii="Times New Roman" w:hAnsi="Times New Roman" w:eastAsia="仿宋_GB2312" w:cs="Times New Roman"/>
          <w:sz w:val="32"/>
          <w:szCs w:val="32"/>
        </w:rPr>
        <w:t>分子的技术。</w:t>
      </w:r>
    </w:p>
    <w:p>
      <w:pPr>
        <w:ind w:firstLine="640" w:firstLineChars="200"/>
        <w:rPr>
          <w:rFonts w:ascii="Times New Roman" w:hAnsi="Times New Roman" w:eastAsia="仿宋_GB2312" w:cs="Times New Roman"/>
          <w:sz w:val="32"/>
          <w:szCs w:val="32"/>
        </w:rPr>
      </w:pPr>
      <w:r>
        <w:rPr>
          <w:rFonts w:ascii="Times New Roman" w:hAnsi="Times New Roman" w:eastAsia="黑体" w:cs="Times New Roman"/>
          <w:bCs/>
          <w:kern w:val="0"/>
          <w:sz w:val="32"/>
          <w:szCs w:val="32"/>
        </w:rPr>
        <w:t>29.医药</w:t>
      </w:r>
      <w:r>
        <w:rPr>
          <w:rFonts w:ascii="Times New Roman" w:hAnsi="Times New Roman" w:eastAsia="仿宋_GB2312" w:cs="Times New Roman"/>
          <w:b/>
          <w:sz w:val="32"/>
          <w:szCs w:val="32"/>
        </w:rPr>
        <w:t>CRO</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Contract Research Organization</w:t>
      </w:r>
      <w:r>
        <w:rPr>
          <w:rFonts w:hint="eastAsia" w:ascii="Times New Roman" w:hAnsi="Times New Roman" w:eastAsia="仿宋_GB2312" w:cs="Times New Roman"/>
          <w:b/>
          <w:sz w:val="32"/>
          <w:szCs w:val="32"/>
        </w:rPr>
        <w:t>）：</w:t>
      </w:r>
      <w:r>
        <w:rPr>
          <w:rFonts w:hint="eastAsia" w:ascii="Times New Roman" w:hAnsi="Times New Roman" w:eastAsia="仿宋_GB2312" w:cs="Times New Roman"/>
          <w:sz w:val="32"/>
          <w:szCs w:val="32"/>
        </w:rPr>
        <w:t>指医药企业和提供外包服务的组织或机构通过签订合同的形式，委托</w:t>
      </w:r>
      <w:r>
        <w:rPr>
          <w:rFonts w:ascii="Times New Roman" w:hAnsi="Times New Roman" w:eastAsia="仿宋_GB2312" w:cs="Times New Roman"/>
          <w:sz w:val="32"/>
          <w:szCs w:val="32"/>
        </w:rPr>
        <w:t>CRO</w:t>
      </w:r>
      <w:r>
        <w:rPr>
          <w:rFonts w:hint="eastAsia" w:ascii="Times New Roman" w:hAnsi="Times New Roman" w:eastAsia="仿宋_GB2312" w:cs="Times New Roman"/>
          <w:sz w:val="32"/>
          <w:szCs w:val="32"/>
        </w:rPr>
        <w:t>企业完成新药研究过程中的部分工作。</w:t>
      </w:r>
    </w:p>
    <w:p>
      <w:pPr>
        <w:ind w:firstLine="640" w:firstLineChars="200"/>
        <w:rPr>
          <w:rFonts w:ascii="Times New Roman" w:hAnsi="Times New Roman" w:eastAsia="仿宋_GB2312" w:cs="Times New Roman"/>
          <w:sz w:val="32"/>
          <w:szCs w:val="32"/>
        </w:rPr>
      </w:pPr>
      <w:r>
        <w:rPr>
          <w:rFonts w:ascii="Times New Roman" w:hAnsi="Times New Roman" w:eastAsia="黑体" w:cs="Times New Roman"/>
          <w:bCs/>
          <w:kern w:val="0"/>
          <w:sz w:val="32"/>
          <w:szCs w:val="32"/>
        </w:rPr>
        <w:t>30.</w:t>
      </w:r>
      <w:r>
        <w:rPr>
          <w:rFonts w:ascii="Times New Roman" w:hAnsi="Times New Roman" w:eastAsia="仿宋_GB2312" w:cs="Times New Roman"/>
          <w:b/>
          <w:sz w:val="32"/>
          <w:szCs w:val="32"/>
        </w:rPr>
        <w:t>AI</w:t>
      </w:r>
      <w:r>
        <w:rPr>
          <w:rFonts w:hint="eastAsia" w:ascii="Times New Roman" w:hAnsi="Times New Roman" w:eastAsia="黑体" w:cs="Times New Roman"/>
          <w:bCs/>
          <w:kern w:val="0"/>
          <w:sz w:val="32"/>
          <w:szCs w:val="32"/>
        </w:rPr>
        <w:t>药物研发</w:t>
      </w:r>
      <w:r>
        <w:rPr>
          <w:rFonts w:ascii="Times New Roman" w:hAnsi="Times New Roman" w:eastAsia="黑体" w:cs="Times New Roman"/>
          <w:bCs/>
          <w:kern w:val="0"/>
          <w:sz w:val="32"/>
          <w:szCs w:val="32"/>
        </w:rPr>
        <w:t>：</w:t>
      </w:r>
      <w:r>
        <w:rPr>
          <w:rFonts w:hint="eastAsia" w:ascii="Times New Roman" w:hAnsi="Times New Roman" w:eastAsia="仿宋_GB2312" w:cs="Times New Roman"/>
          <w:sz w:val="32"/>
          <w:szCs w:val="32"/>
        </w:rPr>
        <w:t>借助</w:t>
      </w:r>
      <w:r>
        <w:rPr>
          <w:rFonts w:ascii="Times New Roman" w:hAnsi="Times New Roman" w:eastAsia="仿宋_GB2312" w:cs="Times New Roman"/>
          <w:sz w:val="32"/>
          <w:szCs w:val="32"/>
        </w:rPr>
        <w:t>AI</w:t>
      </w:r>
      <w:r>
        <w:rPr>
          <w:rFonts w:hint="eastAsia" w:ascii="Times New Roman" w:hAnsi="Times New Roman" w:eastAsia="仿宋_GB2312" w:cs="Times New Roman"/>
          <w:sz w:val="32"/>
          <w:szCs w:val="32"/>
        </w:rPr>
        <w:t>手段通过深度学习构建药物分子，结合基因组及蛋白组学信息可优化药物研发方案及临床试验设计；采用</w:t>
      </w:r>
      <w:r>
        <w:rPr>
          <w:rFonts w:ascii="Times New Roman" w:hAnsi="Times New Roman" w:eastAsia="仿宋_GB2312" w:cs="Times New Roman"/>
          <w:sz w:val="32"/>
          <w:szCs w:val="32"/>
        </w:rPr>
        <w:t>AI</w:t>
      </w:r>
      <w:r>
        <w:rPr>
          <w:rFonts w:hint="eastAsia" w:ascii="Times New Roman" w:hAnsi="Times New Roman" w:eastAsia="仿宋_GB2312" w:cs="Times New Roman"/>
          <w:sz w:val="32"/>
          <w:szCs w:val="32"/>
        </w:rPr>
        <w:t>手段可以降低药物研发难度、缩短药物研发周期。</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bCs/>
          <w:kern w:val="0"/>
          <w:sz w:val="32"/>
          <w:szCs w:val="32"/>
        </w:rPr>
        <w:t>31.</w:t>
      </w:r>
      <w:r>
        <w:rPr>
          <w:rFonts w:hint="eastAsia" w:ascii="Times New Roman" w:hAnsi="Times New Roman" w:eastAsia="黑体" w:cs="Times New Roman"/>
          <w:bCs/>
          <w:kern w:val="0"/>
          <w:sz w:val="32"/>
          <w:szCs w:val="32"/>
        </w:rPr>
        <w:t>精准医疗</w:t>
      </w:r>
      <w:r>
        <w:rPr>
          <w:rFonts w:ascii="Times New Roman" w:hAnsi="Times New Roman" w:eastAsia="黑体" w:cs="Times New Roman"/>
          <w:bCs/>
          <w:kern w:val="0"/>
          <w:sz w:val="32"/>
          <w:szCs w:val="32"/>
        </w:rPr>
        <w:t>：</w:t>
      </w:r>
      <w:r>
        <w:rPr>
          <w:rFonts w:hint="eastAsia" w:ascii="Times New Roman" w:hAnsi="Times New Roman" w:eastAsia="仿宋_GB2312" w:cs="Times New Roman"/>
          <w:sz w:val="32"/>
          <w:szCs w:val="32"/>
        </w:rPr>
        <w:t>将个人基因、环境与生活习惯差异考虑在内的疾病预防与处置的新兴方法。精准医疗领域常见技术与产品包括基因测序、基因检测、基因筛查、细胞治疗等。</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bCs/>
          <w:kern w:val="0"/>
          <w:sz w:val="32"/>
          <w:szCs w:val="32"/>
        </w:rPr>
        <w:t>32.</w:t>
      </w:r>
      <w:r>
        <w:rPr>
          <w:rFonts w:hint="eastAsia" w:ascii="Times New Roman" w:hAnsi="Times New Roman" w:eastAsia="黑体" w:cs="Times New Roman"/>
          <w:bCs/>
          <w:kern w:val="0"/>
          <w:sz w:val="32"/>
          <w:szCs w:val="32"/>
        </w:rPr>
        <w:t>科技服务业</w:t>
      </w:r>
      <w:r>
        <w:rPr>
          <w:rFonts w:ascii="Times New Roman" w:hAnsi="Times New Roman" w:eastAsia="黑体" w:cs="Times New Roman"/>
          <w:bCs/>
          <w:kern w:val="0"/>
          <w:sz w:val="32"/>
          <w:szCs w:val="32"/>
        </w:rPr>
        <w:t>：</w:t>
      </w:r>
      <w:r>
        <w:rPr>
          <w:rFonts w:hint="eastAsia" w:ascii="Times New Roman" w:hAnsi="Times New Roman" w:eastAsia="仿宋_GB2312" w:cs="Times New Roman"/>
          <w:sz w:val="32"/>
          <w:szCs w:val="32"/>
        </w:rPr>
        <w:t>是指运用现代科技知识、现代技术和分析研究方法，以及经验、信息等要素向社会提供智力服务的新兴产业，主要包括科学研究、检验检测服务、科技咨询、技术孵化、知识产权服务和科技金融等活动。</w:t>
      </w:r>
    </w:p>
    <w:p>
      <w:pPr>
        <w:spacing w:line="560" w:lineRule="exact"/>
        <w:ind w:firstLine="640" w:firstLineChars="200"/>
        <w:rPr>
          <w:rFonts w:ascii="Times New Roman" w:hAnsi="Times New Roman" w:eastAsia="黑体" w:cs="Times New Roman"/>
          <w:color w:val="FF0000"/>
          <w:sz w:val="32"/>
          <w:szCs w:val="32"/>
        </w:rPr>
      </w:pPr>
      <w:r>
        <w:rPr>
          <w:rFonts w:ascii="Times New Roman" w:hAnsi="Times New Roman" w:eastAsia="黑体" w:cs="Times New Roman"/>
          <w:bCs/>
          <w:kern w:val="0"/>
          <w:sz w:val="32"/>
          <w:szCs w:val="32"/>
        </w:rPr>
        <w:t>33.</w:t>
      </w:r>
      <w:r>
        <w:rPr>
          <w:rFonts w:hint="eastAsia" w:ascii="Times New Roman" w:hAnsi="Times New Roman" w:eastAsia="黑体" w:cs="Times New Roman"/>
          <w:bCs/>
          <w:kern w:val="0"/>
          <w:sz w:val="32"/>
          <w:szCs w:val="32"/>
        </w:rPr>
        <w:t>全域旅游</w:t>
      </w:r>
      <w:r>
        <w:rPr>
          <w:rFonts w:ascii="Times New Roman" w:hAnsi="Times New Roman" w:eastAsia="黑体" w:cs="Times New Roman"/>
          <w:bCs/>
          <w:kern w:val="0"/>
          <w:sz w:val="32"/>
          <w:szCs w:val="32"/>
        </w:rPr>
        <w:t>：</w:t>
      </w:r>
      <w:r>
        <w:rPr>
          <w:rFonts w:hint="eastAsia" w:ascii="Times New Roman" w:hAnsi="Times New Roman" w:eastAsia="仿宋_GB2312" w:cs="Times New Roman"/>
          <w:sz w:val="32"/>
          <w:szCs w:val="32"/>
        </w:rPr>
        <w:t>将一定区域作为完整旅游目的地，通过对区域内经济社会资源尤其是旅游资源、相关产业、生态、服务等进行全方位优化提升，实现区域资源有机整合、产业融合发展、社会共建共享，以旅游业带动经济社会协调发展的一种新的区域协调发展理念和模式。</w:t>
      </w:r>
    </w:p>
    <w:sectPr>
      <w:footerReference r:id="rId4" w:type="default"/>
      <w:footerReference r:id="rId5" w:type="even"/>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微软雅黑"/>
    <w:panose1 w:val="020F0502020204030204"/>
    <w:charset w:val="00"/>
    <w:family w:val="swiss"/>
    <w:pitch w:val="default"/>
    <w:sig w:usb0="00000000" w:usb1="00000000" w:usb2="00000001" w:usb3="00000000" w:csb0="0000019F" w:csb1="00000000"/>
  </w:font>
  <w:font w:name="Calibri Light">
    <w:altName w:val="DejaVu Sans"/>
    <w:panose1 w:val="020F0302020204030204"/>
    <w:charset w:val="00"/>
    <w:family w:val="swiss"/>
    <w:pitch w:val="default"/>
    <w:sig w:usb0="00000000" w:usb1="00000000" w:usb2="00000000" w:usb3="00000000" w:csb0="0000019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Arial Unicode MS">
    <w:altName w:val="DejaVu Sans"/>
    <w:panose1 w:val="020B0604020202020204"/>
    <w:charset w:val="00"/>
    <w:family w:val="roman"/>
    <w:pitch w:val="default"/>
    <w:sig w:usb0="00000000" w:usb1="00000000" w:usb2="00000000" w:usb3="00000000" w:csb0="00000001" w:csb1="00000000"/>
  </w:font>
  <w:font w:name="Helvetica Neue">
    <w:altName w:val="URW Bookman"/>
    <w:panose1 w:val="00000000000000000000"/>
    <w:charset w:val="00"/>
    <w:family w:val="auto"/>
    <w:pitch w:val="default"/>
    <w:sig w:usb0="00000000" w:usb1="00000000" w:usb2="00000010" w:usb3="00000000" w:csb0="00000001" w:csb1="00000000"/>
  </w:font>
  <w:font w:name="仿宋">
    <w:panose1 w:val="02010609060101010101"/>
    <w:charset w:val="86"/>
    <w:family w:val="modern"/>
    <w:pitch w:val="default"/>
    <w:sig w:usb0="800002BF" w:usb1="38CF7CFA"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 w:name="楷体">
    <w:panose1 w:val="02010609060101010101"/>
    <w:charset w:val="86"/>
    <w:family w:val="modern"/>
    <w:pitch w:val="default"/>
    <w:sig w:usb0="800002BF" w:usb1="38CF7CFA" w:usb2="00000016" w:usb3="00000000" w:csb0="00040001" w:csb1="00000000"/>
  </w:font>
  <w:font w:name="等线">
    <w:altName w:val="微软雅黑"/>
    <w:panose1 w:val="00000000000000000000"/>
    <w:charset w:val="86"/>
    <w:family w:val="auto"/>
    <w:pitch w:val="default"/>
    <w:sig w:usb0="00000000" w:usb1="00000000" w:usb2="00000016" w:usb3="00000000" w:csb0="0004000F" w:csb1="00000000"/>
  </w:font>
  <w:font w:name="新宋体">
    <w:altName w:val="方正书宋_GBK"/>
    <w:panose1 w:val="02010609030101010101"/>
    <w:charset w:val="86"/>
    <w:family w:val="modern"/>
    <w:pitch w:val="default"/>
    <w:sig w:usb0="00000000" w:usb1="00000000" w:usb2="00000016" w:usb3="00000000" w:csb0="00040001" w:csb1="00000000"/>
  </w:font>
  <w:font w:name="方正书宋_GBK">
    <w:panose1 w:val="02000000000000000000"/>
    <w:charset w:val="86"/>
    <w:family w:val="auto"/>
    <w:pitch w:val="default"/>
    <w:sig w:usb0="A00002BF" w:usb1="38CF7CFA" w:usb2="00082016" w:usb3="00000000" w:csb0="00040001" w:csb1="00000000"/>
  </w:font>
  <w:font w:name="DejaVu Sans">
    <w:panose1 w:val="020B0603030804020204"/>
    <w:charset w:val="00"/>
    <w:family w:val="auto"/>
    <w:pitch w:val="default"/>
    <w:sig w:usb0="E7006EFF" w:usb1="D200FDFF" w:usb2="0A246029" w:usb3="0400200C" w:csb0="600001FF" w:csb1="DFFF0000"/>
  </w:font>
  <w:font w:name="微软雅黑">
    <w:panose1 w:val="020B0503020204020204"/>
    <w:charset w:val="86"/>
    <w:family w:val="auto"/>
    <w:pitch w:val="default"/>
    <w:sig w:usb0="80000287" w:usb1="2ACF3C50" w:usb2="00000016" w:usb3="00000000" w:csb0="0004001F" w:csb1="00000000"/>
  </w:font>
  <w:font w:name="Liberation Serif">
    <w:panose1 w:val="02020603050405020304"/>
    <w:charset w:val="00"/>
    <w:family w:val="auto"/>
    <w:pitch w:val="default"/>
    <w:sig w:usb0="A00002AF" w:usb1="500078FB" w:usb2="00000000" w:usb3="00000000" w:csb0="6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PAGE   \* MERGEFORMAT</w:instrText>
    </w:r>
    <w:r>
      <w:rPr>
        <w:rFonts w:ascii="Times New Roman" w:hAnsi="Times New Roman" w:cs="Times New Roman"/>
        <w:sz w:val="24"/>
      </w:rPr>
      <w:fldChar w:fldCharType="separate"/>
    </w:r>
    <w:r>
      <w:rPr>
        <w:rFonts w:ascii="Times New Roman" w:hAnsi="Times New Roman" w:cs="Times New Roman"/>
        <w:sz w:val="24"/>
        <w:lang w:val="zh-CN"/>
      </w:rPr>
      <w:t>33</w:t>
    </w:r>
    <w:r>
      <w:rPr>
        <w:rFonts w:ascii="Times New Roman" w:hAnsi="Times New Roman" w:cs="Times New Roman"/>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PAGE   \* MERGEFORMAT</w:instrText>
    </w:r>
    <w:r>
      <w:rPr>
        <w:rFonts w:ascii="Times New Roman" w:hAnsi="Times New Roman" w:cs="Times New Roman"/>
        <w:sz w:val="24"/>
      </w:rPr>
      <w:fldChar w:fldCharType="separate"/>
    </w:r>
    <w:r>
      <w:rPr>
        <w:rFonts w:ascii="Times New Roman" w:hAnsi="Times New Roman" w:cs="Times New Roman"/>
        <w:sz w:val="24"/>
        <w:lang w:val="zh-CN"/>
      </w:rPr>
      <w:t>32</w:t>
    </w:r>
    <w:r>
      <w:rPr>
        <w:rFonts w:ascii="Times New Roman" w:hAnsi="Times New Roman" w:cs="Times New Roman"/>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r>
        <w:separator/>
      </w:r>
    </w:p>
  </w:footnote>
  <w:footnote w:type="continuationSeparator" w:id="5">
    <w:p>
      <w:r>
        <w:continuationSeparator/>
      </w:r>
    </w:p>
  </w:footnote>
  <w:footnote w:id="0">
    <w:p>
      <w:pPr>
        <w:pStyle w:val="13"/>
        <w:rPr>
          <w:rFonts w:ascii="仿宋_GB2312" w:hAnsi="宋体" w:eastAsia="仿宋_GB2312" w:cs="黑体"/>
          <w:bCs/>
          <w:sz w:val="21"/>
          <w:szCs w:val="21"/>
        </w:rPr>
      </w:pPr>
      <w:r>
        <w:rPr>
          <w:rFonts w:ascii="仿宋_GB2312" w:hAnsi="宋体" w:eastAsia="仿宋_GB2312" w:cs="黑体"/>
          <w:bCs/>
          <w:sz w:val="21"/>
          <w:szCs w:val="21"/>
        </w:rPr>
        <w:footnoteRef/>
      </w:r>
      <w:r>
        <w:rPr>
          <w:rFonts w:ascii="仿宋_GB2312" w:hAnsi="宋体" w:eastAsia="仿宋_GB2312" w:cs="黑体"/>
          <w:bCs/>
          <w:sz w:val="21"/>
          <w:szCs w:val="21"/>
        </w:rPr>
        <w:t xml:space="preserve"> </w:t>
      </w:r>
      <w:r>
        <w:rPr>
          <w:rFonts w:hint="eastAsia" w:ascii="仿宋_GB2312" w:hAnsi="宋体" w:eastAsia="仿宋_GB2312" w:cs="黑体"/>
          <w:bCs/>
          <w:sz w:val="21"/>
          <w:szCs w:val="21"/>
        </w:rPr>
        <w:t>智能产业是指基于人工智能、</w:t>
      </w:r>
      <w:r>
        <w:rPr>
          <w:rFonts w:ascii="仿宋_GB2312" w:hAnsi="宋体" w:eastAsia="仿宋_GB2312" w:cs="黑体"/>
          <w:bCs/>
          <w:sz w:val="21"/>
          <w:szCs w:val="21"/>
        </w:rPr>
        <w:t>5G</w:t>
      </w:r>
      <w:r>
        <w:rPr>
          <w:rFonts w:hint="eastAsia" w:ascii="仿宋_GB2312" w:hAnsi="宋体" w:eastAsia="仿宋_GB2312" w:cs="黑体"/>
          <w:bCs/>
          <w:sz w:val="21"/>
          <w:szCs w:val="21"/>
        </w:rPr>
        <w:t>、物联网等新兴技术，以“智能”为特征的下一代信息</w:t>
      </w:r>
      <w:r>
        <w:rPr>
          <w:rFonts w:ascii="仿宋_GB2312" w:hAnsi="宋体" w:eastAsia="仿宋_GB2312" w:cs="黑体"/>
          <w:bCs/>
          <w:sz w:val="21"/>
          <w:szCs w:val="21"/>
        </w:rPr>
        <w:t>技术产业</w:t>
      </w:r>
      <w:r>
        <w:rPr>
          <w:rFonts w:hint="eastAsia" w:ascii="仿宋_GB2312" w:hAnsi="宋体" w:eastAsia="仿宋_GB2312" w:cs="黑体"/>
          <w:bCs/>
          <w:sz w:val="21"/>
          <w:szCs w:val="21"/>
        </w:rPr>
        <w:t>。</w:t>
      </w:r>
    </w:p>
  </w:footnote>
  <w:footnote w:id="1">
    <w:p>
      <w:pPr>
        <w:pStyle w:val="13"/>
        <w:rPr>
          <w:rFonts w:ascii="仿宋_GB2312" w:hAnsi="仿宋" w:eastAsia="仿宋_GB2312" w:cs="Calibri"/>
          <w:sz w:val="21"/>
          <w:szCs w:val="21"/>
        </w:rPr>
      </w:pPr>
      <w:r>
        <w:rPr>
          <w:rFonts w:ascii="仿宋_GB2312" w:hAnsi="仿宋" w:eastAsia="仿宋_GB2312" w:cs="Calibri"/>
          <w:sz w:val="21"/>
          <w:szCs w:val="21"/>
        </w:rPr>
        <w:footnoteRef/>
      </w:r>
      <w:r>
        <w:rPr>
          <w:rFonts w:ascii="仿宋_GB2312" w:hAnsi="仿宋" w:eastAsia="仿宋_GB2312" w:cs="Calibri"/>
          <w:sz w:val="21"/>
          <w:szCs w:val="21"/>
        </w:rPr>
        <w:t xml:space="preserve"> </w:t>
      </w:r>
      <w:r>
        <w:rPr>
          <w:rFonts w:hint="eastAsia" w:ascii="仿宋_GB2312" w:hAnsi="仿宋" w:eastAsia="仿宋_GB2312" w:cs="Calibri"/>
          <w:sz w:val="21"/>
          <w:szCs w:val="21"/>
        </w:rPr>
        <w:t>生命科学产业是指基于现代生物技术、医学大数据、人工智能等前沿技术，以</w:t>
      </w:r>
      <w:r>
        <w:rPr>
          <w:rFonts w:ascii="仿宋_GB2312" w:hAnsi="仿宋" w:eastAsia="仿宋_GB2312" w:cs="Calibri"/>
          <w:sz w:val="21"/>
          <w:szCs w:val="21"/>
        </w:rPr>
        <w:t>BT+IT</w:t>
      </w:r>
      <w:r>
        <w:rPr>
          <w:rFonts w:hint="eastAsia" w:ascii="仿宋_GB2312" w:hAnsi="仿宋" w:eastAsia="仿宋_GB2312" w:cs="Calibri"/>
          <w:sz w:val="21"/>
          <w:szCs w:val="21"/>
        </w:rPr>
        <w:t>跨界融合为特征的新兴业态。</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6AE1376"/>
    <w:multiLevelType w:val="multilevel"/>
    <w:tmpl w:val="26AE1376"/>
    <w:lvl w:ilvl="0" w:tentative="0">
      <w:start w:val="1"/>
      <w:numFmt w:val="decimal"/>
      <w:lvlText w:val="%1."/>
      <w:lvlJc w:val="left"/>
      <w:pPr>
        <w:ind w:left="1003" w:hanging="360"/>
      </w:pPr>
      <w:rPr>
        <w:rFonts w:hint="default"/>
        <w:b/>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abstractNum w:abstractNumId="1">
    <w:nsid w:val="3056213A"/>
    <w:multiLevelType w:val="multilevel"/>
    <w:tmpl w:val="3056213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3B270086"/>
    <w:multiLevelType w:val="multilevel"/>
    <w:tmpl w:val="3B27008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4FD656F"/>
    <w:multiLevelType w:val="multilevel"/>
    <w:tmpl w:val="74FD656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true"/>
  <w:bordersDoNotSurroundFooter w:val="true"/>
  <w:documentProtection w:enforcement="0"/>
  <w:defaultTabStop w:val="420"/>
  <w:evenAndOddHeaders w:val="true"/>
  <w:drawingGridHorizontalSpacing w:val="105"/>
  <w:drawingGridVerticalSpacing w:val="156"/>
  <w:displayHorizontalDrawingGridEvery w:val="0"/>
  <w:displayVerticalDrawingGridEvery w:val="2"/>
  <w:characterSpacingControl w:val="compressPunctuation"/>
  <w:footnotePr>
    <w:footnote w:id="4"/>
    <w:footnote w:id="5"/>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09A"/>
    <w:rsid w:val="00000F76"/>
    <w:rsid w:val="0000289A"/>
    <w:rsid w:val="00002CFC"/>
    <w:rsid w:val="00003A5B"/>
    <w:rsid w:val="00004048"/>
    <w:rsid w:val="00004550"/>
    <w:rsid w:val="000049DB"/>
    <w:rsid w:val="000058B4"/>
    <w:rsid w:val="00005B66"/>
    <w:rsid w:val="000067AC"/>
    <w:rsid w:val="00006D3B"/>
    <w:rsid w:val="000077EC"/>
    <w:rsid w:val="00007CDB"/>
    <w:rsid w:val="00010132"/>
    <w:rsid w:val="00010657"/>
    <w:rsid w:val="00010DB2"/>
    <w:rsid w:val="00010E8E"/>
    <w:rsid w:val="000116C5"/>
    <w:rsid w:val="0001239B"/>
    <w:rsid w:val="000124B7"/>
    <w:rsid w:val="0001437E"/>
    <w:rsid w:val="000158B9"/>
    <w:rsid w:val="00016CF6"/>
    <w:rsid w:val="00020719"/>
    <w:rsid w:val="00020A3E"/>
    <w:rsid w:val="00020B46"/>
    <w:rsid w:val="00020EA5"/>
    <w:rsid w:val="0002274E"/>
    <w:rsid w:val="00022B79"/>
    <w:rsid w:val="00023F9E"/>
    <w:rsid w:val="00024885"/>
    <w:rsid w:val="00024C64"/>
    <w:rsid w:val="0002517F"/>
    <w:rsid w:val="00025211"/>
    <w:rsid w:val="00025620"/>
    <w:rsid w:val="0002577E"/>
    <w:rsid w:val="00025838"/>
    <w:rsid w:val="0002594E"/>
    <w:rsid w:val="00025BFE"/>
    <w:rsid w:val="0002706E"/>
    <w:rsid w:val="00030AF8"/>
    <w:rsid w:val="000316EC"/>
    <w:rsid w:val="000330B4"/>
    <w:rsid w:val="000341A2"/>
    <w:rsid w:val="000347F6"/>
    <w:rsid w:val="00036496"/>
    <w:rsid w:val="0003656E"/>
    <w:rsid w:val="000372F1"/>
    <w:rsid w:val="000379A5"/>
    <w:rsid w:val="0004023A"/>
    <w:rsid w:val="000407AF"/>
    <w:rsid w:val="0004160D"/>
    <w:rsid w:val="000423BE"/>
    <w:rsid w:val="00044916"/>
    <w:rsid w:val="00045B84"/>
    <w:rsid w:val="00045D17"/>
    <w:rsid w:val="000461CA"/>
    <w:rsid w:val="00046219"/>
    <w:rsid w:val="00046F19"/>
    <w:rsid w:val="00047F10"/>
    <w:rsid w:val="000502F3"/>
    <w:rsid w:val="000523E2"/>
    <w:rsid w:val="00053EEB"/>
    <w:rsid w:val="00054666"/>
    <w:rsid w:val="000568F6"/>
    <w:rsid w:val="0006138E"/>
    <w:rsid w:val="000622D8"/>
    <w:rsid w:val="00062B3D"/>
    <w:rsid w:val="00062DD4"/>
    <w:rsid w:val="0006321A"/>
    <w:rsid w:val="0006428F"/>
    <w:rsid w:val="000642DD"/>
    <w:rsid w:val="0006521E"/>
    <w:rsid w:val="0006530B"/>
    <w:rsid w:val="00065846"/>
    <w:rsid w:val="00065BBB"/>
    <w:rsid w:val="00066182"/>
    <w:rsid w:val="00066B58"/>
    <w:rsid w:val="000675A6"/>
    <w:rsid w:val="0006782B"/>
    <w:rsid w:val="00070AB2"/>
    <w:rsid w:val="00071117"/>
    <w:rsid w:val="00071981"/>
    <w:rsid w:val="0007230C"/>
    <w:rsid w:val="00072F59"/>
    <w:rsid w:val="0007385C"/>
    <w:rsid w:val="00073AB2"/>
    <w:rsid w:val="00074A3C"/>
    <w:rsid w:val="00074B2E"/>
    <w:rsid w:val="00075440"/>
    <w:rsid w:val="0007644B"/>
    <w:rsid w:val="000769A4"/>
    <w:rsid w:val="00076C86"/>
    <w:rsid w:val="00076DFC"/>
    <w:rsid w:val="00077E25"/>
    <w:rsid w:val="00077FB5"/>
    <w:rsid w:val="00083B80"/>
    <w:rsid w:val="00085435"/>
    <w:rsid w:val="000857BD"/>
    <w:rsid w:val="00085BD5"/>
    <w:rsid w:val="00087286"/>
    <w:rsid w:val="00087771"/>
    <w:rsid w:val="00090276"/>
    <w:rsid w:val="00091B89"/>
    <w:rsid w:val="0009389E"/>
    <w:rsid w:val="00093AEB"/>
    <w:rsid w:val="00095012"/>
    <w:rsid w:val="000953E4"/>
    <w:rsid w:val="00097D1D"/>
    <w:rsid w:val="000A048C"/>
    <w:rsid w:val="000A230B"/>
    <w:rsid w:val="000A36EE"/>
    <w:rsid w:val="000A6898"/>
    <w:rsid w:val="000B0400"/>
    <w:rsid w:val="000B0503"/>
    <w:rsid w:val="000B1E30"/>
    <w:rsid w:val="000B2694"/>
    <w:rsid w:val="000B2F88"/>
    <w:rsid w:val="000B301F"/>
    <w:rsid w:val="000B3034"/>
    <w:rsid w:val="000B4163"/>
    <w:rsid w:val="000B47B0"/>
    <w:rsid w:val="000B4A5C"/>
    <w:rsid w:val="000B5B88"/>
    <w:rsid w:val="000B64E1"/>
    <w:rsid w:val="000B660E"/>
    <w:rsid w:val="000B6D41"/>
    <w:rsid w:val="000B7566"/>
    <w:rsid w:val="000B7CE5"/>
    <w:rsid w:val="000C0598"/>
    <w:rsid w:val="000C0958"/>
    <w:rsid w:val="000C2822"/>
    <w:rsid w:val="000C2B30"/>
    <w:rsid w:val="000C2EC8"/>
    <w:rsid w:val="000C3191"/>
    <w:rsid w:val="000C639B"/>
    <w:rsid w:val="000C6A00"/>
    <w:rsid w:val="000C7187"/>
    <w:rsid w:val="000C7298"/>
    <w:rsid w:val="000C7E62"/>
    <w:rsid w:val="000D1FCE"/>
    <w:rsid w:val="000D2E54"/>
    <w:rsid w:val="000D3716"/>
    <w:rsid w:val="000D3D74"/>
    <w:rsid w:val="000D4C3D"/>
    <w:rsid w:val="000D5BB6"/>
    <w:rsid w:val="000D6790"/>
    <w:rsid w:val="000D7076"/>
    <w:rsid w:val="000D79DC"/>
    <w:rsid w:val="000D7A3E"/>
    <w:rsid w:val="000E0F6D"/>
    <w:rsid w:val="000E1CEE"/>
    <w:rsid w:val="000E2007"/>
    <w:rsid w:val="000E204E"/>
    <w:rsid w:val="000E252D"/>
    <w:rsid w:val="000E353E"/>
    <w:rsid w:val="000E4851"/>
    <w:rsid w:val="000E4AD2"/>
    <w:rsid w:val="000E4B1C"/>
    <w:rsid w:val="000E4F2E"/>
    <w:rsid w:val="000E6864"/>
    <w:rsid w:val="000E6B2B"/>
    <w:rsid w:val="000E7102"/>
    <w:rsid w:val="000F059C"/>
    <w:rsid w:val="000F09FC"/>
    <w:rsid w:val="000F1369"/>
    <w:rsid w:val="000F1B1F"/>
    <w:rsid w:val="000F1FCA"/>
    <w:rsid w:val="000F3B74"/>
    <w:rsid w:val="000F46EA"/>
    <w:rsid w:val="000F4AD3"/>
    <w:rsid w:val="000F5E35"/>
    <w:rsid w:val="000F6203"/>
    <w:rsid w:val="000F66DE"/>
    <w:rsid w:val="000F6B06"/>
    <w:rsid w:val="000F7B73"/>
    <w:rsid w:val="00100565"/>
    <w:rsid w:val="00100CEB"/>
    <w:rsid w:val="00100F1C"/>
    <w:rsid w:val="00102E02"/>
    <w:rsid w:val="00103713"/>
    <w:rsid w:val="001042D7"/>
    <w:rsid w:val="001048A6"/>
    <w:rsid w:val="001048AF"/>
    <w:rsid w:val="00105138"/>
    <w:rsid w:val="00110FA7"/>
    <w:rsid w:val="001142C2"/>
    <w:rsid w:val="0011550F"/>
    <w:rsid w:val="00115BAD"/>
    <w:rsid w:val="00115CA7"/>
    <w:rsid w:val="00115FA2"/>
    <w:rsid w:val="001173C3"/>
    <w:rsid w:val="001200E6"/>
    <w:rsid w:val="00120D25"/>
    <w:rsid w:val="00121572"/>
    <w:rsid w:val="001217E4"/>
    <w:rsid w:val="00121D47"/>
    <w:rsid w:val="00121DDA"/>
    <w:rsid w:val="0012298F"/>
    <w:rsid w:val="00123C24"/>
    <w:rsid w:val="00124DD2"/>
    <w:rsid w:val="0012549D"/>
    <w:rsid w:val="00126658"/>
    <w:rsid w:val="00126CB1"/>
    <w:rsid w:val="00127436"/>
    <w:rsid w:val="00130B64"/>
    <w:rsid w:val="001314E6"/>
    <w:rsid w:val="00131F42"/>
    <w:rsid w:val="00132A17"/>
    <w:rsid w:val="0013338E"/>
    <w:rsid w:val="0013395D"/>
    <w:rsid w:val="001356AD"/>
    <w:rsid w:val="001369C3"/>
    <w:rsid w:val="00136D6A"/>
    <w:rsid w:val="00136FDD"/>
    <w:rsid w:val="00136FE1"/>
    <w:rsid w:val="00140451"/>
    <w:rsid w:val="001411F6"/>
    <w:rsid w:val="00141481"/>
    <w:rsid w:val="001414DF"/>
    <w:rsid w:val="00141DB8"/>
    <w:rsid w:val="00142192"/>
    <w:rsid w:val="00142354"/>
    <w:rsid w:val="0014357E"/>
    <w:rsid w:val="00143FE1"/>
    <w:rsid w:val="00145015"/>
    <w:rsid w:val="001458B8"/>
    <w:rsid w:val="00146447"/>
    <w:rsid w:val="001466C7"/>
    <w:rsid w:val="00146732"/>
    <w:rsid w:val="0015052F"/>
    <w:rsid w:val="0015179F"/>
    <w:rsid w:val="00152BB5"/>
    <w:rsid w:val="00152E03"/>
    <w:rsid w:val="00153BE2"/>
    <w:rsid w:val="00153FFA"/>
    <w:rsid w:val="001548F7"/>
    <w:rsid w:val="001549F4"/>
    <w:rsid w:val="00154FA5"/>
    <w:rsid w:val="00154FF2"/>
    <w:rsid w:val="001558AC"/>
    <w:rsid w:val="001571A5"/>
    <w:rsid w:val="001577ED"/>
    <w:rsid w:val="00157F26"/>
    <w:rsid w:val="001607DD"/>
    <w:rsid w:val="0016099E"/>
    <w:rsid w:val="00160FD7"/>
    <w:rsid w:val="00165441"/>
    <w:rsid w:val="00165651"/>
    <w:rsid w:val="00166477"/>
    <w:rsid w:val="00166AAA"/>
    <w:rsid w:val="00166B51"/>
    <w:rsid w:val="001706A4"/>
    <w:rsid w:val="001717F9"/>
    <w:rsid w:val="00171ED2"/>
    <w:rsid w:val="00172388"/>
    <w:rsid w:val="0017295C"/>
    <w:rsid w:val="00173390"/>
    <w:rsid w:val="0017366C"/>
    <w:rsid w:val="0017368C"/>
    <w:rsid w:val="00173CA0"/>
    <w:rsid w:val="0017417A"/>
    <w:rsid w:val="001751E5"/>
    <w:rsid w:val="001752C9"/>
    <w:rsid w:val="001755C7"/>
    <w:rsid w:val="001760F6"/>
    <w:rsid w:val="00176DDA"/>
    <w:rsid w:val="00177369"/>
    <w:rsid w:val="00180002"/>
    <w:rsid w:val="00180DF5"/>
    <w:rsid w:val="00181C67"/>
    <w:rsid w:val="00183C16"/>
    <w:rsid w:val="00183C40"/>
    <w:rsid w:val="001854F1"/>
    <w:rsid w:val="00186152"/>
    <w:rsid w:val="00186CB1"/>
    <w:rsid w:val="00186DB5"/>
    <w:rsid w:val="00187D51"/>
    <w:rsid w:val="0019029E"/>
    <w:rsid w:val="0019055C"/>
    <w:rsid w:val="001906B7"/>
    <w:rsid w:val="00192B3F"/>
    <w:rsid w:val="00192DD2"/>
    <w:rsid w:val="00193BC7"/>
    <w:rsid w:val="00194AE4"/>
    <w:rsid w:val="00195A7D"/>
    <w:rsid w:val="00196C2F"/>
    <w:rsid w:val="001973A2"/>
    <w:rsid w:val="001A150E"/>
    <w:rsid w:val="001A1CDE"/>
    <w:rsid w:val="001A4581"/>
    <w:rsid w:val="001A46F5"/>
    <w:rsid w:val="001A4DFB"/>
    <w:rsid w:val="001A5F61"/>
    <w:rsid w:val="001A6130"/>
    <w:rsid w:val="001B083B"/>
    <w:rsid w:val="001B14AB"/>
    <w:rsid w:val="001B2549"/>
    <w:rsid w:val="001B331A"/>
    <w:rsid w:val="001B3FE7"/>
    <w:rsid w:val="001B4E2D"/>
    <w:rsid w:val="001B5D6B"/>
    <w:rsid w:val="001B5E39"/>
    <w:rsid w:val="001B771A"/>
    <w:rsid w:val="001C1D9E"/>
    <w:rsid w:val="001C1E3D"/>
    <w:rsid w:val="001C2BBB"/>
    <w:rsid w:val="001C2C8C"/>
    <w:rsid w:val="001C335F"/>
    <w:rsid w:val="001C3A79"/>
    <w:rsid w:val="001C4830"/>
    <w:rsid w:val="001C4BCF"/>
    <w:rsid w:val="001C4DDC"/>
    <w:rsid w:val="001C4F55"/>
    <w:rsid w:val="001C548A"/>
    <w:rsid w:val="001C5A85"/>
    <w:rsid w:val="001C61C1"/>
    <w:rsid w:val="001C6CC8"/>
    <w:rsid w:val="001C6D72"/>
    <w:rsid w:val="001C7EDA"/>
    <w:rsid w:val="001D0103"/>
    <w:rsid w:val="001D01CE"/>
    <w:rsid w:val="001D05AF"/>
    <w:rsid w:val="001D0E7E"/>
    <w:rsid w:val="001D156C"/>
    <w:rsid w:val="001D1FCC"/>
    <w:rsid w:val="001D2329"/>
    <w:rsid w:val="001D31B2"/>
    <w:rsid w:val="001D4011"/>
    <w:rsid w:val="001D40FF"/>
    <w:rsid w:val="001D59D1"/>
    <w:rsid w:val="001D61F9"/>
    <w:rsid w:val="001D63E4"/>
    <w:rsid w:val="001D69F5"/>
    <w:rsid w:val="001D7006"/>
    <w:rsid w:val="001E009A"/>
    <w:rsid w:val="001E09A9"/>
    <w:rsid w:val="001E0E04"/>
    <w:rsid w:val="001E0F03"/>
    <w:rsid w:val="001E2028"/>
    <w:rsid w:val="001E2657"/>
    <w:rsid w:val="001E367E"/>
    <w:rsid w:val="001E5972"/>
    <w:rsid w:val="001E5F90"/>
    <w:rsid w:val="001F0035"/>
    <w:rsid w:val="001F068B"/>
    <w:rsid w:val="001F0E3A"/>
    <w:rsid w:val="001F284F"/>
    <w:rsid w:val="001F3709"/>
    <w:rsid w:val="001F53D2"/>
    <w:rsid w:val="001F562F"/>
    <w:rsid w:val="001F5CEF"/>
    <w:rsid w:val="001F6464"/>
    <w:rsid w:val="001F6C07"/>
    <w:rsid w:val="001F768E"/>
    <w:rsid w:val="002001E9"/>
    <w:rsid w:val="0020100D"/>
    <w:rsid w:val="00201174"/>
    <w:rsid w:val="0020141B"/>
    <w:rsid w:val="00201536"/>
    <w:rsid w:val="00201CC1"/>
    <w:rsid w:val="00202B84"/>
    <w:rsid w:val="002033E3"/>
    <w:rsid w:val="00203609"/>
    <w:rsid w:val="00204E80"/>
    <w:rsid w:val="00206668"/>
    <w:rsid w:val="002076EB"/>
    <w:rsid w:val="00210BB5"/>
    <w:rsid w:val="00211B3F"/>
    <w:rsid w:val="00211DEE"/>
    <w:rsid w:val="00212157"/>
    <w:rsid w:val="002125F4"/>
    <w:rsid w:val="00212A2C"/>
    <w:rsid w:val="00212FFA"/>
    <w:rsid w:val="002150CF"/>
    <w:rsid w:val="00217FDC"/>
    <w:rsid w:val="002206B4"/>
    <w:rsid w:val="00220EDD"/>
    <w:rsid w:val="00221D7B"/>
    <w:rsid w:val="002224F2"/>
    <w:rsid w:val="002232BA"/>
    <w:rsid w:val="0022364D"/>
    <w:rsid w:val="00224328"/>
    <w:rsid w:val="00226CAB"/>
    <w:rsid w:val="0023066F"/>
    <w:rsid w:val="0023214F"/>
    <w:rsid w:val="00232569"/>
    <w:rsid w:val="00232B0A"/>
    <w:rsid w:val="0023381F"/>
    <w:rsid w:val="00234DFF"/>
    <w:rsid w:val="00235630"/>
    <w:rsid w:val="002379C3"/>
    <w:rsid w:val="00237F36"/>
    <w:rsid w:val="00242AE4"/>
    <w:rsid w:val="00243752"/>
    <w:rsid w:val="00244BE3"/>
    <w:rsid w:val="00245430"/>
    <w:rsid w:val="0024645B"/>
    <w:rsid w:val="00246A27"/>
    <w:rsid w:val="00246B55"/>
    <w:rsid w:val="00247C38"/>
    <w:rsid w:val="00247FB0"/>
    <w:rsid w:val="00250734"/>
    <w:rsid w:val="00250A4A"/>
    <w:rsid w:val="00252080"/>
    <w:rsid w:val="00252F54"/>
    <w:rsid w:val="00254171"/>
    <w:rsid w:val="00254463"/>
    <w:rsid w:val="00254B24"/>
    <w:rsid w:val="002557E1"/>
    <w:rsid w:val="00255FC1"/>
    <w:rsid w:val="002565B3"/>
    <w:rsid w:val="002568F4"/>
    <w:rsid w:val="00260229"/>
    <w:rsid w:val="0026065E"/>
    <w:rsid w:val="00263231"/>
    <w:rsid w:val="00264E46"/>
    <w:rsid w:val="00265FCB"/>
    <w:rsid w:val="002670C0"/>
    <w:rsid w:val="0026796E"/>
    <w:rsid w:val="00270C8F"/>
    <w:rsid w:val="00271297"/>
    <w:rsid w:val="0027240C"/>
    <w:rsid w:val="002724C4"/>
    <w:rsid w:val="00274424"/>
    <w:rsid w:val="00274E22"/>
    <w:rsid w:val="00274E64"/>
    <w:rsid w:val="002761E4"/>
    <w:rsid w:val="00280AE8"/>
    <w:rsid w:val="00280EBA"/>
    <w:rsid w:val="00281F3B"/>
    <w:rsid w:val="00282771"/>
    <w:rsid w:val="00282EAF"/>
    <w:rsid w:val="00283332"/>
    <w:rsid w:val="00284AEA"/>
    <w:rsid w:val="002857F7"/>
    <w:rsid w:val="00285BCB"/>
    <w:rsid w:val="00286960"/>
    <w:rsid w:val="00286E50"/>
    <w:rsid w:val="00287FFE"/>
    <w:rsid w:val="0029025B"/>
    <w:rsid w:val="0029034B"/>
    <w:rsid w:val="002929C6"/>
    <w:rsid w:val="00292D2E"/>
    <w:rsid w:val="002936FB"/>
    <w:rsid w:val="0029389E"/>
    <w:rsid w:val="00293B48"/>
    <w:rsid w:val="0029526F"/>
    <w:rsid w:val="00295718"/>
    <w:rsid w:val="002978C4"/>
    <w:rsid w:val="002A1B74"/>
    <w:rsid w:val="002A2138"/>
    <w:rsid w:val="002A33CE"/>
    <w:rsid w:val="002A34AA"/>
    <w:rsid w:val="002A4257"/>
    <w:rsid w:val="002A4AC3"/>
    <w:rsid w:val="002A5372"/>
    <w:rsid w:val="002A600F"/>
    <w:rsid w:val="002A660F"/>
    <w:rsid w:val="002A66AC"/>
    <w:rsid w:val="002A71F6"/>
    <w:rsid w:val="002A73D5"/>
    <w:rsid w:val="002A74FB"/>
    <w:rsid w:val="002A7513"/>
    <w:rsid w:val="002A7BC9"/>
    <w:rsid w:val="002B086A"/>
    <w:rsid w:val="002B3AEE"/>
    <w:rsid w:val="002B54EE"/>
    <w:rsid w:val="002B5F9C"/>
    <w:rsid w:val="002B76EF"/>
    <w:rsid w:val="002B7860"/>
    <w:rsid w:val="002B7CE9"/>
    <w:rsid w:val="002B7DF6"/>
    <w:rsid w:val="002C029D"/>
    <w:rsid w:val="002C1244"/>
    <w:rsid w:val="002C13B4"/>
    <w:rsid w:val="002C1B9B"/>
    <w:rsid w:val="002C1DDB"/>
    <w:rsid w:val="002C3076"/>
    <w:rsid w:val="002C3296"/>
    <w:rsid w:val="002C360C"/>
    <w:rsid w:val="002C40F6"/>
    <w:rsid w:val="002C6286"/>
    <w:rsid w:val="002D0CC8"/>
    <w:rsid w:val="002D358C"/>
    <w:rsid w:val="002D490F"/>
    <w:rsid w:val="002D4C63"/>
    <w:rsid w:val="002D4F35"/>
    <w:rsid w:val="002D5096"/>
    <w:rsid w:val="002D7357"/>
    <w:rsid w:val="002D7798"/>
    <w:rsid w:val="002E00EB"/>
    <w:rsid w:val="002E0112"/>
    <w:rsid w:val="002E22FA"/>
    <w:rsid w:val="002E243C"/>
    <w:rsid w:val="002E2635"/>
    <w:rsid w:val="002E326C"/>
    <w:rsid w:val="002E482B"/>
    <w:rsid w:val="002E53BB"/>
    <w:rsid w:val="002E6D36"/>
    <w:rsid w:val="002F050E"/>
    <w:rsid w:val="002F1AED"/>
    <w:rsid w:val="002F1FCF"/>
    <w:rsid w:val="002F3CEC"/>
    <w:rsid w:val="002F3FA0"/>
    <w:rsid w:val="002F419E"/>
    <w:rsid w:val="002F5B92"/>
    <w:rsid w:val="002F65FA"/>
    <w:rsid w:val="002F7896"/>
    <w:rsid w:val="00302FFB"/>
    <w:rsid w:val="00303369"/>
    <w:rsid w:val="003033F9"/>
    <w:rsid w:val="00303BD8"/>
    <w:rsid w:val="00304E70"/>
    <w:rsid w:val="003052D8"/>
    <w:rsid w:val="0030563C"/>
    <w:rsid w:val="00305AF7"/>
    <w:rsid w:val="00305D0E"/>
    <w:rsid w:val="00306643"/>
    <w:rsid w:val="003068E8"/>
    <w:rsid w:val="00306935"/>
    <w:rsid w:val="00306E6C"/>
    <w:rsid w:val="0030715D"/>
    <w:rsid w:val="00310E58"/>
    <w:rsid w:val="00311660"/>
    <w:rsid w:val="00312518"/>
    <w:rsid w:val="00312B3C"/>
    <w:rsid w:val="00312D2B"/>
    <w:rsid w:val="00313885"/>
    <w:rsid w:val="00315156"/>
    <w:rsid w:val="00316AAC"/>
    <w:rsid w:val="00317B18"/>
    <w:rsid w:val="00317D35"/>
    <w:rsid w:val="00320673"/>
    <w:rsid w:val="003210D7"/>
    <w:rsid w:val="00323C82"/>
    <w:rsid w:val="0032408D"/>
    <w:rsid w:val="003242AB"/>
    <w:rsid w:val="003251BB"/>
    <w:rsid w:val="0032545C"/>
    <w:rsid w:val="003256B2"/>
    <w:rsid w:val="00325895"/>
    <w:rsid w:val="003266B4"/>
    <w:rsid w:val="00326888"/>
    <w:rsid w:val="00326900"/>
    <w:rsid w:val="00326BDB"/>
    <w:rsid w:val="003270ED"/>
    <w:rsid w:val="003273F5"/>
    <w:rsid w:val="00331842"/>
    <w:rsid w:val="00333214"/>
    <w:rsid w:val="003359A3"/>
    <w:rsid w:val="00336377"/>
    <w:rsid w:val="00336966"/>
    <w:rsid w:val="003375FD"/>
    <w:rsid w:val="00337773"/>
    <w:rsid w:val="00340844"/>
    <w:rsid w:val="003408FF"/>
    <w:rsid w:val="00341034"/>
    <w:rsid w:val="0034273D"/>
    <w:rsid w:val="00343A13"/>
    <w:rsid w:val="00345EE2"/>
    <w:rsid w:val="00346E52"/>
    <w:rsid w:val="00350239"/>
    <w:rsid w:val="00350DF5"/>
    <w:rsid w:val="003513F5"/>
    <w:rsid w:val="00351BC8"/>
    <w:rsid w:val="00354115"/>
    <w:rsid w:val="003541E1"/>
    <w:rsid w:val="003547B4"/>
    <w:rsid w:val="003547BF"/>
    <w:rsid w:val="0035489E"/>
    <w:rsid w:val="00354977"/>
    <w:rsid w:val="00354F31"/>
    <w:rsid w:val="00355035"/>
    <w:rsid w:val="00355109"/>
    <w:rsid w:val="00355A14"/>
    <w:rsid w:val="00355EF1"/>
    <w:rsid w:val="00355F52"/>
    <w:rsid w:val="00356D14"/>
    <w:rsid w:val="003570B9"/>
    <w:rsid w:val="00357770"/>
    <w:rsid w:val="00361713"/>
    <w:rsid w:val="00362D3E"/>
    <w:rsid w:val="003631E6"/>
    <w:rsid w:val="0036364B"/>
    <w:rsid w:val="00363869"/>
    <w:rsid w:val="00363C13"/>
    <w:rsid w:val="00364E6A"/>
    <w:rsid w:val="00364F3E"/>
    <w:rsid w:val="00365127"/>
    <w:rsid w:val="00365485"/>
    <w:rsid w:val="0036694E"/>
    <w:rsid w:val="0036736B"/>
    <w:rsid w:val="00371990"/>
    <w:rsid w:val="00373036"/>
    <w:rsid w:val="0037417F"/>
    <w:rsid w:val="00374839"/>
    <w:rsid w:val="00375105"/>
    <w:rsid w:val="00375605"/>
    <w:rsid w:val="003756EE"/>
    <w:rsid w:val="00375BFF"/>
    <w:rsid w:val="00376362"/>
    <w:rsid w:val="00377695"/>
    <w:rsid w:val="00377C85"/>
    <w:rsid w:val="003801EB"/>
    <w:rsid w:val="0038094B"/>
    <w:rsid w:val="00381DF8"/>
    <w:rsid w:val="00382FBC"/>
    <w:rsid w:val="00383FA1"/>
    <w:rsid w:val="00384394"/>
    <w:rsid w:val="0038503A"/>
    <w:rsid w:val="003855AF"/>
    <w:rsid w:val="003856D5"/>
    <w:rsid w:val="003872CB"/>
    <w:rsid w:val="00390AC4"/>
    <w:rsid w:val="00391305"/>
    <w:rsid w:val="00391DEC"/>
    <w:rsid w:val="00392703"/>
    <w:rsid w:val="00392738"/>
    <w:rsid w:val="0039377D"/>
    <w:rsid w:val="00393B45"/>
    <w:rsid w:val="00393FCD"/>
    <w:rsid w:val="00394813"/>
    <w:rsid w:val="00396592"/>
    <w:rsid w:val="00397105"/>
    <w:rsid w:val="00397C01"/>
    <w:rsid w:val="003A0D72"/>
    <w:rsid w:val="003A24B6"/>
    <w:rsid w:val="003A309A"/>
    <w:rsid w:val="003A3B74"/>
    <w:rsid w:val="003A3BA4"/>
    <w:rsid w:val="003A40AF"/>
    <w:rsid w:val="003A5827"/>
    <w:rsid w:val="003A6AFA"/>
    <w:rsid w:val="003A7814"/>
    <w:rsid w:val="003B007F"/>
    <w:rsid w:val="003B051F"/>
    <w:rsid w:val="003B22D2"/>
    <w:rsid w:val="003B2A73"/>
    <w:rsid w:val="003B2EFE"/>
    <w:rsid w:val="003B303F"/>
    <w:rsid w:val="003B398C"/>
    <w:rsid w:val="003B500C"/>
    <w:rsid w:val="003B5EB0"/>
    <w:rsid w:val="003B69E2"/>
    <w:rsid w:val="003B6D8B"/>
    <w:rsid w:val="003B6FF3"/>
    <w:rsid w:val="003B712C"/>
    <w:rsid w:val="003B775F"/>
    <w:rsid w:val="003C0620"/>
    <w:rsid w:val="003C1696"/>
    <w:rsid w:val="003C1AFD"/>
    <w:rsid w:val="003C1F9C"/>
    <w:rsid w:val="003C2900"/>
    <w:rsid w:val="003C459B"/>
    <w:rsid w:val="003C47C5"/>
    <w:rsid w:val="003C6243"/>
    <w:rsid w:val="003C7353"/>
    <w:rsid w:val="003D0A68"/>
    <w:rsid w:val="003D0AE5"/>
    <w:rsid w:val="003D1AEC"/>
    <w:rsid w:val="003D2034"/>
    <w:rsid w:val="003D2585"/>
    <w:rsid w:val="003D29B2"/>
    <w:rsid w:val="003D413E"/>
    <w:rsid w:val="003D4277"/>
    <w:rsid w:val="003D4B4B"/>
    <w:rsid w:val="003D68A6"/>
    <w:rsid w:val="003D6901"/>
    <w:rsid w:val="003E0ECC"/>
    <w:rsid w:val="003E10DA"/>
    <w:rsid w:val="003E117E"/>
    <w:rsid w:val="003E2629"/>
    <w:rsid w:val="003E307B"/>
    <w:rsid w:val="003E3AED"/>
    <w:rsid w:val="003E4572"/>
    <w:rsid w:val="003E4A1D"/>
    <w:rsid w:val="003E6343"/>
    <w:rsid w:val="003E71CB"/>
    <w:rsid w:val="003E7347"/>
    <w:rsid w:val="003E7D86"/>
    <w:rsid w:val="003E7EAB"/>
    <w:rsid w:val="003F0679"/>
    <w:rsid w:val="003F3777"/>
    <w:rsid w:val="003F384A"/>
    <w:rsid w:val="003F3CC3"/>
    <w:rsid w:val="003F42F1"/>
    <w:rsid w:val="003F5D84"/>
    <w:rsid w:val="003F6483"/>
    <w:rsid w:val="003F67AA"/>
    <w:rsid w:val="003F67D6"/>
    <w:rsid w:val="003F68EF"/>
    <w:rsid w:val="003F6E6C"/>
    <w:rsid w:val="00401247"/>
    <w:rsid w:val="004014B2"/>
    <w:rsid w:val="00401B5D"/>
    <w:rsid w:val="00404CF7"/>
    <w:rsid w:val="00405A4C"/>
    <w:rsid w:val="00406D43"/>
    <w:rsid w:val="00406F76"/>
    <w:rsid w:val="0041065F"/>
    <w:rsid w:val="00410E4A"/>
    <w:rsid w:val="00411686"/>
    <w:rsid w:val="00411CBE"/>
    <w:rsid w:val="0041248D"/>
    <w:rsid w:val="00412CD0"/>
    <w:rsid w:val="00412D29"/>
    <w:rsid w:val="0041309A"/>
    <w:rsid w:val="00413AEB"/>
    <w:rsid w:val="00416A22"/>
    <w:rsid w:val="00417069"/>
    <w:rsid w:val="00417446"/>
    <w:rsid w:val="00417ACF"/>
    <w:rsid w:val="00417AF9"/>
    <w:rsid w:val="0042069E"/>
    <w:rsid w:val="00421FD6"/>
    <w:rsid w:val="00424A90"/>
    <w:rsid w:val="00425FD5"/>
    <w:rsid w:val="00426B82"/>
    <w:rsid w:val="00430776"/>
    <w:rsid w:val="004309E5"/>
    <w:rsid w:val="00431BBA"/>
    <w:rsid w:val="00432253"/>
    <w:rsid w:val="00432AF2"/>
    <w:rsid w:val="004335A5"/>
    <w:rsid w:val="004339A4"/>
    <w:rsid w:val="00434481"/>
    <w:rsid w:val="00434C88"/>
    <w:rsid w:val="00437F2C"/>
    <w:rsid w:val="00442310"/>
    <w:rsid w:val="00442498"/>
    <w:rsid w:val="004430B9"/>
    <w:rsid w:val="00444AD1"/>
    <w:rsid w:val="00444FEA"/>
    <w:rsid w:val="004456B1"/>
    <w:rsid w:val="0044614F"/>
    <w:rsid w:val="00446620"/>
    <w:rsid w:val="00447379"/>
    <w:rsid w:val="00450A99"/>
    <w:rsid w:val="0045149B"/>
    <w:rsid w:val="004516E5"/>
    <w:rsid w:val="00453108"/>
    <w:rsid w:val="004537C7"/>
    <w:rsid w:val="00454825"/>
    <w:rsid w:val="00454B38"/>
    <w:rsid w:val="00455B61"/>
    <w:rsid w:val="004561F4"/>
    <w:rsid w:val="00456DAA"/>
    <w:rsid w:val="004577D7"/>
    <w:rsid w:val="00460A11"/>
    <w:rsid w:val="00461192"/>
    <w:rsid w:val="004611BC"/>
    <w:rsid w:val="00461387"/>
    <w:rsid w:val="0046275E"/>
    <w:rsid w:val="004627BE"/>
    <w:rsid w:val="00462813"/>
    <w:rsid w:val="004629A2"/>
    <w:rsid w:val="004632B6"/>
    <w:rsid w:val="004640BF"/>
    <w:rsid w:val="00464922"/>
    <w:rsid w:val="004651E4"/>
    <w:rsid w:val="00465849"/>
    <w:rsid w:val="0046692F"/>
    <w:rsid w:val="00466DDF"/>
    <w:rsid w:val="0047059C"/>
    <w:rsid w:val="00470777"/>
    <w:rsid w:val="00471496"/>
    <w:rsid w:val="004714E0"/>
    <w:rsid w:val="0047155F"/>
    <w:rsid w:val="00471756"/>
    <w:rsid w:val="0047264F"/>
    <w:rsid w:val="00473BCB"/>
    <w:rsid w:val="004751E9"/>
    <w:rsid w:val="0047551A"/>
    <w:rsid w:val="00475DAB"/>
    <w:rsid w:val="00476447"/>
    <w:rsid w:val="00476BBA"/>
    <w:rsid w:val="00477C12"/>
    <w:rsid w:val="0048082F"/>
    <w:rsid w:val="0048159A"/>
    <w:rsid w:val="00481727"/>
    <w:rsid w:val="004829F3"/>
    <w:rsid w:val="00482EB0"/>
    <w:rsid w:val="00483438"/>
    <w:rsid w:val="0048397B"/>
    <w:rsid w:val="00484293"/>
    <w:rsid w:val="004842F9"/>
    <w:rsid w:val="004861DD"/>
    <w:rsid w:val="00486D99"/>
    <w:rsid w:val="004872D2"/>
    <w:rsid w:val="004872E6"/>
    <w:rsid w:val="00487AE6"/>
    <w:rsid w:val="0049073A"/>
    <w:rsid w:val="00490D90"/>
    <w:rsid w:val="00492DF3"/>
    <w:rsid w:val="00493CA9"/>
    <w:rsid w:val="00495669"/>
    <w:rsid w:val="00496338"/>
    <w:rsid w:val="0049644B"/>
    <w:rsid w:val="004968DB"/>
    <w:rsid w:val="00496FB5"/>
    <w:rsid w:val="004A0914"/>
    <w:rsid w:val="004A135B"/>
    <w:rsid w:val="004A142C"/>
    <w:rsid w:val="004A21B7"/>
    <w:rsid w:val="004A3D08"/>
    <w:rsid w:val="004A4172"/>
    <w:rsid w:val="004A518F"/>
    <w:rsid w:val="004A7B4F"/>
    <w:rsid w:val="004B1467"/>
    <w:rsid w:val="004B1C74"/>
    <w:rsid w:val="004B2070"/>
    <w:rsid w:val="004B231F"/>
    <w:rsid w:val="004B2BE1"/>
    <w:rsid w:val="004B698E"/>
    <w:rsid w:val="004B6B01"/>
    <w:rsid w:val="004B7428"/>
    <w:rsid w:val="004C07EA"/>
    <w:rsid w:val="004C0912"/>
    <w:rsid w:val="004C205B"/>
    <w:rsid w:val="004C2166"/>
    <w:rsid w:val="004C2A79"/>
    <w:rsid w:val="004C4C6E"/>
    <w:rsid w:val="004C5E44"/>
    <w:rsid w:val="004C740B"/>
    <w:rsid w:val="004C7A49"/>
    <w:rsid w:val="004D0F65"/>
    <w:rsid w:val="004D1B7F"/>
    <w:rsid w:val="004D1B93"/>
    <w:rsid w:val="004D2EB1"/>
    <w:rsid w:val="004D312A"/>
    <w:rsid w:val="004D447D"/>
    <w:rsid w:val="004D46B0"/>
    <w:rsid w:val="004D5801"/>
    <w:rsid w:val="004D620F"/>
    <w:rsid w:val="004D69E1"/>
    <w:rsid w:val="004D7335"/>
    <w:rsid w:val="004E24BD"/>
    <w:rsid w:val="004E31F8"/>
    <w:rsid w:val="004E3686"/>
    <w:rsid w:val="004E4791"/>
    <w:rsid w:val="004E47F8"/>
    <w:rsid w:val="004E5EE9"/>
    <w:rsid w:val="004E6F03"/>
    <w:rsid w:val="004E70E2"/>
    <w:rsid w:val="004E74F2"/>
    <w:rsid w:val="004E75A3"/>
    <w:rsid w:val="004E7B57"/>
    <w:rsid w:val="004F19D7"/>
    <w:rsid w:val="004F37C3"/>
    <w:rsid w:val="004F3F5B"/>
    <w:rsid w:val="004F4FF8"/>
    <w:rsid w:val="004F5452"/>
    <w:rsid w:val="004F5D06"/>
    <w:rsid w:val="004F5D91"/>
    <w:rsid w:val="004F6A58"/>
    <w:rsid w:val="004F7A13"/>
    <w:rsid w:val="00500B71"/>
    <w:rsid w:val="00500E5B"/>
    <w:rsid w:val="00501502"/>
    <w:rsid w:val="0050237B"/>
    <w:rsid w:val="0050245C"/>
    <w:rsid w:val="00503ED5"/>
    <w:rsid w:val="00505109"/>
    <w:rsid w:val="005076D4"/>
    <w:rsid w:val="005077F5"/>
    <w:rsid w:val="00511791"/>
    <w:rsid w:val="00512132"/>
    <w:rsid w:val="00513AE2"/>
    <w:rsid w:val="00513FFA"/>
    <w:rsid w:val="005148E1"/>
    <w:rsid w:val="00515109"/>
    <w:rsid w:val="00515C12"/>
    <w:rsid w:val="005165E2"/>
    <w:rsid w:val="005173B9"/>
    <w:rsid w:val="00520508"/>
    <w:rsid w:val="0052193B"/>
    <w:rsid w:val="0052209E"/>
    <w:rsid w:val="0052419C"/>
    <w:rsid w:val="00526FC2"/>
    <w:rsid w:val="00531E97"/>
    <w:rsid w:val="00531F96"/>
    <w:rsid w:val="00532001"/>
    <w:rsid w:val="00533C83"/>
    <w:rsid w:val="005344DF"/>
    <w:rsid w:val="00534CCA"/>
    <w:rsid w:val="005363AC"/>
    <w:rsid w:val="00536D39"/>
    <w:rsid w:val="0053776D"/>
    <w:rsid w:val="005419FD"/>
    <w:rsid w:val="005421D9"/>
    <w:rsid w:val="005423B7"/>
    <w:rsid w:val="005438F0"/>
    <w:rsid w:val="00543F18"/>
    <w:rsid w:val="005440E6"/>
    <w:rsid w:val="0054434E"/>
    <w:rsid w:val="0054446D"/>
    <w:rsid w:val="00545271"/>
    <w:rsid w:val="00546E67"/>
    <w:rsid w:val="00547875"/>
    <w:rsid w:val="00547A01"/>
    <w:rsid w:val="00550004"/>
    <w:rsid w:val="00551C2D"/>
    <w:rsid w:val="00552B67"/>
    <w:rsid w:val="00552FB8"/>
    <w:rsid w:val="00553675"/>
    <w:rsid w:val="00553D36"/>
    <w:rsid w:val="00553F17"/>
    <w:rsid w:val="0055400E"/>
    <w:rsid w:val="005546C2"/>
    <w:rsid w:val="00555469"/>
    <w:rsid w:val="00556687"/>
    <w:rsid w:val="0055675A"/>
    <w:rsid w:val="00560F27"/>
    <w:rsid w:val="00562710"/>
    <w:rsid w:val="00563B2A"/>
    <w:rsid w:val="00563F0E"/>
    <w:rsid w:val="00565528"/>
    <w:rsid w:val="00566775"/>
    <w:rsid w:val="005669D5"/>
    <w:rsid w:val="00566E9A"/>
    <w:rsid w:val="00567E4C"/>
    <w:rsid w:val="0057014B"/>
    <w:rsid w:val="00570477"/>
    <w:rsid w:val="00570681"/>
    <w:rsid w:val="00572AEC"/>
    <w:rsid w:val="00573182"/>
    <w:rsid w:val="00573305"/>
    <w:rsid w:val="0057440A"/>
    <w:rsid w:val="005749BB"/>
    <w:rsid w:val="00577F18"/>
    <w:rsid w:val="005817F7"/>
    <w:rsid w:val="005819FB"/>
    <w:rsid w:val="00581B47"/>
    <w:rsid w:val="005826AA"/>
    <w:rsid w:val="005835A7"/>
    <w:rsid w:val="005847A6"/>
    <w:rsid w:val="005847D5"/>
    <w:rsid w:val="00585675"/>
    <w:rsid w:val="00586275"/>
    <w:rsid w:val="00586290"/>
    <w:rsid w:val="005862D8"/>
    <w:rsid w:val="005862E7"/>
    <w:rsid w:val="00586416"/>
    <w:rsid w:val="00586ACB"/>
    <w:rsid w:val="005878FE"/>
    <w:rsid w:val="005907B3"/>
    <w:rsid w:val="00591BED"/>
    <w:rsid w:val="005924E5"/>
    <w:rsid w:val="005925CB"/>
    <w:rsid w:val="0059324E"/>
    <w:rsid w:val="00593DF3"/>
    <w:rsid w:val="00594720"/>
    <w:rsid w:val="00594A6B"/>
    <w:rsid w:val="00596615"/>
    <w:rsid w:val="005969BC"/>
    <w:rsid w:val="005969C1"/>
    <w:rsid w:val="005A16B5"/>
    <w:rsid w:val="005A1FB8"/>
    <w:rsid w:val="005A23AD"/>
    <w:rsid w:val="005A4020"/>
    <w:rsid w:val="005A573D"/>
    <w:rsid w:val="005A5C17"/>
    <w:rsid w:val="005A5C4D"/>
    <w:rsid w:val="005A7356"/>
    <w:rsid w:val="005B0BFF"/>
    <w:rsid w:val="005B1357"/>
    <w:rsid w:val="005B1693"/>
    <w:rsid w:val="005B1AF1"/>
    <w:rsid w:val="005B1B9C"/>
    <w:rsid w:val="005B2EE5"/>
    <w:rsid w:val="005B3503"/>
    <w:rsid w:val="005B51DB"/>
    <w:rsid w:val="005B5C45"/>
    <w:rsid w:val="005B5C5B"/>
    <w:rsid w:val="005B5DFD"/>
    <w:rsid w:val="005B6F8B"/>
    <w:rsid w:val="005C002F"/>
    <w:rsid w:val="005C087F"/>
    <w:rsid w:val="005C31E8"/>
    <w:rsid w:val="005C3739"/>
    <w:rsid w:val="005C3A63"/>
    <w:rsid w:val="005C3B0F"/>
    <w:rsid w:val="005C5E5B"/>
    <w:rsid w:val="005C684D"/>
    <w:rsid w:val="005C7234"/>
    <w:rsid w:val="005C77CA"/>
    <w:rsid w:val="005D04E2"/>
    <w:rsid w:val="005D1B54"/>
    <w:rsid w:val="005D233B"/>
    <w:rsid w:val="005D2433"/>
    <w:rsid w:val="005D3319"/>
    <w:rsid w:val="005D388B"/>
    <w:rsid w:val="005D5175"/>
    <w:rsid w:val="005D61F0"/>
    <w:rsid w:val="005D6F37"/>
    <w:rsid w:val="005D7145"/>
    <w:rsid w:val="005D7F24"/>
    <w:rsid w:val="005E0335"/>
    <w:rsid w:val="005E1357"/>
    <w:rsid w:val="005E1998"/>
    <w:rsid w:val="005E1FCB"/>
    <w:rsid w:val="005E24C6"/>
    <w:rsid w:val="005E284B"/>
    <w:rsid w:val="005E43B5"/>
    <w:rsid w:val="005E44CA"/>
    <w:rsid w:val="005E691A"/>
    <w:rsid w:val="005E730C"/>
    <w:rsid w:val="005E7519"/>
    <w:rsid w:val="005E78DA"/>
    <w:rsid w:val="005F008A"/>
    <w:rsid w:val="005F0DC2"/>
    <w:rsid w:val="005F2298"/>
    <w:rsid w:val="005F34F1"/>
    <w:rsid w:val="005F45D4"/>
    <w:rsid w:val="005F48C3"/>
    <w:rsid w:val="005F4CF8"/>
    <w:rsid w:val="005F535A"/>
    <w:rsid w:val="005F5BAB"/>
    <w:rsid w:val="005F65A7"/>
    <w:rsid w:val="005F68CD"/>
    <w:rsid w:val="005F6DA1"/>
    <w:rsid w:val="005F70B4"/>
    <w:rsid w:val="005F7DF4"/>
    <w:rsid w:val="00600AC1"/>
    <w:rsid w:val="006014B1"/>
    <w:rsid w:val="006039A1"/>
    <w:rsid w:val="00603F22"/>
    <w:rsid w:val="006062D7"/>
    <w:rsid w:val="00606D3D"/>
    <w:rsid w:val="00607785"/>
    <w:rsid w:val="00607B02"/>
    <w:rsid w:val="00611A46"/>
    <w:rsid w:val="006120EB"/>
    <w:rsid w:val="00612336"/>
    <w:rsid w:val="00614AFA"/>
    <w:rsid w:val="00615335"/>
    <w:rsid w:val="00616435"/>
    <w:rsid w:val="00616B57"/>
    <w:rsid w:val="00616DC0"/>
    <w:rsid w:val="00617758"/>
    <w:rsid w:val="0062164C"/>
    <w:rsid w:val="00622456"/>
    <w:rsid w:val="006229F1"/>
    <w:rsid w:val="006231D2"/>
    <w:rsid w:val="00623E03"/>
    <w:rsid w:val="00623E76"/>
    <w:rsid w:val="00624302"/>
    <w:rsid w:val="006249BF"/>
    <w:rsid w:val="0062543B"/>
    <w:rsid w:val="00625568"/>
    <w:rsid w:val="00632008"/>
    <w:rsid w:val="00632D3A"/>
    <w:rsid w:val="0063319A"/>
    <w:rsid w:val="00633243"/>
    <w:rsid w:val="006335AA"/>
    <w:rsid w:val="0063388E"/>
    <w:rsid w:val="00633B06"/>
    <w:rsid w:val="00633DC7"/>
    <w:rsid w:val="00635568"/>
    <w:rsid w:val="00635A53"/>
    <w:rsid w:val="00637CDE"/>
    <w:rsid w:val="00640AD7"/>
    <w:rsid w:val="00641544"/>
    <w:rsid w:val="0064173E"/>
    <w:rsid w:val="00641BE0"/>
    <w:rsid w:val="006420FC"/>
    <w:rsid w:val="00642FA0"/>
    <w:rsid w:val="00643EBB"/>
    <w:rsid w:val="006446AD"/>
    <w:rsid w:val="00644943"/>
    <w:rsid w:val="00644C62"/>
    <w:rsid w:val="00645532"/>
    <w:rsid w:val="00645ED4"/>
    <w:rsid w:val="00646D24"/>
    <w:rsid w:val="0064712E"/>
    <w:rsid w:val="006509BF"/>
    <w:rsid w:val="00650EC1"/>
    <w:rsid w:val="00653D46"/>
    <w:rsid w:val="00654BCF"/>
    <w:rsid w:val="0065556C"/>
    <w:rsid w:val="00656BF5"/>
    <w:rsid w:val="00657375"/>
    <w:rsid w:val="00657382"/>
    <w:rsid w:val="00657939"/>
    <w:rsid w:val="006613A7"/>
    <w:rsid w:val="00661C1C"/>
    <w:rsid w:val="00661FC2"/>
    <w:rsid w:val="006627F1"/>
    <w:rsid w:val="00662A14"/>
    <w:rsid w:val="00662C7B"/>
    <w:rsid w:val="0066509F"/>
    <w:rsid w:val="00666B49"/>
    <w:rsid w:val="006671EA"/>
    <w:rsid w:val="00670E15"/>
    <w:rsid w:val="00671126"/>
    <w:rsid w:val="0067420C"/>
    <w:rsid w:val="00675C7A"/>
    <w:rsid w:val="006764F7"/>
    <w:rsid w:val="006771AB"/>
    <w:rsid w:val="006776A8"/>
    <w:rsid w:val="006803EC"/>
    <w:rsid w:val="006825BE"/>
    <w:rsid w:val="00683AAE"/>
    <w:rsid w:val="00683B19"/>
    <w:rsid w:val="00684F03"/>
    <w:rsid w:val="006854E6"/>
    <w:rsid w:val="00686B4A"/>
    <w:rsid w:val="00686C3F"/>
    <w:rsid w:val="00686C68"/>
    <w:rsid w:val="00686F1D"/>
    <w:rsid w:val="0068771D"/>
    <w:rsid w:val="00687DF5"/>
    <w:rsid w:val="00690AFE"/>
    <w:rsid w:val="00691103"/>
    <w:rsid w:val="006916CE"/>
    <w:rsid w:val="00691CAA"/>
    <w:rsid w:val="0069227D"/>
    <w:rsid w:val="00692C17"/>
    <w:rsid w:val="00692C8D"/>
    <w:rsid w:val="0069331A"/>
    <w:rsid w:val="00694637"/>
    <w:rsid w:val="00694B46"/>
    <w:rsid w:val="00695DA9"/>
    <w:rsid w:val="006964CF"/>
    <w:rsid w:val="00696F23"/>
    <w:rsid w:val="00696FB8"/>
    <w:rsid w:val="0069774E"/>
    <w:rsid w:val="00697A8A"/>
    <w:rsid w:val="006A0638"/>
    <w:rsid w:val="006A18C7"/>
    <w:rsid w:val="006A1A0A"/>
    <w:rsid w:val="006A2272"/>
    <w:rsid w:val="006A2B60"/>
    <w:rsid w:val="006A2F32"/>
    <w:rsid w:val="006A4B39"/>
    <w:rsid w:val="006A543F"/>
    <w:rsid w:val="006A5875"/>
    <w:rsid w:val="006A5E78"/>
    <w:rsid w:val="006A6565"/>
    <w:rsid w:val="006A68DF"/>
    <w:rsid w:val="006A6C53"/>
    <w:rsid w:val="006B073F"/>
    <w:rsid w:val="006B1620"/>
    <w:rsid w:val="006B1F7E"/>
    <w:rsid w:val="006B2266"/>
    <w:rsid w:val="006B247C"/>
    <w:rsid w:val="006B24C4"/>
    <w:rsid w:val="006B3A1F"/>
    <w:rsid w:val="006B3A33"/>
    <w:rsid w:val="006B3DBD"/>
    <w:rsid w:val="006B40B8"/>
    <w:rsid w:val="006B54F6"/>
    <w:rsid w:val="006B59CC"/>
    <w:rsid w:val="006B5E22"/>
    <w:rsid w:val="006B6CDF"/>
    <w:rsid w:val="006B7792"/>
    <w:rsid w:val="006B79F3"/>
    <w:rsid w:val="006B7A65"/>
    <w:rsid w:val="006C0BEC"/>
    <w:rsid w:val="006C17F6"/>
    <w:rsid w:val="006C253E"/>
    <w:rsid w:val="006C4BF6"/>
    <w:rsid w:val="006C5044"/>
    <w:rsid w:val="006C5434"/>
    <w:rsid w:val="006C5C6E"/>
    <w:rsid w:val="006C680C"/>
    <w:rsid w:val="006C6CBC"/>
    <w:rsid w:val="006C6D45"/>
    <w:rsid w:val="006D0126"/>
    <w:rsid w:val="006D0635"/>
    <w:rsid w:val="006D1F1C"/>
    <w:rsid w:val="006D2397"/>
    <w:rsid w:val="006D2D17"/>
    <w:rsid w:val="006D3AE6"/>
    <w:rsid w:val="006D453F"/>
    <w:rsid w:val="006D5719"/>
    <w:rsid w:val="006D70D9"/>
    <w:rsid w:val="006D7FCC"/>
    <w:rsid w:val="006E00A3"/>
    <w:rsid w:val="006E0A5A"/>
    <w:rsid w:val="006E0B2D"/>
    <w:rsid w:val="006E0D30"/>
    <w:rsid w:val="006E1653"/>
    <w:rsid w:val="006E173A"/>
    <w:rsid w:val="006E2027"/>
    <w:rsid w:val="006E2458"/>
    <w:rsid w:val="006E24AC"/>
    <w:rsid w:val="006E282F"/>
    <w:rsid w:val="006E29A2"/>
    <w:rsid w:val="006E351F"/>
    <w:rsid w:val="006E3AAF"/>
    <w:rsid w:val="006E3CC9"/>
    <w:rsid w:val="006E4462"/>
    <w:rsid w:val="006E46B4"/>
    <w:rsid w:val="006E51FE"/>
    <w:rsid w:val="006E7FB7"/>
    <w:rsid w:val="006F0E93"/>
    <w:rsid w:val="006F16BC"/>
    <w:rsid w:val="006F1D07"/>
    <w:rsid w:val="006F1D7C"/>
    <w:rsid w:val="006F29B0"/>
    <w:rsid w:val="006F2F65"/>
    <w:rsid w:val="006F42DA"/>
    <w:rsid w:val="006F4CEB"/>
    <w:rsid w:val="006F5617"/>
    <w:rsid w:val="006F6002"/>
    <w:rsid w:val="006F60D7"/>
    <w:rsid w:val="006F67F1"/>
    <w:rsid w:val="006F7849"/>
    <w:rsid w:val="006F7FB7"/>
    <w:rsid w:val="00702D68"/>
    <w:rsid w:val="00702E17"/>
    <w:rsid w:val="00706509"/>
    <w:rsid w:val="00707362"/>
    <w:rsid w:val="00707670"/>
    <w:rsid w:val="00707802"/>
    <w:rsid w:val="00707948"/>
    <w:rsid w:val="00711A6C"/>
    <w:rsid w:val="00711B41"/>
    <w:rsid w:val="007125B2"/>
    <w:rsid w:val="00713042"/>
    <w:rsid w:val="00713A8B"/>
    <w:rsid w:val="00713CC5"/>
    <w:rsid w:val="0071558A"/>
    <w:rsid w:val="007177C6"/>
    <w:rsid w:val="00717A8D"/>
    <w:rsid w:val="007205BA"/>
    <w:rsid w:val="00720BF7"/>
    <w:rsid w:val="007212C9"/>
    <w:rsid w:val="007223B4"/>
    <w:rsid w:val="0072276F"/>
    <w:rsid w:val="00722F00"/>
    <w:rsid w:val="0072379B"/>
    <w:rsid w:val="00723C5D"/>
    <w:rsid w:val="00724C69"/>
    <w:rsid w:val="00725116"/>
    <w:rsid w:val="0072562C"/>
    <w:rsid w:val="007258BE"/>
    <w:rsid w:val="00726079"/>
    <w:rsid w:val="00726611"/>
    <w:rsid w:val="007301EE"/>
    <w:rsid w:val="00731200"/>
    <w:rsid w:val="00731492"/>
    <w:rsid w:val="00732095"/>
    <w:rsid w:val="007321AB"/>
    <w:rsid w:val="00733B6D"/>
    <w:rsid w:val="00734259"/>
    <w:rsid w:val="00734CCD"/>
    <w:rsid w:val="00734DD5"/>
    <w:rsid w:val="00735B4D"/>
    <w:rsid w:val="00735DC9"/>
    <w:rsid w:val="00735E7B"/>
    <w:rsid w:val="0073631D"/>
    <w:rsid w:val="0073656A"/>
    <w:rsid w:val="00737DA9"/>
    <w:rsid w:val="00742367"/>
    <w:rsid w:val="0074238E"/>
    <w:rsid w:val="00743241"/>
    <w:rsid w:val="0074382E"/>
    <w:rsid w:val="00743A13"/>
    <w:rsid w:val="00744980"/>
    <w:rsid w:val="00745A2F"/>
    <w:rsid w:val="00746AFC"/>
    <w:rsid w:val="00746F79"/>
    <w:rsid w:val="00750C11"/>
    <w:rsid w:val="00750D76"/>
    <w:rsid w:val="00750FF2"/>
    <w:rsid w:val="00751422"/>
    <w:rsid w:val="007514F2"/>
    <w:rsid w:val="007524BC"/>
    <w:rsid w:val="00752664"/>
    <w:rsid w:val="00752720"/>
    <w:rsid w:val="00752B25"/>
    <w:rsid w:val="007534AA"/>
    <w:rsid w:val="00753916"/>
    <w:rsid w:val="00754193"/>
    <w:rsid w:val="0075426E"/>
    <w:rsid w:val="007542D9"/>
    <w:rsid w:val="00754C5E"/>
    <w:rsid w:val="007550FE"/>
    <w:rsid w:val="0075529A"/>
    <w:rsid w:val="007573EA"/>
    <w:rsid w:val="00757754"/>
    <w:rsid w:val="007607E1"/>
    <w:rsid w:val="00760E68"/>
    <w:rsid w:val="007610F6"/>
    <w:rsid w:val="00761EC2"/>
    <w:rsid w:val="00761FE0"/>
    <w:rsid w:val="007625FC"/>
    <w:rsid w:val="007667BD"/>
    <w:rsid w:val="00766F8B"/>
    <w:rsid w:val="00766F99"/>
    <w:rsid w:val="0076742C"/>
    <w:rsid w:val="00767439"/>
    <w:rsid w:val="00767454"/>
    <w:rsid w:val="007703AC"/>
    <w:rsid w:val="007709E1"/>
    <w:rsid w:val="00771991"/>
    <w:rsid w:val="007737D5"/>
    <w:rsid w:val="00774887"/>
    <w:rsid w:val="007801FE"/>
    <w:rsid w:val="007808EF"/>
    <w:rsid w:val="007811CA"/>
    <w:rsid w:val="00782A02"/>
    <w:rsid w:val="0078493B"/>
    <w:rsid w:val="007852BE"/>
    <w:rsid w:val="00786111"/>
    <w:rsid w:val="00786D48"/>
    <w:rsid w:val="00786E02"/>
    <w:rsid w:val="00790A62"/>
    <w:rsid w:val="00790C9F"/>
    <w:rsid w:val="00791BF7"/>
    <w:rsid w:val="00792774"/>
    <w:rsid w:val="00792C76"/>
    <w:rsid w:val="00793E82"/>
    <w:rsid w:val="00795288"/>
    <w:rsid w:val="0079700D"/>
    <w:rsid w:val="00797BEE"/>
    <w:rsid w:val="007A0C97"/>
    <w:rsid w:val="007A0DCD"/>
    <w:rsid w:val="007A1F44"/>
    <w:rsid w:val="007A2561"/>
    <w:rsid w:val="007A268D"/>
    <w:rsid w:val="007A292D"/>
    <w:rsid w:val="007A2CFB"/>
    <w:rsid w:val="007A386A"/>
    <w:rsid w:val="007A3C31"/>
    <w:rsid w:val="007A3D38"/>
    <w:rsid w:val="007A4812"/>
    <w:rsid w:val="007A50DC"/>
    <w:rsid w:val="007B0A5D"/>
    <w:rsid w:val="007B118B"/>
    <w:rsid w:val="007B1ADB"/>
    <w:rsid w:val="007B1B1E"/>
    <w:rsid w:val="007B2178"/>
    <w:rsid w:val="007B2A39"/>
    <w:rsid w:val="007B2E9E"/>
    <w:rsid w:val="007B3AD2"/>
    <w:rsid w:val="007B3D56"/>
    <w:rsid w:val="007B412F"/>
    <w:rsid w:val="007B4373"/>
    <w:rsid w:val="007B5224"/>
    <w:rsid w:val="007B58DE"/>
    <w:rsid w:val="007B691B"/>
    <w:rsid w:val="007B6FA3"/>
    <w:rsid w:val="007B7846"/>
    <w:rsid w:val="007B7DA5"/>
    <w:rsid w:val="007B7FDB"/>
    <w:rsid w:val="007C028F"/>
    <w:rsid w:val="007C04FD"/>
    <w:rsid w:val="007C0EC1"/>
    <w:rsid w:val="007C111C"/>
    <w:rsid w:val="007C18C7"/>
    <w:rsid w:val="007C2EE0"/>
    <w:rsid w:val="007C3557"/>
    <w:rsid w:val="007C4141"/>
    <w:rsid w:val="007C6051"/>
    <w:rsid w:val="007C64DF"/>
    <w:rsid w:val="007C76BE"/>
    <w:rsid w:val="007C793E"/>
    <w:rsid w:val="007D00A0"/>
    <w:rsid w:val="007D038B"/>
    <w:rsid w:val="007D04BE"/>
    <w:rsid w:val="007D2495"/>
    <w:rsid w:val="007D24D6"/>
    <w:rsid w:val="007D54BE"/>
    <w:rsid w:val="007D5ECA"/>
    <w:rsid w:val="007D7452"/>
    <w:rsid w:val="007E062F"/>
    <w:rsid w:val="007E1BE6"/>
    <w:rsid w:val="007E1C25"/>
    <w:rsid w:val="007E1C54"/>
    <w:rsid w:val="007E292A"/>
    <w:rsid w:val="007E6D21"/>
    <w:rsid w:val="007F06BF"/>
    <w:rsid w:val="007F34F6"/>
    <w:rsid w:val="007F4353"/>
    <w:rsid w:val="007F4EE7"/>
    <w:rsid w:val="007F5476"/>
    <w:rsid w:val="007F563A"/>
    <w:rsid w:val="007F5AD5"/>
    <w:rsid w:val="007F7B3A"/>
    <w:rsid w:val="007F7D0E"/>
    <w:rsid w:val="008000FF"/>
    <w:rsid w:val="00801CE5"/>
    <w:rsid w:val="00802184"/>
    <w:rsid w:val="008036F2"/>
    <w:rsid w:val="00803822"/>
    <w:rsid w:val="0080460C"/>
    <w:rsid w:val="00804741"/>
    <w:rsid w:val="008049F1"/>
    <w:rsid w:val="0080726A"/>
    <w:rsid w:val="00807C08"/>
    <w:rsid w:val="00810B89"/>
    <w:rsid w:val="00811029"/>
    <w:rsid w:val="0081157B"/>
    <w:rsid w:val="00811E71"/>
    <w:rsid w:val="00812075"/>
    <w:rsid w:val="00812118"/>
    <w:rsid w:val="00812508"/>
    <w:rsid w:val="008127A9"/>
    <w:rsid w:val="00812CB9"/>
    <w:rsid w:val="008132DB"/>
    <w:rsid w:val="0081383F"/>
    <w:rsid w:val="00813C61"/>
    <w:rsid w:val="008141E5"/>
    <w:rsid w:val="00814DFD"/>
    <w:rsid w:val="00814FDE"/>
    <w:rsid w:val="00816443"/>
    <w:rsid w:val="00816E27"/>
    <w:rsid w:val="008200E7"/>
    <w:rsid w:val="00820FE6"/>
    <w:rsid w:val="008221CA"/>
    <w:rsid w:val="00822E80"/>
    <w:rsid w:val="008251FB"/>
    <w:rsid w:val="0082637C"/>
    <w:rsid w:val="00826440"/>
    <w:rsid w:val="00826F5C"/>
    <w:rsid w:val="00827ED5"/>
    <w:rsid w:val="008307AB"/>
    <w:rsid w:val="00830D6A"/>
    <w:rsid w:val="008310D4"/>
    <w:rsid w:val="008316F7"/>
    <w:rsid w:val="00835D32"/>
    <w:rsid w:val="0083600B"/>
    <w:rsid w:val="00837483"/>
    <w:rsid w:val="00837AA8"/>
    <w:rsid w:val="0084027A"/>
    <w:rsid w:val="008412D8"/>
    <w:rsid w:val="00841781"/>
    <w:rsid w:val="00843D52"/>
    <w:rsid w:val="00843E89"/>
    <w:rsid w:val="008447B0"/>
    <w:rsid w:val="0084649B"/>
    <w:rsid w:val="0084684B"/>
    <w:rsid w:val="00847956"/>
    <w:rsid w:val="0085014A"/>
    <w:rsid w:val="008505C9"/>
    <w:rsid w:val="008517DC"/>
    <w:rsid w:val="00851F99"/>
    <w:rsid w:val="00853540"/>
    <w:rsid w:val="00853D2F"/>
    <w:rsid w:val="008544F9"/>
    <w:rsid w:val="00855360"/>
    <w:rsid w:val="00855DD9"/>
    <w:rsid w:val="00855EA4"/>
    <w:rsid w:val="00857BC7"/>
    <w:rsid w:val="00861213"/>
    <w:rsid w:val="00862100"/>
    <w:rsid w:val="00863160"/>
    <w:rsid w:val="0086392A"/>
    <w:rsid w:val="0086400E"/>
    <w:rsid w:val="00864668"/>
    <w:rsid w:val="008646C0"/>
    <w:rsid w:val="0086577E"/>
    <w:rsid w:val="00866877"/>
    <w:rsid w:val="008673E5"/>
    <w:rsid w:val="008702ED"/>
    <w:rsid w:val="00870FC2"/>
    <w:rsid w:val="00871487"/>
    <w:rsid w:val="00872BC2"/>
    <w:rsid w:val="0087504E"/>
    <w:rsid w:val="00875165"/>
    <w:rsid w:val="008765F5"/>
    <w:rsid w:val="00877525"/>
    <w:rsid w:val="00877BC5"/>
    <w:rsid w:val="00880217"/>
    <w:rsid w:val="00880DC4"/>
    <w:rsid w:val="0088140E"/>
    <w:rsid w:val="00881B16"/>
    <w:rsid w:val="00881C84"/>
    <w:rsid w:val="00884BA3"/>
    <w:rsid w:val="00885A9B"/>
    <w:rsid w:val="008861A3"/>
    <w:rsid w:val="00886912"/>
    <w:rsid w:val="00887936"/>
    <w:rsid w:val="008879DB"/>
    <w:rsid w:val="00887E9E"/>
    <w:rsid w:val="00890829"/>
    <w:rsid w:val="00890F33"/>
    <w:rsid w:val="00892803"/>
    <w:rsid w:val="00892A67"/>
    <w:rsid w:val="00892F82"/>
    <w:rsid w:val="00892FF0"/>
    <w:rsid w:val="00893A94"/>
    <w:rsid w:val="00893DEB"/>
    <w:rsid w:val="00894133"/>
    <w:rsid w:val="00895C22"/>
    <w:rsid w:val="0089643D"/>
    <w:rsid w:val="008968FB"/>
    <w:rsid w:val="00896D8A"/>
    <w:rsid w:val="008A0F9A"/>
    <w:rsid w:val="008A1000"/>
    <w:rsid w:val="008A194C"/>
    <w:rsid w:val="008A1C27"/>
    <w:rsid w:val="008A1FBF"/>
    <w:rsid w:val="008A21B2"/>
    <w:rsid w:val="008A2AAC"/>
    <w:rsid w:val="008A41A7"/>
    <w:rsid w:val="008A4A73"/>
    <w:rsid w:val="008A4B72"/>
    <w:rsid w:val="008A5404"/>
    <w:rsid w:val="008A699F"/>
    <w:rsid w:val="008A6E22"/>
    <w:rsid w:val="008B14A2"/>
    <w:rsid w:val="008B18DC"/>
    <w:rsid w:val="008B2BBF"/>
    <w:rsid w:val="008B2D73"/>
    <w:rsid w:val="008B35E0"/>
    <w:rsid w:val="008B466E"/>
    <w:rsid w:val="008B49DB"/>
    <w:rsid w:val="008B5330"/>
    <w:rsid w:val="008B5E3D"/>
    <w:rsid w:val="008B7145"/>
    <w:rsid w:val="008C0328"/>
    <w:rsid w:val="008C09F3"/>
    <w:rsid w:val="008C0D04"/>
    <w:rsid w:val="008C1951"/>
    <w:rsid w:val="008C1F03"/>
    <w:rsid w:val="008C2293"/>
    <w:rsid w:val="008C290A"/>
    <w:rsid w:val="008C5C77"/>
    <w:rsid w:val="008C74C8"/>
    <w:rsid w:val="008C7820"/>
    <w:rsid w:val="008D0F4E"/>
    <w:rsid w:val="008D2B33"/>
    <w:rsid w:val="008D2E24"/>
    <w:rsid w:val="008D3D1D"/>
    <w:rsid w:val="008D4F01"/>
    <w:rsid w:val="008D5297"/>
    <w:rsid w:val="008D5E28"/>
    <w:rsid w:val="008D67C2"/>
    <w:rsid w:val="008D7363"/>
    <w:rsid w:val="008D7ACD"/>
    <w:rsid w:val="008E2023"/>
    <w:rsid w:val="008E2DC1"/>
    <w:rsid w:val="008E34C9"/>
    <w:rsid w:val="008E374D"/>
    <w:rsid w:val="008E37FB"/>
    <w:rsid w:val="008E3C92"/>
    <w:rsid w:val="008E462A"/>
    <w:rsid w:val="008E6475"/>
    <w:rsid w:val="008E71BA"/>
    <w:rsid w:val="008E753F"/>
    <w:rsid w:val="008E761A"/>
    <w:rsid w:val="008F1EE6"/>
    <w:rsid w:val="008F21EB"/>
    <w:rsid w:val="008F2884"/>
    <w:rsid w:val="008F35C3"/>
    <w:rsid w:val="008F4578"/>
    <w:rsid w:val="008F479C"/>
    <w:rsid w:val="008F523C"/>
    <w:rsid w:val="008F5779"/>
    <w:rsid w:val="008F59B9"/>
    <w:rsid w:val="008F6073"/>
    <w:rsid w:val="008F60B3"/>
    <w:rsid w:val="008F62EF"/>
    <w:rsid w:val="008F76DD"/>
    <w:rsid w:val="00900E1B"/>
    <w:rsid w:val="00901C36"/>
    <w:rsid w:val="00901D55"/>
    <w:rsid w:val="00902176"/>
    <w:rsid w:val="00902502"/>
    <w:rsid w:val="009026DB"/>
    <w:rsid w:val="0090345E"/>
    <w:rsid w:val="00903C49"/>
    <w:rsid w:val="00903E68"/>
    <w:rsid w:val="00903FF1"/>
    <w:rsid w:val="00904952"/>
    <w:rsid w:val="00904961"/>
    <w:rsid w:val="00904A4E"/>
    <w:rsid w:val="009057C5"/>
    <w:rsid w:val="009077C3"/>
    <w:rsid w:val="009104E8"/>
    <w:rsid w:val="00910C48"/>
    <w:rsid w:val="009121C4"/>
    <w:rsid w:val="00913284"/>
    <w:rsid w:val="00914D5A"/>
    <w:rsid w:val="00915A62"/>
    <w:rsid w:val="00917613"/>
    <w:rsid w:val="00917A9D"/>
    <w:rsid w:val="009219FF"/>
    <w:rsid w:val="009220AB"/>
    <w:rsid w:val="00922565"/>
    <w:rsid w:val="00922CA5"/>
    <w:rsid w:val="00923E1C"/>
    <w:rsid w:val="00925519"/>
    <w:rsid w:val="009256A7"/>
    <w:rsid w:val="00926165"/>
    <w:rsid w:val="009262A3"/>
    <w:rsid w:val="00927BEF"/>
    <w:rsid w:val="00931161"/>
    <w:rsid w:val="00931929"/>
    <w:rsid w:val="00931E82"/>
    <w:rsid w:val="00932E58"/>
    <w:rsid w:val="00933000"/>
    <w:rsid w:val="00933E9A"/>
    <w:rsid w:val="00934345"/>
    <w:rsid w:val="00934838"/>
    <w:rsid w:val="009351A9"/>
    <w:rsid w:val="00935AE6"/>
    <w:rsid w:val="00935CEA"/>
    <w:rsid w:val="00936253"/>
    <w:rsid w:val="009362E4"/>
    <w:rsid w:val="009367FC"/>
    <w:rsid w:val="00940537"/>
    <w:rsid w:val="009409D2"/>
    <w:rsid w:val="00940C69"/>
    <w:rsid w:val="00941A62"/>
    <w:rsid w:val="00942E45"/>
    <w:rsid w:val="00943A32"/>
    <w:rsid w:val="0094416C"/>
    <w:rsid w:val="00944A50"/>
    <w:rsid w:val="00944A54"/>
    <w:rsid w:val="00944EA4"/>
    <w:rsid w:val="0094540C"/>
    <w:rsid w:val="00946267"/>
    <w:rsid w:val="009463AB"/>
    <w:rsid w:val="0094688D"/>
    <w:rsid w:val="00946A38"/>
    <w:rsid w:val="00946B71"/>
    <w:rsid w:val="00946BA8"/>
    <w:rsid w:val="00946FB4"/>
    <w:rsid w:val="00950388"/>
    <w:rsid w:val="0095107C"/>
    <w:rsid w:val="009511CB"/>
    <w:rsid w:val="00956312"/>
    <w:rsid w:val="009569AE"/>
    <w:rsid w:val="00957BD2"/>
    <w:rsid w:val="00960AC4"/>
    <w:rsid w:val="00960D54"/>
    <w:rsid w:val="00961654"/>
    <w:rsid w:val="009617F6"/>
    <w:rsid w:val="00962446"/>
    <w:rsid w:val="00962563"/>
    <w:rsid w:val="00962598"/>
    <w:rsid w:val="009634E4"/>
    <w:rsid w:val="00963648"/>
    <w:rsid w:val="00963ABE"/>
    <w:rsid w:val="00964692"/>
    <w:rsid w:val="009656A6"/>
    <w:rsid w:val="00966D83"/>
    <w:rsid w:val="0097009C"/>
    <w:rsid w:val="0097052B"/>
    <w:rsid w:val="009707CE"/>
    <w:rsid w:val="00970C3D"/>
    <w:rsid w:val="009727FF"/>
    <w:rsid w:val="00972872"/>
    <w:rsid w:val="00972891"/>
    <w:rsid w:val="00974637"/>
    <w:rsid w:val="009749DF"/>
    <w:rsid w:val="0097558B"/>
    <w:rsid w:val="0097762E"/>
    <w:rsid w:val="00977A0E"/>
    <w:rsid w:val="00977CD4"/>
    <w:rsid w:val="00980701"/>
    <w:rsid w:val="0098078A"/>
    <w:rsid w:val="00980BE2"/>
    <w:rsid w:val="00981001"/>
    <w:rsid w:val="00981AD7"/>
    <w:rsid w:val="009825FA"/>
    <w:rsid w:val="00982DC9"/>
    <w:rsid w:val="00983166"/>
    <w:rsid w:val="00983CCD"/>
    <w:rsid w:val="009862A7"/>
    <w:rsid w:val="00986AE2"/>
    <w:rsid w:val="00986B31"/>
    <w:rsid w:val="00987712"/>
    <w:rsid w:val="00990D82"/>
    <w:rsid w:val="00991100"/>
    <w:rsid w:val="0099124D"/>
    <w:rsid w:val="00991472"/>
    <w:rsid w:val="009917C5"/>
    <w:rsid w:val="00991FAD"/>
    <w:rsid w:val="00992DC9"/>
    <w:rsid w:val="00993E9E"/>
    <w:rsid w:val="0099454A"/>
    <w:rsid w:val="00994CBB"/>
    <w:rsid w:val="00995433"/>
    <w:rsid w:val="009956D6"/>
    <w:rsid w:val="00995DF9"/>
    <w:rsid w:val="009A14A0"/>
    <w:rsid w:val="009A2340"/>
    <w:rsid w:val="009A23D7"/>
    <w:rsid w:val="009A2CEE"/>
    <w:rsid w:val="009A3D84"/>
    <w:rsid w:val="009A5BC2"/>
    <w:rsid w:val="009A671B"/>
    <w:rsid w:val="009A75BE"/>
    <w:rsid w:val="009A7875"/>
    <w:rsid w:val="009A78E3"/>
    <w:rsid w:val="009A7B14"/>
    <w:rsid w:val="009A7B21"/>
    <w:rsid w:val="009B2436"/>
    <w:rsid w:val="009B28DB"/>
    <w:rsid w:val="009B39DC"/>
    <w:rsid w:val="009B3AF6"/>
    <w:rsid w:val="009B3C45"/>
    <w:rsid w:val="009B54BB"/>
    <w:rsid w:val="009B63FE"/>
    <w:rsid w:val="009B645D"/>
    <w:rsid w:val="009B6499"/>
    <w:rsid w:val="009C0F0F"/>
    <w:rsid w:val="009C1084"/>
    <w:rsid w:val="009C11DE"/>
    <w:rsid w:val="009C28DA"/>
    <w:rsid w:val="009C3503"/>
    <w:rsid w:val="009C46EB"/>
    <w:rsid w:val="009C7094"/>
    <w:rsid w:val="009D0564"/>
    <w:rsid w:val="009D1ABC"/>
    <w:rsid w:val="009D2A64"/>
    <w:rsid w:val="009D357B"/>
    <w:rsid w:val="009D40C4"/>
    <w:rsid w:val="009D470B"/>
    <w:rsid w:val="009D4DB5"/>
    <w:rsid w:val="009D50D1"/>
    <w:rsid w:val="009D5484"/>
    <w:rsid w:val="009D61D4"/>
    <w:rsid w:val="009D62E0"/>
    <w:rsid w:val="009D7ED3"/>
    <w:rsid w:val="009E0281"/>
    <w:rsid w:val="009E161E"/>
    <w:rsid w:val="009E2817"/>
    <w:rsid w:val="009E3B91"/>
    <w:rsid w:val="009E5B77"/>
    <w:rsid w:val="009E6FBE"/>
    <w:rsid w:val="009F1A57"/>
    <w:rsid w:val="009F2901"/>
    <w:rsid w:val="009F2B29"/>
    <w:rsid w:val="009F3092"/>
    <w:rsid w:val="009F3317"/>
    <w:rsid w:val="009F3491"/>
    <w:rsid w:val="009F612B"/>
    <w:rsid w:val="009F67B9"/>
    <w:rsid w:val="009F7DCE"/>
    <w:rsid w:val="009F7E0C"/>
    <w:rsid w:val="009F7F00"/>
    <w:rsid w:val="00A0032C"/>
    <w:rsid w:val="00A00A2B"/>
    <w:rsid w:val="00A01B2E"/>
    <w:rsid w:val="00A02A1E"/>
    <w:rsid w:val="00A02EC8"/>
    <w:rsid w:val="00A02F5C"/>
    <w:rsid w:val="00A03266"/>
    <w:rsid w:val="00A05B5E"/>
    <w:rsid w:val="00A0669E"/>
    <w:rsid w:val="00A06AAB"/>
    <w:rsid w:val="00A06E6C"/>
    <w:rsid w:val="00A06EB9"/>
    <w:rsid w:val="00A06FA0"/>
    <w:rsid w:val="00A070AE"/>
    <w:rsid w:val="00A0712C"/>
    <w:rsid w:val="00A07735"/>
    <w:rsid w:val="00A07D87"/>
    <w:rsid w:val="00A100A3"/>
    <w:rsid w:val="00A10362"/>
    <w:rsid w:val="00A11474"/>
    <w:rsid w:val="00A11535"/>
    <w:rsid w:val="00A11EAE"/>
    <w:rsid w:val="00A1285A"/>
    <w:rsid w:val="00A13BAE"/>
    <w:rsid w:val="00A13BC8"/>
    <w:rsid w:val="00A14997"/>
    <w:rsid w:val="00A1798A"/>
    <w:rsid w:val="00A213B9"/>
    <w:rsid w:val="00A2197F"/>
    <w:rsid w:val="00A23DF2"/>
    <w:rsid w:val="00A24A47"/>
    <w:rsid w:val="00A26FEA"/>
    <w:rsid w:val="00A272F3"/>
    <w:rsid w:val="00A30203"/>
    <w:rsid w:val="00A30255"/>
    <w:rsid w:val="00A307D5"/>
    <w:rsid w:val="00A308B6"/>
    <w:rsid w:val="00A31EC4"/>
    <w:rsid w:val="00A3329C"/>
    <w:rsid w:val="00A33E27"/>
    <w:rsid w:val="00A33F5B"/>
    <w:rsid w:val="00A3403D"/>
    <w:rsid w:val="00A34178"/>
    <w:rsid w:val="00A34AD2"/>
    <w:rsid w:val="00A3556D"/>
    <w:rsid w:val="00A35F1A"/>
    <w:rsid w:val="00A378AE"/>
    <w:rsid w:val="00A37CAC"/>
    <w:rsid w:val="00A41441"/>
    <w:rsid w:val="00A4259B"/>
    <w:rsid w:val="00A437B6"/>
    <w:rsid w:val="00A43888"/>
    <w:rsid w:val="00A43F69"/>
    <w:rsid w:val="00A44B71"/>
    <w:rsid w:val="00A46D5B"/>
    <w:rsid w:val="00A46D8C"/>
    <w:rsid w:val="00A47038"/>
    <w:rsid w:val="00A50090"/>
    <w:rsid w:val="00A50497"/>
    <w:rsid w:val="00A50957"/>
    <w:rsid w:val="00A50F7B"/>
    <w:rsid w:val="00A51952"/>
    <w:rsid w:val="00A520CD"/>
    <w:rsid w:val="00A537CE"/>
    <w:rsid w:val="00A541A7"/>
    <w:rsid w:val="00A54DF8"/>
    <w:rsid w:val="00A54F1F"/>
    <w:rsid w:val="00A61A72"/>
    <w:rsid w:val="00A61F04"/>
    <w:rsid w:val="00A626C6"/>
    <w:rsid w:val="00A62E70"/>
    <w:rsid w:val="00A6357E"/>
    <w:rsid w:val="00A643D0"/>
    <w:rsid w:val="00A64580"/>
    <w:rsid w:val="00A646B8"/>
    <w:rsid w:val="00A67557"/>
    <w:rsid w:val="00A70A69"/>
    <w:rsid w:val="00A733EF"/>
    <w:rsid w:val="00A73B3F"/>
    <w:rsid w:val="00A75007"/>
    <w:rsid w:val="00A7523A"/>
    <w:rsid w:val="00A76654"/>
    <w:rsid w:val="00A77F33"/>
    <w:rsid w:val="00A81BEC"/>
    <w:rsid w:val="00A81F95"/>
    <w:rsid w:val="00A82575"/>
    <w:rsid w:val="00A826F4"/>
    <w:rsid w:val="00A831C6"/>
    <w:rsid w:val="00A83316"/>
    <w:rsid w:val="00A84265"/>
    <w:rsid w:val="00A85D08"/>
    <w:rsid w:val="00A85DD0"/>
    <w:rsid w:val="00A865E9"/>
    <w:rsid w:val="00A86DE8"/>
    <w:rsid w:val="00A8717F"/>
    <w:rsid w:val="00A87514"/>
    <w:rsid w:val="00A90F30"/>
    <w:rsid w:val="00A92DAF"/>
    <w:rsid w:val="00A93687"/>
    <w:rsid w:val="00A945EE"/>
    <w:rsid w:val="00A94913"/>
    <w:rsid w:val="00A94D58"/>
    <w:rsid w:val="00A951C9"/>
    <w:rsid w:val="00A95609"/>
    <w:rsid w:val="00A97C51"/>
    <w:rsid w:val="00AA041C"/>
    <w:rsid w:val="00AA0D7C"/>
    <w:rsid w:val="00AA1C1A"/>
    <w:rsid w:val="00AA25E3"/>
    <w:rsid w:val="00AA3269"/>
    <w:rsid w:val="00AA32E3"/>
    <w:rsid w:val="00AA5154"/>
    <w:rsid w:val="00AB17B5"/>
    <w:rsid w:val="00AB1C68"/>
    <w:rsid w:val="00AB40F7"/>
    <w:rsid w:val="00AB4435"/>
    <w:rsid w:val="00AB5E75"/>
    <w:rsid w:val="00AB7B9F"/>
    <w:rsid w:val="00AC050D"/>
    <w:rsid w:val="00AC0E67"/>
    <w:rsid w:val="00AC1B6F"/>
    <w:rsid w:val="00AC1F4D"/>
    <w:rsid w:val="00AC23AB"/>
    <w:rsid w:val="00AC3B90"/>
    <w:rsid w:val="00AC3F9F"/>
    <w:rsid w:val="00AC45F4"/>
    <w:rsid w:val="00AC512E"/>
    <w:rsid w:val="00AC5D48"/>
    <w:rsid w:val="00AC6234"/>
    <w:rsid w:val="00AC7A3B"/>
    <w:rsid w:val="00AD081E"/>
    <w:rsid w:val="00AD11CF"/>
    <w:rsid w:val="00AD1A1A"/>
    <w:rsid w:val="00AD3244"/>
    <w:rsid w:val="00AD3500"/>
    <w:rsid w:val="00AD3616"/>
    <w:rsid w:val="00AD3A7E"/>
    <w:rsid w:val="00AD3E8C"/>
    <w:rsid w:val="00AD55E2"/>
    <w:rsid w:val="00AD658C"/>
    <w:rsid w:val="00AD741F"/>
    <w:rsid w:val="00AD75B0"/>
    <w:rsid w:val="00AE09B1"/>
    <w:rsid w:val="00AE0F51"/>
    <w:rsid w:val="00AE10F9"/>
    <w:rsid w:val="00AE110E"/>
    <w:rsid w:val="00AE11A1"/>
    <w:rsid w:val="00AE2928"/>
    <w:rsid w:val="00AE4263"/>
    <w:rsid w:val="00AE43C6"/>
    <w:rsid w:val="00AE493D"/>
    <w:rsid w:val="00AE5089"/>
    <w:rsid w:val="00AE51AD"/>
    <w:rsid w:val="00AE5B19"/>
    <w:rsid w:val="00AE5D54"/>
    <w:rsid w:val="00AE5D86"/>
    <w:rsid w:val="00AE721F"/>
    <w:rsid w:val="00AE75E1"/>
    <w:rsid w:val="00AF071E"/>
    <w:rsid w:val="00AF0B5A"/>
    <w:rsid w:val="00AF1C94"/>
    <w:rsid w:val="00AF4063"/>
    <w:rsid w:val="00AF53CF"/>
    <w:rsid w:val="00AF69A8"/>
    <w:rsid w:val="00B00CC5"/>
    <w:rsid w:val="00B0100B"/>
    <w:rsid w:val="00B01622"/>
    <w:rsid w:val="00B023B0"/>
    <w:rsid w:val="00B02408"/>
    <w:rsid w:val="00B0280B"/>
    <w:rsid w:val="00B02EF9"/>
    <w:rsid w:val="00B03143"/>
    <w:rsid w:val="00B03C8C"/>
    <w:rsid w:val="00B043CE"/>
    <w:rsid w:val="00B04FC1"/>
    <w:rsid w:val="00B05CFD"/>
    <w:rsid w:val="00B06479"/>
    <w:rsid w:val="00B06AC8"/>
    <w:rsid w:val="00B06ED6"/>
    <w:rsid w:val="00B0721C"/>
    <w:rsid w:val="00B074AF"/>
    <w:rsid w:val="00B1020B"/>
    <w:rsid w:val="00B11741"/>
    <w:rsid w:val="00B11F64"/>
    <w:rsid w:val="00B121CF"/>
    <w:rsid w:val="00B1301B"/>
    <w:rsid w:val="00B137D6"/>
    <w:rsid w:val="00B14FE4"/>
    <w:rsid w:val="00B1500A"/>
    <w:rsid w:val="00B15099"/>
    <w:rsid w:val="00B151CF"/>
    <w:rsid w:val="00B16CFF"/>
    <w:rsid w:val="00B17113"/>
    <w:rsid w:val="00B20056"/>
    <w:rsid w:val="00B200BD"/>
    <w:rsid w:val="00B2046E"/>
    <w:rsid w:val="00B20D73"/>
    <w:rsid w:val="00B2111A"/>
    <w:rsid w:val="00B21310"/>
    <w:rsid w:val="00B21FF3"/>
    <w:rsid w:val="00B22B85"/>
    <w:rsid w:val="00B23134"/>
    <w:rsid w:val="00B2381A"/>
    <w:rsid w:val="00B23D2C"/>
    <w:rsid w:val="00B23D74"/>
    <w:rsid w:val="00B23EDC"/>
    <w:rsid w:val="00B240C3"/>
    <w:rsid w:val="00B24448"/>
    <w:rsid w:val="00B24796"/>
    <w:rsid w:val="00B249D9"/>
    <w:rsid w:val="00B24E68"/>
    <w:rsid w:val="00B25A54"/>
    <w:rsid w:val="00B265A1"/>
    <w:rsid w:val="00B27D06"/>
    <w:rsid w:val="00B30BFD"/>
    <w:rsid w:val="00B30F48"/>
    <w:rsid w:val="00B32231"/>
    <w:rsid w:val="00B3249E"/>
    <w:rsid w:val="00B3347B"/>
    <w:rsid w:val="00B34AD0"/>
    <w:rsid w:val="00B3579D"/>
    <w:rsid w:val="00B41A61"/>
    <w:rsid w:val="00B41D1E"/>
    <w:rsid w:val="00B42321"/>
    <w:rsid w:val="00B425E9"/>
    <w:rsid w:val="00B42ABA"/>
    <w:rsid w:val="00B431DD"/>
    <w:rsid w:val="00B433E2"/>
    <w:rsid w:val="00B43661"/>
    <w:rsid w:val="00B450E2"/>
    <w:rsid w:val="00B45380"/>
    <w:rsid w:val="00B45B3C"/>
    <w:rsid w:val="00B471E6"/>
    <w:rsid w:val="00B5029D"/>
    <w:rsid w:val="00B5101A"/>
    <w:rsid w:val="00B52DD3"/>
    <w:rsid w:val="00B54BAE"/>
    <w:rsid w:val="00B56E62"/>
    <w:rsid w:val="00B578D5"/>
    <w:rsid w:val="00B57AF4"/>
    <w:rsid w:val="00B60469"/>
    <w:rsid w:val="00B605C2"/>
    <w:rsid w:val="00B60923"/>
    <w:rsid w:val="00B60D12"/>
    <w:rsid w:val="00B612BF"/>
    <w:rsid w:val="00B61469"/>
    <w:rsid w:val="00B61668"/>
    <w:rsid w:val="00B61EDB"/>
    <w:rsid w:val="00B64FA2"/>
    <w:rsid w:val="00B65029"/>
    <w:rsid w:val="00B66105"/>
    <w:rsid w:val="00B66439"/>
    <w:rsid w:val="00B66CA4"/>
    <w:rsid w:val="00B673A2"/>
    <w:rsid w:val="00B67836"/>
    <w:rsid w:val="00B70BA6"/>
    <w:rsid w:val="00B71032"/>
    <w:rsid w:val="00B714E3"/>
    <w:rsid w:val="00B72E46"/>
    <w:rsid w:val="00B7500F"/>
    <w:rsid w:val="00B76D4A"/>
    <w:rsid w:val="00B77419"/>
    <w:rsid w:val="00B774D6"/>
    <w:rsid w:val="00B77617"/>
    <w:rsid w:val="00B77640"/>
    <w:rsid w:val="00B779B9"/>
    <w:rsid w:val="00B802F0"/>
    <w:rsid w:val="00B80636"/>
    <w:rsid w:val="00B81881"/>
    <w:rsid w:val="00B822D8"/>
    <w:rsid w:val="00B82D3F"/>
    <w:rsid w:val="00B836E3"/>
    <w:rsid w:val="00B83EBD"/>
    <w:rsid w:val="00B8436B"/>
    <w:rsid w:val="00B850AF"/>
    <w:rsid w:val="00B859EB"/>
    <w:rsid w:val="00B85D41"/>
    <w:rsid w:val="00B8626B"/>
    <w:rsid w:val="00B86440"/>
    <w:rsid w:val="00B86536"/>
    <w:rsid w:val="00B90173"/>
    <w:rsid w:val="00B9140E"/>
    <w:rsid w:val="00B930C2"/>
    <w:rsid w:val="00B93A51"/>
    <w:rsid w:val="00B93F79"/>
    <w:rsid w:val="00B94D5B"/>
    <w:rsid w:val="00B952AB"/>
    <w:rsid w:val="00B9769C"/>
    <w:rsid w:val="00BA1085"/>
    <w:rsid w:val="00BA2E9F"/>
    <w:rsid w:val="00BA31B9"/>
    <w:rsid w:val="00BA3482"/>
    <w:rsid w:val="00BA355B"/>
    <w:rsid w:val="00BA3890"/>
    <w:rsid w:val="00BA38C0"/>
    <w:rsid w:val="00BA3A19"/>
    <w:rsid w:val="00BA3ABD"/>
    <w:rsid w:val="00BA3D11"/>
    <w:rsid w:val="00BA40C1"/>
    <w:rsid w:val="00BA433B"/>
    <w:rsid w:val="00BA52E7"/>
    <w:rsid w:val="00BA5727"/>
    <w:rsid w:val="00BA5EFA"/>
    <w:rsid w:val="00BA6EF4"/>
    <w:rsid w:val="00BA7402"/>
    <w:rsid w:val="00BB0D73"/>
    <w:rsid w:val="00BB15DB"/>
    <w:rsid w:val="00BB1A58"/>
    <w:rsid w:val="00BB3B28"/>
    <w:rsid w:val="00BB4D78"/>
    <w:rsid w:val="00BB5DFC"/>
    <w:rsid w:val="00BB791B"/>
    <w:rsid w:val="00BC177F"/>
    <w:rsid w:val="00BC2A15"/>
    <w:rsid w:val="00BC3410"/>
    <w:rsid w:val="00BC4E6B"/>
    <w:rsid w:val="00BC718E"/>
    <w:rsid w:val="00BD1F39"/>
    <w:rsid w:val="00BD2B94"/>
    <w:rsid w:val="00BD2E8E"/>
    <w:rsid w:val="00BD3B26"/>
    <w:rsid w:val="00BD3B31"/>
    <w:rsid w:val="00BD66AA"/>
    <w:rsid w:val="00BD682C"/>
    <w:rsid w:val="00BD6B0C"/>
    <w:rsid w:val="00BD7132"/>
    <w:rsid w:val="00BE4284"/>
    <w:rsid w:val="00BE4E8B"/>
    <w:rsid w:val="00BE563A"/>
    <w:rsid w:val="00BE5C3E"/>
    <w:rsid w:val="00BE624C"/>
    <w:rsid w:val="00BE6CF3"/>
    <w:rsid w:val="00BF05A4"/>
    <w:rsid w:val="00BF2AB7"/>
    <w:rsid w:val="00BF3A65"/>
    <w:rsid w:val="00BF3BDE"/>
    <w:rsid w:val="00BF3C8A"/>
    <w:rsid w:val="00BF542F"/>
    <w:rsid w:val="00BF5948"/>
    <w:rsid w:val="00BF6A0C"/>
    <w:rsid w:val="00BF6B6F"/>
    <w:rsid w:val="00BF7C19"/>
    <w:rsid w:val="00C00022"/>
    <w:rsid w:val="00C000FF"/>
    <w:rsid w:val="00C01582"/>
    <w:rsid w:val="00C02F51"/>
    <w:rsid w:val="00C0341B"/>
    <w:rsid w:val="00C0352B"/>
    <w:rsid w:val="00C0400E"/>
    <w:rsid w:val="00C04DB7"/>
    <w:rsid w:val="00C06BA1"/>
    <w:rsid w:val="00C136AA"/>
    <w:rsid w:val="00C13742"/>
    <w:rsid w:val="00C13765"/>
    <w:rsid w:val="00C15656"/>
    <w:rsid w:val="00C15729"/>
    <w:rsid w:val="00C15B80"/>
    <w:rsid w:val="00C16F1F"/>
    <w:rsid w:val="00C17A45"/>
    <w:rsid w:val="00C17F20"/>
    <w:rsid w:val="00C20DBA"/>
    <w:rsid w:val="00C21259"/>
    <w:rsid w:val="00C22028"/>
    <w:rsid w:val="00C2323B"/>
    <w:rsid w:val="00C236AF"/>
    <w:rsid w:val="00C23C98"/>
    <w:rsid w:val="00C25551"/>
    <w:rsid w:val="00C25A5E"/>
    <w:rsid w:val="00C26F6A"/>
    <w:rsid w:val="00C271DD"/>
    <w:rsid w:val="00C30053"/>
    <w:rsid w:val="00C31133"/>
    <w:rsid w:val="00C31CB6"/>
    <w:rsid w:val="00C32399"/>
    <w:rsid w:val="00C32E3F"/>
    <w:rsid w:val="00C33AC4"/>
    <w:rsid w:val="00C34729"/>
    <w:rsid w:val="00C3516F"/>
    <w:rsid w:val="00C35544"/>
    <w:rsid w:val="00C37444"/>
    <w:rsid w:val="00C376C8"/>
    <w:rsid w:val="00C377FD"/>
    <w:rsid w:val="00C37947"/>
    <w:rsid w:val="00C433FE"/>
    <w:rsid w:val="00C43C42"/>
    <w:rsid w:val="00C44794"/>
    <w:rsid w:val="00C44983"/>
    <w:rsid w:val="00C44AE2"/>
    <w:rsid w:val="00C45F62"/>
    <w:rsid w:val="00C46093"/>
    <w:rsid w:val="00C46283"/>
    <w:rsid w:val="00C47EC7"/>
    <w:rsid w:val="00C50CF9"/>
    <w:rsid w:val="00C51185"/>
    <w:rsid w:val="00C5144D"/>
    <w:rsid w:val="00C52178"/>
    <w:rsid w:val="00C542B7"/>
    <w:rsid w:val="00C54E53"/>
    <w:rsid w:val="00C55486"/>
    <w:rsid w:val="00C564B1"/>
    <w:rsid w:val="00C564B3"/>
    <w:rsid w:val="00C56CAF"/>
    <w:rsid w:val="00C56DCD"/>
    <w:rsid w:val="00C57384"/>
    <w:rsid w:val="00C609E7"/>
    <w:rsid w:val="00C62CDA"/>
    <w:rsid w:val="00C62F28"/>
    <w:rsid w:val="00C62FB9"/>
    <w:rsid w:val="00C632EF"/>
    <w:rsid w:val="00C6410E"/>
    <w:rsid w:val="00C6532B"/>
    <w:rsid w:val="00C65524"/>
    <w:rsid w:val="00C67653"/>
    <w:rsid w:val="00C70F29"/>
    <w:rsid w:val="00C712E8"/>
    <w:rsid w:val="00C719E9"/>
    <w:rsid w:val="00C71F43"/>
    <w:rsid w:val="00C721D4"/>
    <w:rsid w:val="00C72DBF"/>
    <w:rsid w:val="00C72F38"/>
    <w:rsid w:val="00C73634"/>
    <w:rsid w:val="00C74E33"/>
    <w:rsid w:val="00C757AC"/>
    <w:rsid w:val="00C75E7D"/>
    <w:rsid w:val="00C76BB5"/>
    <w:rsid w:val="00C77194"/>
    <w:rsid w:val="00C77316"/>
    <w:rsid w:val="00C7758F"/>
    <w:rsid w:val="00C77AAD"/>
    <w:rsid w:val="00C8054E"/>
    <w:rsid w:val="00C809B0"/>
    <w:rsid w:val="00C80E3E"/>
    <w:rsid w:val="00C82EFF"/>
    <w:rsid w:val="00C83564"/>
    <w:rsid w:val="00C84C90"/>
    <w:rsid w:val="00C84D3E"/>
    <w:rsid w:val="00C850A6"/>
    <w:rsid w:val="00C85389"/>
    <w:rsid w:val="00C85AE1"/>
    <w:rsid w:val="00C85C80"/>
    <w:rsid w:val="00C86002"/>
    <w:rsid w:val="00C86076"/>
    <w:rsid w:val="00C86675"/>
    <w:rsid w:val="00C8676B"/>
    <w:rsid w:val="00C8679A"/>
    <w:rsid w:val="00C868D2"/>
    <w:rsid w:val="00C87E67"/>
    <w:rsid w:val="00C911BB"/>
    <w:rsid w:val="00C918EA"/>
    <w:rsid w:val="00C919DD"/>
    <w:rsid w:val="00C92F49"/>
    <w:rsid w:val="00C93BE9"/>
    <w:rsid w:val="00C94AFF"/>
    <w:rsid w:val="00C94B9D"/>
    <w:rsid w:val="00C96161"/>
    <w:rsid w:val="00C96A6E"/>
    <w:rsid w:val="00C973F6"/>
    <w:rsid w:val="00C9790E"/>
    <w:rsid w:val="00CA0998"/>
    <w:rsid w:val="00CA0D37"/>
    <w:rsid w:val="00CA1264"/>
    <w:rsid w:val="00CA1DD5"/>
    <w:rsid w:val="00CA3691"/>
    <w:rsid w:val="00CA3B45"/>
    <w:rsid w:val="00CA777A"/>
    <w:rsid w:val="00CA7CC8"/>
    <w:rsid w:val="00CB0805"/>
    <w:rsid w:val="00CB0C3B"/>
    <w:rsid w:val="00CB19FB"/>
    <w:rsid w:val="00CB28CA"/>
    <w:rsid w:val="00CB2AED"/>
    <w:rsid w:val="00CB394D"/>
    <w:rsid w:val="00CB3950"/>
    <w:rsid w:val="00CB41C7"/>
    <w:rsid w:val="00CB6221"/>
    <w:rsid w:val="00CB76BC"/>
    <w:rsid w:val="00CB7DEC"/>
    <w:rsid w:val="00CC083E"/>
    <w:rsid w:val="00CC1ADE"/>
    <w:rsid w:val="00CC2844"/>
    <w:rsid w:val="00CC2C01"/>
    <w:rsid w:val="00CC33EE"/>
    <w:rsid w:val="00CC37A0"/>
    <w:rsid w:val="00CC38B3"/>
    <w:rsid w:val="00CC3CFC"/>
    <w:rsid w:val="00CC6609"/>
    <w:rsid w:val="00CC73F8"/>
    <w:rsid w:val="00CD0854"/>
    <w:rsid w:val="00CD085C"/>
    <w:rsid w:val="00CD12D5"/>
    <w:rsid w:val="00CD1F9A"/>
    <w:rsid w:val="00CD1FB0"/>
    <w:rsid w:val="00CD503B"/>
    <w:rsid w:val="00CD54E2"/>
    <w:rsid w:val="00CD5768"/>
    <w:rsid w:val="00CD666E"/>
    <w:rsid w:val="00CD725D"/>
    <w:rsid w:val="00CE07B4"/>
    <w:rsid w:val="00CE455C"/>
    <w:rsid w:val="00CE6DAD"/>
    <w:rsid w:val="00CF0D65"/>
    <w:rsid w:val="00CF1B43"/>
    <w:rsid w:val="00CF2F94"/>
    <w:rsid w:val="00CF36EC"/>
    <w:rsid w:val="00CF48C7"/>
    <w:rsid w:val="00CF4EAE"/>
    <w:rsid w:val="00CF66E3"/>
    <w:rsid w:val="00CF6A37"/>
    <w:rsid w:val="00CF7324"/>
    <w:rsid w:val="00D00D3E"/>
    <w:rsid w:val="00D015BC"/>
    <w:rsid w:val="00D01864"/>
    <w:rsid w:val="00D0246D"/>
    <w:rsid w:val="00D03E4E"/>
    <w:rsid w:val="00D05723"/>
    <w:rsid w:val="00D05775"/>
    <w:rsid w:val="00D07970"/>
    <w:rsid w:val="00D07A1E"/>
    <w:rsid w:val="00D10106"/>
    <w:rsid w:val="00D10AA3"/>
    <w:rsid w:val="00D1109D"/>
    <w:rsid w:val="00D12440"/>
    <w:rsid w:val="00D12810"/>
    <w:rsid w:val="00D12A4A"/>
    <w:rsid w:val="00D12EA3"/>
    <w:rsid w:val="00D13EA9"/>
    <w:rsid w:val="00D165D9"/>
    <w:rsid w:val="00D16C9B"/>
    <w:rsid w:val="00D16E6B"/>
    <w:rsid w:val="00D172CF"/>
    <w:rsid w:val="00D17C01"/>
    <w:rsid w:val="00D200B3"/>
    <w:rsid w:val="00D218CC"/>
    <w:rsid w:val="00D22EFC"/>
    <w:rsid w:val="00D234B5"/>
    <w:rsid w:val="00D24271"/>
    <w:rsid w:val="00D246E3"/>
    <w:rsid w:val="00D24BC2"/>
    <w:rsid w:val="00D25321"/>
    <w:rsid w:val="00D26896"/>
    <w:rsid w:val="00D27355"/>
    <w:rsid w:val="00D27701"/>
    <w:rsid w:val="00D303B6"/>
    <w:rsid w:val="00D3095C"/>
    <w:rsid w:val="00D334B2"/>
    <w:rsid w:val="00D338B0"/>
    <w:rsid w:val="00D33FBD"/>
    <w:rsid w:val="00D348EB"/>
    <w:rsid w:val="00D35273"/>
    <w:rsid w:val="00D37255"/>
    <w:rsid w:val="00D375AA"/>
    <w:rsid w:val="00D40014"/>
    <w:rsid w:val="00D43E35"/>
    <w:rsid w:val="00D449B7"/>
    <w:rsid w:val="00D473E7"/>
    <w:rsid w:val="00D47675"/>
    <w:rsid w:val="00D47724"/>
    <w:rsid w:val="00D47FAF"/>
    <w:rsid w:val="00D50574"/>
    <w:rsid w:val="00D50647"/>
    <w:rsid w:val="00D51D53"/>
    <w:rsid w:val="00D541F2"/>
    <w:rsid w:val="00D5469E"/>
    <w:rsid w:val="00D55928"/>
    <w:rsid w:val="00D56531"/>
    <w:rsid w:val="00D57705"/>
    <w:rsid w:val="00D5775F"/>
    <w:rsid w:val="00D60087"/>
    <w:rsid w:val="00D6030A"/>
    <w:rsid w:val="00D60EAF"/>
    <w:rsid w:val="00D61C73"/>
    <w:rsid w:val="00D61FA1"/>
    <w:rsid w:val="00D62E1C"/>
    <w:rsid w:val="00D630C7"/>
    <w:rsid w:val="00D638B6"/>
    <w:rsid w:val="00D63AAA"/>
    <w:rsid w:val="00D64476"/>
    <w:rsid w:val="00D6467D"/>
    <w:rsid w:val="00D677F2"/>
    <w:rsid w:val="00D703CF"/>
    <w:rsid w:val="00D71314"/>
    <w:rsid w:val="00D71984"/>
    <w:rsid w:val="00D72597"/>
    <w:rsid w:val="00D72EF4"/>
    <w:rsid w:val="00D733E2"/>
    <w:rsid w:val="00D74540"/>
    <w:rsid w:val="00D75BB3"/>
    <w:rsid w:val="00D774E6"/>
    <w:rsid w:val="00D777DA"/>
    <w:rsid w:val="00D824A6"/>
    <w:rsid w:val="00D82A44"/>
    <w:rsid w:val="00D83EA3"/>
    <w:rsid w:val="00D84C21"/>
    <w:rsid w:val="00D85CC8"/>
    <w:rsid w:val="00D864C7"/>
    <w:rsid w:val="00D90B75"/>
    <w:rsid w:val="00D91558"/>
    <w:rsid w:val="00D9328A"/>
    <w:rsid w:val="00D93383"/>
    <w:rsid w:val="00D93E1B"/>
    <w:rsid w:val="00D95628"/>
    <w:rsid w:val="00D97FD7"/>
    <w:rsid w:val="00DA06B6"/>
    <w:rsid w:val="00DA0A56"/>
    <w:rsid w:val="00DA2899"/>
    <w:rsid w:val="00DA3E89"/>
    <w:rsid w:val="00DA44F8"/>
    <w:rsid w:val="00DA45FC"/>
    <w:rsid w:val="00DA5DB3"/>
    <w:rsid w:val="00DA62CD"/>
    <w:rsid w:val="00DA79E2"/>
    <w:rsid w:val="00DB049D"/>
    <w:rsid w:val="00DB2A47"/>
    <w:rsid w:val="00DB2BB4"/>
    <w:rsid w:val="00DB38EE"/>
    <w:rsid w:val="00DB3A3C"/>
    <w:rsid w:val="00DB4D05"/>
    <w:rsid w:val="00DB6AE6"/>
    <w:rsid w:val="00DB7598"/>
    <w:rsid w:val="00DB78E2"/>
    <w:rsid w:val="00DC0E28"/>
    <w:rsid w:val="00DC15B9"/>
    <w:rsid w:val="00DC3302"/>
    <w:rsid w:val="00DC4305"/>
    <w:rsid w:val="00DC47B2"/>
    <w:rsid w:val="00DC6FBC"/>
    <w:rsid w:val="00DD03FF"/>
    <w:rsid w:val="00DD1700"/>
    <w:rsid w:val="00DD3ADA"/>
    <w:rsid w:val="00DD3BA5"/>
    <w:rsid w:val="00DD4091"/>
    <w:rsid w:val="00DD50A0"/>
    <w:rsid w:val="00DD50D0"/>
    <w:rsid w:val="00DD7127"/>
    <w:rsid w:val="00DD7FEC"/>
    <w:rsid w:val="00DE1A92"/>
    <w:rsid w:val="00DE2CF9"/>
    <w:rsid w:val="00DE308B"/>
    <w:rsid w:val="00DE547D"/>
    <w:rsid w:val="00DE6D86"/>
    <w:rsid w:val="00DE6F00"/>
    <w:rsid w:val="00DF02E6"/>
    <w:rsid w:val="00DF05D9"/>
    <w:rsid w:val="00DF06E2"/>
    <w:rsid w:val="00DF0708"/>
    <w:rsid w:val="00DF0FE8"/>
    <w:rsid w:val="00DF1523"/>
    <w:rsid w:val="00DF159D"/>
    <w:rsid w:val="00DF235E"/>
    <w:rsid w:val="00DF24DA"/>
    <w:rsid w:val="00DF256F"/>
    <w:rsid w:val="00DF461A"/>
    <w:rsid w:val="00DF505B"/>
    <w:rsid w:val="00DF532B"/>
    <w:rsid w:val="00DF5880"/>
    <w:rsid w:val="00DF5E1E"/>
    <w:rsid w:val="00DF6638"/>
    <w:rsid w:val="00DF6E5D"/>
    <w:rsid w:val="00DF7112"/>
    <w:rsid w:val="00DF7889"/>
    <w:rsid w:val="00E00583"/>
    <w:rsid w:val="00E00A12"/>
    <w:rsid w:val="00E00FF5"/>
    <w:rsid w:val="00E0296D"/>
    <w:rsid w:val="00E029B7"/>
    <w:rsid w:val="00E0385C"/>
    <w:rsid w:val="00E03E64"/>
    <w:rsid w:val="00E03E6B"/>
    <w:rsid w:val="00E06B71"/>
    <w:rsid w:val="00E10134"/>
    <w:rsid w:val="00E1194D"/>
    <w:rsid w:val="00E11D93"/>
    <w:rsid w:val="00E11EBE"/>
    <w:rsid w:val="00E123C9"/>
    <w:rsid w:val="00E12CC6"/>
    <w:rsid w:val="00E1315D"/>
    <w:rsid w:val="00E1372A"/>
    <w:rsid w:val="00E1392F"/>
    <w:rsid w:val="00E13DE6"/>
    <w:rsid w:val="00E13EC6"/>
    <w:rsid w:val="00E1498E"/>
    <w:rsid w:val="00E14F7E"/>
    <w:rsid w:val="00E157B9"/>
    <w:rsid w:val="00E1586F"/>
    <w:rsid w:val="00E16428"/>
    <w:rsid w:val="00E16BF4"/>
    <w:rsid w:val="00E16EE9"/>
    <w:rsid w:val="00E1748E"/>
    <w:rsid w:val="00E17E9A"/>
    <w:rsid w:val="00E209D1"/>
    <w:rsid w:val="00E21190"/>
    <w:rsid w:val="00E218E1"/>
    <w:rsid w:val="00E22623"/>
    <w:rsid w:val="00E22626"/>
    <w:rsid w:val="00E229CF"/>
    <w:rsid w:val="00E24332"/>
    <w:rsid w:val="00E24B19"/>
    <w:rsid w:val="00E251B4"/>
    <w:rsid w:val="00E271CD"/>
    <w:rsid w:val="00E27F52"/>
    <w:rsid w:val="00E301C8"/>
    <w:rsid w:val="00E302B4"/>
    <w:rsid w:val="00E327DC"/>
    <w:rsid w:val="00E331AF"/>
    <w:rsid w:val="00E35A57"/>
    <w:rsid w:val="00E35BC7"/>
    <w:rsid w:val="00E36157"/>
    <w:rsid w:val="00E36230"/>
    <w:rsid w:val="00E3793A"/>
    <w:rsid w:val="00E4143E"/>
    <w:rsid w:val="00E417AF"/>
    <w:rsid w:val="00E42345"/>
    <w:rsid w:val="00E42960"/>
    <w:rsid w:val="00E42A4F"/>
    <w:rsid w:val="00E42B1B"/>
    <w:rsid w:val="00E42D63"/>
    <w:rsid w:val="00E43E87"/>
    <w:rsid w:val="00E4476C"/>
    <w:rsid w:val="00E45D4E"/>
    <w:rsid w:val="00E463A6"/>
    <w:rsid w:val="00E469E8"/>
    <w:rsid w:val="00E46BC7"/>
    <w:rsid w:val="00E4764D"/>
    <w:rsid w:val="00E47BC2"/>
    <w:rsid w:val="00E47C41"/>
    <w:rsid w:val="00E510E6"/>
    <w:rsid w:val="00E54203"/>
    <w:rsid w:val="00E543AB"/>
    <w:rsid w:val="00E543BA"/>
    <w:rsid w:val="00E56243"/>
    <w:rsid w:val="00E606FF"/>
    <w:rsid w:val="00E6245B"/>
    <w:rsid w:val="00E63034"/>
    <w:rsid w:val="00E63214"/>
    <w:rsid w:val="00E63526"/>
    <w:rsid w:val="00E636E5"/>
    <w:rsid w:val="00E63FAC"/>
    <w:rsid w:val="00E65E81"/>
    <w:rsid w:val="00E65EC9"/>
    <w:rsid w:val="00E66692"/>
    <w:rsid w:val="00E67276"/>
    <w:rsid w:val="00E67713"/>
    <w:rsid w:val="00E67DFA"/>
    <w:rsid w:val="00E705AE"/>
    <w:rsid w:val="00E71118"/>
    <w:rsid w:val="00E714B7"/>
    <w:rsid w:val="00E72272"/>
    <w:rsid w:val="00E72512"/>
    <w:rsid w:val="00E7281D"/>
    <w:rsid w:val="00E74933"/>
    <w:rsid w:val="00E75F37"/>
    <w:rsid w:val="00E76B9F"/>
    <w:rsid w:val="00E76C58"/>
    <w:rsid w:val="00E770E8"/>
    <w:rsid w:val="00E80C0F"/>
    <w:rsid w:val="00E81724"/>
    <w:rsid w:val="00E83F2D"/>
    <w:rsid w:val="00E85807"/>
    <w:rsid w:val="00E86BD9"/>
    <w:rsid w:val="00E90800"/>
    <w:rsid w:val="00E90E80"/>
    <w:rsid w:val="00E91129"/>
    <w:rsid w:val="00E94085"/>
    <w:rsid w:val="00E95072"/>
    <w:rsid w:val="00E952C9"/>
    <w:rsid w:val="00E96AB8"/>
    <w:rsid w:val="00E970FC"/>
    <w:rsid w:val="00E97146"/>
    <w:rsid w:val="00EA1877"/>
    <w:rsid w:val="00EA211C"/>
    <w:rsid w:val="00EA27A2"/>
    <w:rsid w:val="00EA2851"/>
    <w:rsid w:val="00EA417C"/>
    <w:rsid w:val="00EA4301"/>
    <w:rsid w:val="00EA44C5"/>
    <w:rsid w:val="00EA48C6"/>
    <w:rsid w:val="00EA5B58"/>
    <w:rsid w:val="00EA6189"/>
    <w:rsid w:val="00EA67AD"/>
    <w:rsid w:val="00EA6FD7"/>
    <w:rsid w:val="00EB002E"/>
    <w:rsid w:val="00EB02C5"/>
    <w:rsid w:val="00EB0C83"/>
    <w:rsid w:val="00EB25FE"/>
    <w:rsid w:val="00EB27D9"/>
    <w:rsid w:val="00EB27EB"/>
    <w:rsid w:val="00EB3586"/>
    <w:rsid w:val="00EB36D8"/>
    <w:rsid w:val="00EB63D3"/>
    <w:rsid w:val="00EC037D"/>
    <w:rsid w:val="00EC0509"/>
    <w:rsid w:val="00EC112B"/>
    <w:rsid w:val="00EC120E"/>
    <w:rsid w:val="00EC1FED"/>
    <w:rsid w:val="00EC28F3"/>
    <w:rsid w:val="00EC2A40"/>
    <w:rsid w:val="00EC2FB7"/>
    <w:rsid w:val="00EC4044"/>
    <w:rsid w:val="00EC5735"/>
    <w:rsid w:val="00EC5C0B"/>
    <w:rsid w:val="00EC5E4E"/>
    <w:rsid w:val="00EC62BD"/>
    <w:rsid w:val="00EC6328"/>
    <w:rsid w:val="00EC656C"/>
    <w:rsid w:val="00EC65F2"/>
    <w:rsid w:val="00EC77C1"/>
    <w:rsid w:val="00EC79A2"/>
    <w:rsid w:val="00EC7BB8"/>
    <w:rsid w:val="00EC7C2D"/>
    <w:rsid w:val="00ED13CA"/>
    <w:rsid w:val="00ED1CFD"/>
    <w:rsid w:val="00ED1F62"/>
    <w:rsid w:val="00ED3843"/>
    <w:rsid w:val="00ED4952"/>
    <w:rsid w:val="00ED57E4"/>
    <w:rsid w:val="00ED7DE6"/>
    <w:rsid w:val="00EE0164"/>
    <w:rsid w:val="00EE0821"/>
    <w:rsid w:val="00EE0FD8"/>
    <w:rsid w:val="00EE230F"/>
    <w:rsid w:val="00EE2C3F"/>
    <w:rsid w:val="00EE4950"/>
    <w:rsid w:val="00EE6304"/>
    <w:rsid w:val="00EE6D67"/>
    <w:rsid w:val="00EE71B7"/>
    <w:rsid w:val="00EF02B0"/>
    <w:rsid w:val="00EF1AAC"/>
    <w:rsid w:val="00EF3C2A"/>
    <w:rsid w:val="00EF4C62"/>
    <w:rsid w:val="00EF4ED7"/>
    <w:rsid w:val="00EF5BC7"/>
    <w:rsid w:val="00EF638A"/>
    <w:rsid w:val="00EF69A5"/>
    <w:rsid w:val="00EF6B14"/>
    <w:rsid w:val="00EF6FE8"/>
    <w:rsid w:val="00EF775A"/>
    <w:rsid w:val="00F021DA"/>
    <w:rsid w:val="00F032AE"/>
    <w:rsid w:val="00F0348A"/>
    <w:rsid w:val="00F03A0D"/>
    <w:rsid w:val="00F06042"/>
    <w:rsid w:val="00F06C7F"/>
    <w:rsid w:val="00F10E38"/>
    <w:rsid w:val="00F11541"/>
    <w:rsid w:val="00F118DD"/>
    <w:rsid w:val="00F129AA"/>
    <w:rsid w:val="00F13F5D"/>
    <w:rsid w:val="00F14123"/>
    <w:rsid w:val="00F152DE"/>
    <w:rsid w:val="00F16E47"/>
    <w:rsid w:val="00F1716D"/>
    <w:rsid w:val="00F17210"/>
    <w:rsid w:val="00F172BD"/>
    <w:rsid w:val="00F174F3"/>
    <w:rsid w:val="00F17D0E"/>
    <w:rsid w:val="00F17D17"/>
    <w:rsid w:val="00F201A5"/>
    <w:rsid w:val="00F2146D"/>
    <w:rsid w:val="00F21EBC"/>
    <w:rsid w:val="00F231C3"/>
    <w:rsid w:val="00F23A66"/>
    <w:rsid w:val="00F23EBF"/>
    <w:rsid w:val="00F2526F"/>
    <w:rsid w:val="00F25A4E"/>
    <w:rsid w:val="00F25C96"/>
    <w:rsid w:val="00F2606C"/>
    <w:rsid w:val="00F26876"/>
    <w:rsid w:val="00F268E7"/>
    <w:rsid w:val="00F30C62"/>
    <w:rsid w:val="00F327D0"/>
    <w:rsid w:val="00F330FE"/>
    <w:rsid w:val="00F35284"/>
    <w:rsid w:val="00F35A9B"/>
    <w:rsid w:val="00F35B46"/>
    <w:rsid w:val="00F3627E"/>
    <w:rsid w:val="00F373A1"/>
    <w:rsid w:val="00F4158D"/>
    <w:rsid w:val="00F42732"/>
    <w:rsid w:val="00F431BF"/>
    <w:rsid w:val="00F43F70"/>
    <w:rsid w:val="00F46D30"/>
    <w:rsid w:val="00F518D9"/>
    <w:rsid w:val="00F51AC6"/>
    <w:rsid w:val="00F522D1"/>
    <w:rsid w:val="00F52C56"/>
    <w:rsid w:val="00F541C3"/>
    <w:rsid w:val="00F57EAC"/>
    <w:rsid w:val="00F60438"/>
    <w:rsid w:val="00F60F5D"/>
    <w:rsid w:val="00F63926"/>
    <w:rsid w:val="00F63EB4"/>
    <w:rsid w:val="00F65EF7"/>
    <w:rsid w:val="00F66B25"/>
    <w:rsid w:val="00F70A2A"/>
    <w:rsid w:val="00F7109F"/>
    <w:rsid w:val="00F73329"/>
    <w:rsid w:val="00F73D8A"/>
    <w:rsid w:val="00F74B11"/>
    <w:rsid w:val="00F74C58"/>
    <w:rsid w:val="00F74EC7"/>
    <w:rsid w:val="00F757FB"/>
    <w:rsid w:val="00F7749B"/>
    <w:rsid w:val="00F779E4"/>
    <w:rsid w:val="00F8073D"/>
    <w:rsid w:val="00F80EAF"/>
    <w:rsid w:val="00F81B61"/>
    <w:rsid w:val="00F828B7"/>
    <w:rsid w:val="00F831E1"/>
    <w:rsid w:val="00F8347E"/>
    <w:rsid w:val="00F8553D"/>
    <w:rsid w:val="00F85E94"/>
    <w:rsid w:val="00F86CEB"/>
    <w:rsid w:val="00F86D70"/>
    <w:rsid w:val="00F8704F"/>
    <w:rsid w:val="00F90782"/>
    <w:rsid w:val="00F91455"/>
    <w:rsid w:val="00F9210D"/>
    <w:rsid w:val="00F92235"/>
    <w:rsid w:val="00F9227F"/>
    <w:rsid w:val="00F92FC8"/>
    <w:rsid w:val="00F931C7"/>
    <w:rsid w:val="00F93AA2"/>
    <w:rsid w:val="00F93BA4"/>
    <w:rsid w:val="00F94030"/>
    <w:rsid w:val="00F943CC"/>
    <w:rsid w:val="00F94E3F"/>
    <w:rsid w:val="00F9649C"/>
    <w:rsid w:val="00F9742C"/>
    <w:rsid w:val="00FA10FA"/>
    <w:rsid w:val="00FA2385"/>
    <w:rsid w:val="00FA248C"/>
    <w:rsid w:val="00FA2C1E"/>
    <w:rsid w:val="00FA399B"/>
    <w:rsid w:val="00FA4D53"/>
    <w:rsid w:val="00FA5889"/>
    <w:rsid w:val="00FA5B51"/>
    <w:rsid w:val="00FA5C83"/>
    <w:rsid w:val="00FA5FB3"/>
    <w:rsid w:val="00FA6223"/>
    <w:rsid w:val="00FA6B98"/>
    <w:rsid w:val="00FB016B"/>
    <w:rsid w:val="00FB09BD"/>
    <w:rsid w:val="00FB1DA0"/>
    <w:rsid w:val="00FB2665"/>
    <w:rsid w:val="00FB311A"/>
    <w:rsid w:val="00FB3C25"/>
    <w:rsid w:val="00FB3D27"/>
    <w:rsid w:val="00FB48D1"/>
    <w:rsid w:val="00FB5BEC"/>
    <w:rsid w:val="00FB5DE8"/>
    <w:rsid w:val="00FB5F61"/>
    <w:rsid w:val="00FB6539"/>
    <w:rsid w:val="00FB7243"/>
    <w:rsid w:val="00FB78A2"/>
    <w:rsid w:val="00FC0AB0"/>
    <w:rsid w:val="00FC0DA6"/>
    <w:rsid w:val="00FC1049"/>
    <w:rsid w:val="00FC3476"/>
    <w:rsid w:val="00FC37BA"/>
    <w:rsid w:val="00FC4E51"/>
    <w:rsid w:val="00FC539A"/>
    <w:rsid w:val="00FC5619"/>
    <w:rsid w:val="00FC5F17"/>
    <w:rsid w:val="00FC7875"/>
    <w:rsid w:val="00FD0ACC"/>
    <w:rsid w:val="00FD17A5"/>
    <w:rsid w:val="00FD3737"/>
    <w:rsid w:val="00FD3D78"/>
    <w:rsid w:val="00FD3E4B"/>
    <w:rsid w:val="00FD44EE"/>
    <w:rsid w:val="00FD4E44"/>
    <w:rsid w:val="00FD5654"/>
    <w:rsid w:val="00FD5C6E"/>
    <w:rsid w:val="00FD5F36"/>
    <w:rsid w:val="00FD7A85"/>
    <w:rsid w:val="00FD7E8E"/>
    <w:rsid w:val="00FE0B7D"/>
    <w:rsid w:val="00FE0CBB"/>
    <w:rsid w:val="00FE0D82"/>
    <w:rsid w:val="00FE2F18"/>
    <w:rsid w:val="00FE33C6"/>
    <w:rsid w:val="00FE3501"/>
    <w:rsid w:val="00FE5381"/>
    <w:rsid w:val="00FE6C5C"/>
    <w:rsid w:val="00FE728F"/>
    <w:rsid w:val="00FE73B7"/>
    <w:rsid w:val="00FE74A0"/>
    <w:rsid w:val="00FF01EC"/>
    <w:rsid w:val="00FF2864"/>
    <w:rsid w:val="00FF3387"/>
    <w:rsid w:val="00FF3483"/>
    <w:rsid w:val="00FF3D60"/>
    <w:rsid w:val="00FF570A"/>
    <w:rsid w:val="00FF6047"/>
    <w:rsid w:val="00FF620E"/>
    <w:rsid w:val="2F7D96C9"/>
    <w:rsid w:val="5BFD92B3"/>
    <w:rsid w:val="7FBBC62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9"/>
    <w:qFormat/>
    <w:uiPriority w:val="9"/>
    <w:pPr>
      <w:keepNext/>
      <w:keepLines/>
      <w:spacing w:line="360" w:lineRule="auto"/>
      <w:ind w:firstLine="200" w:firstLineChars="200"/>
      <w:jc w:val="left"/>
      <w:outlineLvl w:val="0"/>
    </w:pPr>
    <w:rPr>
      <w:rFonts w:eastAsia="黑体"/>
      <w:bCs/>
      <w:kern w:val="44"/>
      <w:sz w:val="32"/>
      <w:szCs w:val="44"/>
    </w:rPr>
  </w:style>
  <w:style w:type="paragraph" w:styleId="3">
    <w:name w:val="heading 2"/>
    <w:basedOn w:val="1"/>
    <w:next w:val="1"/>
    <w:link w:val="31"/>
    <w:unhideWhenUsed/>
    <w:qFormat/>
    <w:uiPriority w:val="9"/>
    <w:pPr>
      <w:keepNext/>
      <w:keepLines/>
      <w:spacing w:before="120" w:after="120" w:line="560" w:lineRule="exact"/>
      <w:ind w:firstLine="200" w:firstLineChars="200"/>
      <w:jc w:val="left"/>
      <w:outlineLvl w:val="1"/>
    </w:pPr>
    <w:rPr>
      <w:rFonts w:eastAsia="楷体_GB2312" w:asciiTheme="majorHAnsi" w:hAnsiTheme="majorHAnsi" w:cstheme="majorBidi"/>
      <w:b/>
      <w:bCs/>
      <w:sz w:val="32"/>
      <w:szCs w:val="32"/>
    </w:rPr>
  </w:style>
  <w:style w:type="paragraph" w:styleId="4">
    <w:name w:val="heading 3"/>
    <w:basedOn w:val="1"/>
    <w:next w:val="1"/>
    <w:link w:val="27"/>
    <w:unhideWhenUsed/>
    <w:qFormat/>
    <w:uiPriority w:val="9"/>
    <w:pPr>
      <w:keepNext/>
      <w:keepLines/>
      <w:spacing w:line="560" w:lineRule="exact"/>
      <w:ind w:firstLine="200" w:firstLineChars="200"/>
      <w:jc w:val="left"/>
      <w:outlineLvl w:val="2"/>
    </w:pPr>
    <w:rPr>
      <w:rFonts w:eastAsia="仿宋_GB2312"/>
      <w:b/>
      <w:bCs/>
      <w:sz w:val="32"/>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34"/>
    <w:semiHidden/>
    <w:unhideWhenUsed/>
    <w:qFormat/>
    <w:uiPriority w:val="99"/>
    <w:pPr>
      <w:jc w:val="left"/>
    </w:pPr>
  </w:style>
  <w:style w:type="paragraph" w:styleId="6">
    <w:name w:val="toc 3"/>
    <w:basedOn w:val="1"/>
    <w:next w:val="1"/>
    <w:unhideWhenUsed/>
    <w:qFormat/>
    <w:uiPriority w:val="39"/>
    <w:pPr>
      <w:tabs>
        <w:tab w:val="left" w:pos="1190"/>
        <w:tab w:val="right" w:leader="dot" w:pos="8296"/>
      </w:tabs>
      <w:spacing w:line="360" w:lineRule="auto"/>
      <w:ind w:left="840" w:leftChars="400"/>
    </w:pPr>
    <w:rPr>
      <w:rFonts w:ascii="楷体_GB2312" w:eastAsia="楷体_GB2312" w:hAnsiTheme="majorHAnsi" w:cstheme="majorBidi"/>
      <w:sz w:val="28"/>
      <w:szCs w:val="28"/>
    </w:rPr>
  </w:style>
  <w:style w:type="paragraph" w:styleId="7">
    <w:name w:val="Date"/>
    <w:basedOn w:val="1"/>
    <w:next w:val="1"/>
    <w:link w:val="28"/>
    <w:semiHidden/>
    <w:unhideWhenUsed/>
    <w:qFormat/>
    <w:uiPriority w:val="99"/>
    <w:pPr>
      <w:ind w:left="100" w:leftChars="2500"/>
    </w:pPr>
  </w:style>
  <w:style w:type="paragraph" w:styleId="8">
    <w:name w:val="endnote text"/>
    <w:basedOn w:val="1"/>
    <w:link w:val="47"/>
    <w:semiHidden/>
    <w:unhideWhenUsed/>
    <w:qFormat/>
    <w:uiPriority w:val="99"/>
    <w:pPr>
      <w:snapToGrid w:val="0"/>
      <w:jc w:val="left"/>
    </w:pPr>
  </w:style>
  <w:style w:type="paragraph" w:styleId="9">
    <w:name w:val="Balloon Text"/>
    <w:basedOn w:val="1"/>
    <w:link w:val="33"/>
    <w:semiHidden/>
    <w:unhideWhenUsed/>
    <w:qFormat/>
    <w:uiPriority w:val="99"/>
    <w:rPr>
      <w:sz w:val="18"/>
      <w:szCs w:val="18"/>
    </w:rPr>
  </w:style>
  <w:style w:type="paragraph" w:styleId="10">
    <w:name w:val="footer"/>
    <w:basedOn w:val="1"/>
    <w:link w:val="26"/>
    <w:unhideWhenUsed/>
    <w:qFormat/>
    <w:uiPriority w:val="99"/>
    <w:pPr>
      <w:tabs>
        <w:tab w:val="center" w:pos="4153"/>
        <w:tab w:val="right" w:pos="8306"/>
      </w:tabs>
      <w:snapToGrid w:val="0"/>
      <w:jc w:val="left"/>
    </w:pPr>
    <w:rPr>
      <w:sz w:val="18"/>
      <w:szCs w:val="18"/>
    </w:rPr>
  </w:style>
  <w:style w:type="paragraph" w:styleId="11">
    <w:name w:val="header"/>
    <w:basedOn w:val="1"/>
    <w:link w:val="25"/>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pPr>
      <w:tabs>
        <w:tab w:val="right" w:leader="dot" w:pos="8296"/>
      </w:tabs>
      <w:jc w:val="center"/>
    </w:pPr>
    <w:rPr>
      <w:rFonts w:ascii="黑体" w:hAnsi="黑体" w:eastAsia="黑体" w:cs="Times New Roman"/>
      <w:sz w:val="28"/>
      <w:szCs w:val="28"/>
    </w:rPr>
  </w:style>
  <w:style w:type="paragraph" w:styleId="13">
    <w:name w:val="footnote text"/>
    <w:basedOn w:val="1"/>
    <w:link w:val="46"/>
    <w:semiHidden/>
    <w:unhideWhenUsed/>
    <w:qFormat/>
    <w:uiPriority w:val="99"/>
    <w:pPr>
      <w:snapToGrid w:val="0"/>
      <w:jc w:val="left"/>
    </w:pPr>
    <w:rPr>
      <w:sz w:val="18"/>
      <w:szCs w:val="18"/>
    </w:rPr>
  </w:style>
  <w:style w:type="paragraph" w:styleId="14">
    <w:name w:val="toc 2"/>
    <w:basedOn w:val="1"/>
    <w:next w:val="1"/>
    <w:unhideWhenUsed/>
    <w:qFormat/>
    <w:uiPriority w:val="39"/>
    <w:pPr>
      <w:tabs>
        <w:tab w:val="right" w:leader="dot" w:pos="8296"/>
      </w:tabs>
      <w:adjustRightInd w:val="0"/>
      <w:snapToGrid w:val="0"/>
      <w:ind w:left="420" w:leftChars="200"/>
    </w:pPr>
    <w:rPr>
      <w:rFonts w:ascii="楷体_GB2312" w:eastAsia="楷体_GB2312"/>
      <w:sz w:val="28"/>
      <w:szCs w:val="28"/>
    </w:rPr>
  </w:style>
  <w:style w:type="paragraph" w:styleId="1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6">
    <w:name w:val="annotation subject"/>
    <w:basedOn w:val="5"/>
    <w:next w:val="5"/>
    <w:link w:val="45"/>
    <w:semiHidden/>
    <w:unhideWhenUsed/>
    <w:qFormat/>
    <w:uiPriority w:val="99"/>
    <w:rPr>
      <w:b/>
      <w:bCs/>
    </w:rPr>
  </w:style>
  <w:style w:type="table" w:styleId="18">
    <w:name w:val="Table Grid"/>
    <w:basedOn w:val="17"/>
    <w:qFormat/>
    <w:uiPriority w:val="3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endnote reference"/>
    <w:basedOn w:val="19"/>
    <w:semiHidden/>
    <w:unhideWhenUsed/>
    <w:qFormat/>
    <w:uiPriority w:val="99"/>
    <w:rPr>
      <w:vertAlign w:val="superscript"/>
    </w:rPr>
  </w:style>
  <w:style w:type="character" w:styleId="21">
    <w:name w:val="Emphasis"/>
    <w:basedOn w:val="19"/>
    <w:qFormat/>
    <w:uiPriority w:val="20"/>
    <w:rPr>
      <w:color w:val="CC0000"/>
    </w:rPr>
  </w:style>
  <w:style w:type="character" w:styleId="22">
    <w:name w:val="Hyperlink"/>
    <w:basedOn w:val="19"/>
    <w:unhideWhenUsed/>
    <w:qFormat/>
    <w:uiPriority w:val="99"/>
    <w:rPr>
      <w:color w:val="0563C1" w:themeColor="hyperlink"/>
      <w:u w:val="single"/>
      <w14:textFill>
        <w14:solidFill>
          <w14:schemeClr w14:val="hlink"/>
        </w14:solidFill>
      </w14:textFill>
    </w:rPr>
  </w:style>
  <w:style w:type="character" w:styleId="23">
    <w:name w:val="annotation reference"/>
    <w:basedOn w:val="19"/>
    <w:semiHidden/>
    <w:unhideWhenUsed/>
    <w:qFormat/>
    <w:uiPriority w:val="99"/>
    <w:rPr>
      <w:sz w:val="21"/>
      <w:szCs w:val="21"/>
    </w:rPr>
  </w:style>
  <w:style w:type="character" w:styleId="24">
    <w:name w:val="footnote reference"/>
    <w:basedOn w:val="19"/>
    <w:semiHidden/>
    <w:unhideWhenUsed/>
    <w:qFormat/>
    <w:uiPriority w:val="99"/>
    <w:rPr>
      <w:vertAlign w:val="superscript"/>
    </w:rPr>
  </w:style>
  <w:style w:type="character" w:customStyle="1" w:styleId="25">
    <w:name w:val="页眉 Char"/>
    <w:basedOn w:val="19"/>
    <w:link w:val="11"/>
    <w:qFormat/>
    <w:uiPriority w:val="99"/>
    <w:rPr>
      <w:sz w:val="18"/>
      <w:szCs w:val="18"/>
    </w:rPr>
  </w:style>
  <w:style w:type="character" w:customStyle="1" w:styleId="26">
    <w:name w:val="页脚 Char"/>
    <w:basedOn w:val="19"/>
    <w:link w:val="10"/>
    <w:qFormat/>
    <w:uiPriority w:val="99"/>
    <w:rPr>
      <w:sz w:val="18"/>
      <w:szCs w:val="18"/>
    </w:rPr>
  </w:style>
  <w:style w:type="character" w:customStyle="1" w:styleId="27">
    <w:name w:val="标题 3 Char"/>
    <w:basedOn w:val="19"/>
    <w:link w:val="4"/>
    <w:qFormat/>
    <w:uiPriority w:val="9"/>
    <w:rPr>
      <w:rFonts w:eastAsia="仿宋_GB2312"/>
      <w:b/>
      <w:bCs/>
      <w:sz w:val="32"/>
      <w:szCs w:val="32"/>
    </w:rPr>
  </w:style>
  <w:style w:type="character" w:customStyle="1" w:styleId="28">
    <w:name w:val="日期 Char"/>
    <w:basedOn w:val="19"/>
    <w:link w:val="7"/>
    <w:semiHidden/>
    <w:qFormat/>
    <w:uiPriority w:val="99"/>
  </w:style>
  <w:style w:type="character" w:customStyle="1" w:styleId="29">
    <w:name w:val="标题 1 Char"/>
    <w:basedOn w:val="19"/>
    <w:link w:val="2"/>
    <w:qFormat/>
    <w:uiPriority w:val="9"/>
    <w:rPr>
      <w:rFonts w:eastAsia="黑体"/>
      <w:bCs/>
      <w:kern w:val="44"/>
      <w:sz w:val="32"/>
      <w:szCs w:val="44"/>
    </w:rPr>
  </w:style>
  <w:style w:type="paragraph" w:styleId="30">
    <w:name w:val="List Paragraph"/>
    <w:basedOn w:val="1"/>
    <w:qFormat/>
    <w:uiPriority w:val="34"/>
    <w:pPr>
      <w:ind w:firstLine="420" w:firstLineChars="200"/>
    </w:pPr>
  </w:style>
  <w:style w:type="character" w:customStyle="1" w:styleId="31">
    <w:name w:val="标题 2 Char"/>
    <w:basedOn w:val="19"/>
    <w:link w:val="3"/>
    <w:qFormat/>
    <w:uiPriority w:val="9"/>
    <w:rPr>
      <w:rFonts w:eastAsia="楷体_GB2312" w:asciiTheme="majorHAnsi" w:hAnsiTheme="majorHAnsi" w:cstheme="majorBidi"/>
      <w:b/>
      <w:bCs/>
      <w:sz w:val="32"/>
      <w:szCs w:val="32"/>
    </w:rPr>
  </w:style>
  <w:style w:type="paragraph" w:customStyle="1" w:styleId="32">
    <w:name w:val="TOC Heading"/>
    <w:basedOn w:val="2"/>
    <w:next w:val="1"/>
    <w:unhideWhenUsed/>
    <w:qFormat/>
    <w:uiPriority w:val="39"/>
    <w:pPr>
      <w:widowControl/>
      <w:spacing w:line="259" w:lineRule="auto"/>
      <w:outlineLvl w:val="9"/>
    </w:pPr>
    <w:rPr>
      <w:rFonts w:asciiTheme="majorHAnsi" w:hAnsiTheme="majorHAnsi" w:eastAsiaTheme="majorEastAsia" w:cstheme="majorBidi"/>
      <w:b/>
      <w:bCs w:val="0"/>
      <w:color w:val="2E75B6" w:themeColor="accent1" w:themeShade="BF"/>
      <w:kern w:val="0"/>
      <w:szCs w:val="32"/>
    </w:rPr>
  </w:style>
  <w:style w:type="character" w:customStyle="1" w:styleId="33">
    <w:name w:val="批注框文本 Char"/>
    <w:basedOn w:val="19"/>
    <w:link w:val="9"/>
    <w:semiHidden/>
    <w:qFormat/>
    <w:uiPriority w:val="99"/>
    <w:rPr>
      <w:sz w:val="18"/>
      <w:szCs w:val="18"/>
    </w:rPr>
  </w:style>
  <w:style w:type="character" w:customStyle="1" w:styleId="34">
    <w:name w:val="批注文字 Char"/>
    <w:basedOn w:val="19"/>
    <w:link w:val="5"/>
    <w:semiHidden/>
    <w:qFormat/>
    <w:uiPriority w:val="99"/>
  </w:style>
  <w:style w:type="table" w:customStyle="1" w:styleId="35">
    <w:name w:val="网格型21"/>
    <w:basedOn w:val="17"/>
    <w:qFormat/>
    <w:uiPriority w:val="3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6">
    <w:name w:val="默认"/>
    <w:qFormat/>
    <w:uiPriority w:val="0"/>
    <w:pPr>
      <w:pBdr>
        <w:top w:val="none" w:color="auto" w:sz="0" w:space="0"/>
        <w:left w:val="none" w:color="auto" w:sz="0" w:space="0"/>
        <w:bottom w:val="none" w:color="auto" w:sz="0" w:space="0"/>
        <w:right w:val="none" w:color="auto" w:sz="0" w:space="0"/>
        <w:between w:val="none" w:color="auto" w:sz="0" w:space="0"/>
      </w:pBdr>
    </w:pPr>
    <w:rPr>
      <w:rFonts w:hint="eastAsia" w:ascii="Arial Unicode MS" w:hAnsi="Arial Unicode MS" w:eastAsia="Helvetica Neue" w:cs="Arial Unicode MS"/>
      <w:color w:val="000000"/>
      <w:kern w:val="0"/>
      <w:sz w:val="22"/>
      <w:szCs w:val="22"/>
      <w:lang w:val="zh-CN" w:eastAsia="zh-CN" w:bidi="ar-SA"/>
    </w:rPr>
  </w:style>
  <w:style w:type="table" w:customStyle="1" w:styleId="37">
    <w:name w:val="网格型1"/>
    <w:basedOn w:val="17"/>
    <w:qFormat/>
    <w:uiPriority w:val="3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
    <w:name w:val="网格型2"/>
    <w:basedOn w:val="17"/>
    <w:qFormat/>
    <w:uiPriority w:val="3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9">
    <w:name w:val="网格型3"/>
    <w:basedOn w:val="17"/>
    <w:qFormat/>
    <w:uiPriority w:val="3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
    <w:name w:val="网格型4"/>
    <w:basedOn w:val="17"/>
    <w:qFormat/>
    <w:uiPriority w:val="3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41">
    <w:name w:val="fontstyle01"/>
    <w:basedOn w:val="19"/>
    <w:qFormat/>
    <w:uiPriority w:val="0"/>
    <w:rPr>
      <w:rFonts w:hint="eastAsia" w:ascii="仿宋_GB2312" w:eastAsia="仿宋_GB2312"/>
      <w:color w:val="000000"/>
      <w:sz w:val="32"/>
      <w:szCs w:val="32"/>
    </w:rPr>
  </w:style>
  <w:style w:type="table" w:customStyle="1" w:styleId="42">
    <w:name w:val="网格型5"/>
    <w:basedOn w:val="17"/>
    <w:qFormat/>
    <w:uiPriority w:val="3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3">
    <w:name w:val="网格型22"/>
    <w:basedOn w:val="17"/>
    <w:qFormat/>
    <w:uiPriority w:val="3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4">
    <w:name w:val="网格型51"/>
    <w:basedOn w:val="17"/>
    <w:qFormat/>
    <w:uiPriority w:val="3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45">
    <w:name w:val="批注主题 Char"/>
    <w:basedOn w:val="34"/>
    <w:link w:val="16"/>
    <w:semiHidden/>
    <w:qFormat/>
    <w:uiPriority w:val="99"/>
    <w:rPr>
      <w:b/>
      <w:bCs/>
    </w:rPr>
  </w:style>
  <w:style w:type="character" w:customStyle="1" w:styleId="46">
    <w:name w:val="脚注文本 Char"/>
    <w:basedOn w:val="19"/>
    <w:link w:val="13"/>
    <w:semiHidden/>
    <w:qFormat/>
    <w:uiPriority w:val="99"/>
    <w:rPr>
      <w:sz w:val="18"/>
      <w:szCs w:val="18"/>
    </w:rPr>
  </w:style>
  <w:style w:type="character" w:customStyle="1" w:styleId="47">
    <w:name w:val="尾注文本 Char"/>
    <w:basedOn w:val="19"/>
    <w:link w:val="8"/>
    <w:semiHidden/>
    <w:qFormat/>
    <w:uiPriority w:val="99"/>
  </w:style>
  <w:style w:type="paragraph" w:customStyle="1" w:styleId="48">
    <w:name w:val="Revision"/>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37</Pages>
  <Words>3558</Words>
  <Characters>20285</Characters>
  <Lines>169</Lines>
  <Paragraphs>47</Paragraphs>
  <TotalTime>953</TotalTime>
  <ScaleCrop>false</ScaleCrop>
  <LinksUpToDate>false</LinksUpToDate>
  <CharactersWithSpaces>23796</CharactersWithSpaces>
  <Application>WPS Office_11.8.2.10386_F1E327BC-269C-435d-A152-05C5408002CA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2019-12-04T19:33:00Z</dcterms:created>
  <dc:creator>Windows 用户</dc:creator>
  <cp:lastModifiedBy>guest</cp:lastModifiedBy>
  <cp:lastPrinted>2020-01-10T01:40:00Z</cp:lastPrinted>
  <dcterms:modified xsi:type="dcterms:W3CDTF">2024-03-19T11:21:46Z</dcterms:modified>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2052-11.8.2.10386</vt:lpwstr>
  </property>
</Properties>
</file>