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60" w:lineRule="exact"/>
        <w:jc w:val="center"/>
        <w:rPr>
          <w:rFonts w:hint="eastAsia" w:ascii="方正小标宋_GBK" w:hAnsi="方正小标宋简体" w:eastAsia="方正小标宋_GBK" w:cs="方正小标宋_GBK"/>
          <w:bCs/>
          <w:color w:val="000000" w:themeColor="text1"/>
          <w:kern w:val="2"/>
          <w:sz w:val="44"/>
          <w:szCs w:val="44"/>
          <w14:textFill>
            <w14:solidFill>
              <w14:schemeClr w14:val="tx1"/>
            </w14:solidFill>
          </w14:textFill>
        </w:rPr>
      </w:pPr>
      <w:r>
        <w:rPr>
          <w:rFonts w:hint="eastAsia" w:ascii="方正小标宋_GBK" w:hAnsi="方正小标宋简体" w:eastAsia="方正小标宋_GBK" w:cs="方正小标宋_GBK"/>
          <w:bCs/>
          <w:color w:val="000000" w:themeColor="text1"/>
          <w:kern w:val="2"/>
          <w:sz w:val="44"/>
          <w:szCs w:val="44"/>
          <w:lang w:eastAsia="zh-CN"/>
          <w14:textFill>
            <w14:solidFill>
              <w14:schemeClr w14:val="tx1"/>
            </w14:solidFill>
          </w14:textFill>
        </w:rPr>
        <w:t>深圳市</w:t>
      </w:r>
      <w:r>
        <w:rPr>
          <w:rFonts w:hint="eastAsia" w:ascii="方正小标宋_GBK" w:hAnsi="方正小标宋简体" w:eastAsia="方正小标宋_GBK" w:cs="方正小标宋_GBK"/>
          <w:bCs/>
          <w:color w:val="000000" w:themeColor="text1"/>
          <w:kern w:val="2"/>
          <w:sz w:val="44"/>
          <w:szCs w:val="44"/>
          <w14:textFill>
            <w14:solidFill>
              <w14:schemeClr w14:val="tx1"/>
            </w14:solidFill>
          </w14:textFill>
        </w:rPr>
        <w:t>光明区推动总部经济高质量发展</w:t>
      </w:r>
    </w:p>
    <w:p>
      <w:pPr>
        <w:widowControl w:val="0"/>
        <w:adjustRightInd w:val="0"/>
        <w:snapToGrid w:val="0"/>
        <w:spacing w:line="560" w:lineRule="exact"/>
        <w:jc w:val="center"/>
        <w:rPr>
          <w:rFonts w:ascii="方正小标宋_GBK" w:hAnsi="方正小标宋简体" w:eastAsia="方正小标宋_GBK" w:cs="方正小标宋_GBK"/>
          <w:bCs/>
          <w:color w:val="000000" w:themeColor="text1"/>
          <w:kern w:val="2"/>
          <w:sz w:val="44"/>
          <w:szCs w:val="44"/>
          <w14:textFill>
            <w14:solidFill>
              <w14:schemeClr w14:val="tx1"/>
            </w14:solidFill>
          </w14:textFill>
        </w:rPr>
      </w:pPr>
      <w:r>
        <w:rPr>
          <w:rFonts w:hint="eastAsia" w:ascii="方正小标宋_GBK" w:hAnsi="方正小标宋简体" w:eastAsia="方正小标宋_GBK" w:cs="方正小标宋_GBK"/>
          <w:bCs/>
          <w:color w:val="000000" w:themeColor="text1"/>
          <w:kern w:val="2"/>
          <w:sz w:val="44"/>
          <w:szCs w:val="44"/>
          <w14:textFill>
            <w14:solidFill>
              <w14:schemeClr w14:val="tx1"/>
            </w14:solidFill>
          </w14:textFill>
        </w:rPr>
        <w:t>实施办法</w:t>
      </w:r>
    </w:p>
    <w:p>
      <w:pPr>
        <w:widowControl w:val="0"/>
        <w:adjustRightInd w:val="0"/>
        <w:snapToGrid w:val="0"/>
        <w:spacing w:line="560" w:lineRule="exact"/>
        <w:jc w:val="center"/>
        <w:rPr>
          <w:rFonts w:ascii="楷体_GB2312" w:hAnsi="方正小标宋简体" w:eastAsia="楷体_GB2312" w:cs="宋体"/>
          <w:color w:val="000000" w:themeColor="text1"/>
          <w:sz w:val="32"/>
          <w:szCs w:val="32"/>
          <w14:textFill>
            <w14:solidFill>
              <w14:schemeClr w14:val="tx1"/>
            </w14:solidFill>
          </w14:textFill>
        </w:rPr>
      </w:pPr>
      <w:r>
        <w:rPr>
          <w:rFonts w:hint="eastAsia" w:ascii="楷体_GB2312" w:hAnsi="方正小标宋简体" w:eastAsia="楷体_GB2312" w:cs="宋体"/>
          <w:color w:val="000000" w:themeColor="text1"/>
          <w:sz w:val="32"/>
          <w:szCs w:val="32"/>
          <w14:textFill>
            <w14:solidFill>
              <w14:schemeClr w14:val="tx1"/>
            </w14:solidFill>
          </w14:textFill>
        </w:rPr>
        <w:t>（</w:t>
      </w:r>
      <w:r>
        <w:rPr>
          <w:rFonts w:hint="eastAsia" w:ascii="楷体_GB2312" w:hAnsi="方正小标宋简体" w:eastAsia="楷体_GB2312" w:cs="宋体"/>
          <w:color w:val="000000" w:themeColor="text1"/>
          <w:sz w:val="32"/>
          <w:szCs w:val="32"/>
          <w:lang w:eastAsia="zh-CN"/>
          <w14:textFill>
            <w14:solidFill>
              <w14:schemeClr w14:val="tx1"/>
            </w14:solidFill>
          </w14:textFill>
        </w:rPr>
        <w:t>征求意见</w:t>
      </w:r>
      <w:r>
        <w:rPr>
          <w:rFonts w:hint="eastAsia" w:ascii="楷体_GB2312" w:hAnsi="方正小标宋简体" w:eastAsia="楷体_GB2312" w:cs="宋体"/>
          <w:sz w:val="32"/>
          <w:szCs w:val="32"/>
          <w:lang w:eastAsia="zh-CN"/>
        </w:rPr>
        <w:t>稿</w:t>
      </w:r>
      <w:r>
        <w:rPr>
          <w:rFonts w:hint="eastAsia" w:ascii="楷体_GB2312" w:hAnsi="方正小标宋简体" w:eastAsia="楷体_GB2312" w:cs="宋体"/>
          <w:color w:val="000000" w:themeColor="text1"/>
          <w:sz w:val="32"/>
          <w:szCs w:val="32"/>
          <w14:textFill>
            <w14:solidFill>
              <w14:schemeClr w14:val="tx1"/>
            </w14:solidFill>
          </w14:textFill>
        </w:rPr>
        <w:t>）</w:t>
      </w:r>
    </w:p>
    <w:p>
      <w:pPr>
        <w:pStyle w:val="15"/>
        <w:widowControl w:val="0"/>
        <w:adjustRightInd w:val="0"/>
        <w:snapToGrid w:val="0"/>
        <w:spacing w:before="0" w:beforeAutospacing="0" w:after="0" w:afterAutospacing="0" w:line="560" w:lineRule="exact"/>
        <w:jc w:val="center"/>
        <w:rPr>
          <w:rFonts w:ascii="黑体" w:hAnsi="黑体" w:eastAsia="黑体" w:cs="仿宋_GB2312"/>
          <w:color w:val="000000" w:themeColor="text1"/>
          <w:sz w:val="32"/>
          <w:szCs w:val="32"/>
          <w14:textFill>
            <w14:solidFill>
              <w14:schemeClr w14:val="tx1"/>
            </w14:solidFill>
          </w14:textFill>
        </w:rPr>
      </w:pPr>
    </w:p>
    <w:p>
      <w:pPr>
        <w:widowControl w:val="0"/>
        <w:adjustRightInd w:val="0"/>
        <w:snapToGrid w:val="0"/>
        <w:spacing w:line="560" w:lineRule="exact"/>
        <w:jc w:val="center"/>
        <w:outlineLvl w:val="1"/>
        <w:rPr>
          <w:rFonts w:ascii="黑体" w:hAnsi="黑体" w:eastAsia="黑体" w:cs="黑体"/>
          <w:color w:val="000000" w:themeColor="text1"/>
          <w:kern w:val="2"/>
          <w:sz w:val="36"/>
          <w:szCs w:val="36"/>
          <w14:textFill>
            <w14:solidFill>
              <w14:schemeClr w14:val="tx1"/>
            </w14:solidFill>
          </w14:textFill>
        </w:rPr>
      </w:pPr>
      <w:bookmarkStart w:id="0" w:name="_Toc100703130"/>
      <w:r>
        <w:rPr>
          <w:rFonts w:hint="eastAsia" w:ascii="黑体" w:hAnsi="黑体" w:eastAsia="黑体" w:cs="黑体"/>
          <w:color w:val="000000" w:themeColor="text1"/>
          <w:kern w:val="2"/>
          <w:sz w:val="36"/>
          <w:szCs w:val="36"/>
          <w14:textFill>
            <w14:solidFill>
              <w14:schemeClr w14:val="tx1"/>
            </w14:solidFill>
          </w14:textFill>
        </w:rPr>
        <w:t>第一章  总则</w:t>
      </w:r>
      <w:bookmarkEnd w:id="0"/>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第一条</w:t>
      </w:r>
      <w:r>
        <w:rPr>
          <w:rFonts w:hint="eastAsia" w:ascii="黑体" w:hAnsi="黑体" w:eastAsia="黑体" w:cs="宋体"/>
          <w:color w:val="000000" w:themeColor="text1"/>
          <w:kern w:val="2"/>
          <w:sz w:val="32"/>
          <w:szCs w:val="32"/>
          <w14:textFill>
            <w14:solidFill>
              <w14:schemeClr w14:val="tx1"/>
            </w14:solidFill>
          </w14:textFill>
        </w:rPr>
        <w:t>【目的和依据】</w:t>
      </w:r>
      <w:r>
        <w:rPr>
          <w:rFonts w:hint="eastAsia" w:ascii="仿宋_GB2312" w:hAnsi="宋体" w:eastAsia="仿宋_GB2312" w:cs="宋体"/>
          <w:color w:val="000000" w:themeColor="text1"/>
          <w:kern w:val="2"/>
          <w:sz w:val="32"/>
          <w:szCs w:val="32"/>
          <w14:textFill>
            <w14:solidFill>
              <w14:schemeClr w14:val="tx1"/>
            </w14:solidFill>
          </w14:textFill>
        </w:rPr>
        <w:t>为鼓励总部企业扎根光明发展，培育壮大具有核心竞争力的总部企业集群，促进光明区总部经济高质量发展，进一步提升深圳北部中心的辐射带动力，根据《深圳市推动总部经济高质量发展的实施意见》（深发改规〔2023〕12号）等规定，结合光明区实际，制定本办法。</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第二条</w:t>
      </w:r>
      <w:r>
        <w:rPr>
          <w:rFonts w:hint="eastAsia" w:ascii="黑体" w:hAnsi="黑体" w:eastAsia="黑体" w:cs="宋体"/>
          <w:color w:val="000000" w:themeColor="text1"/>
          <w:kern w:val="2"/>
          <w:sz w:val="32"/>
          <w:szCs w:val="32"/>
          <w14:textFill>
            <w14:solidFill>
              <w14:schemeClr w14:val="tx1"/>
            </w14:solidFill>
          </w14:textFill>
        </w:rPr>
        <w:t>【总体原则】</w:t>
      </w:r>
      <w:r>
        <w:rPr>
          <w:rFonts w:hint="eastAsia" w:ascii="仿宋_GB2312" w:eastAsia="仿宋_GB2312"/>
          <w:color w:val="000000" w:themeColor="text1"/>
          <w:sz w:val="32"/>
          <w:szCs w:val="32"/>
          <w14:textFill>
            <w14:solidFill>
              <w14:schemeClr w14:val="tx1"/>
            </w14:solidFill>
          </w14:textFill>
        </w:rPr>
        <w:t>坚持重点培育、做优存量和大力引进、扩大增量相结合，加快打造</w:t>
      </w:r>
      <w:r>
        <w:rPr>
          <w:rFonts w:hint="eastAsia" w:ascii="仿宋_GB2312" w:hAnsi="宋体" w:eastAsia="仿宋_GB2312" w:cs="宋体"/>
          <w:color w:val="000000" w:themeColor="text1"/>
          <w:kern w:val="2"/>
          <w:sz w:val="32"/>
          <w:szCs w:val="32"/>
          <w14:textFill>
            <w14:solidFill>
              <w14:schemeClr w14:val="tx1"/>
            </w14:solidFill>
          </w14:textFill>
        </w:rPr>
        <w:t>总部企业集群，健全</w:t>
      </w:r>
      <w:r>
        <w:rPr>
          <w:rFonts w:hint="eastAsia" w:ascii="仿宋_GB2312" w:eastAsia="仿宋_GB2312"/>
          <w:color w:val="000000" w:themeColor="text1"/>
          <w:sz w:val="32"/>
          <w:szCs w:val="32"/>
          <w14:textFill>
            <w14:solidFill>
              <w14:schemeClr w14:val="tx1"/>
            </w14:solidFill>
          </w14:textFill>
        </w:rPr>
        <w:t>精准有力的总部经济支持政策，构建精细完善的总部企业服务体系，推动</w:t>
      </w:r>
      <w:r>
        <w:rPr>
          <w:rFonts w:ascii="仿宋_GB2312" w:eastAsia="仿宋_GB2312"/>
          <w:color w:val="000000" w:themeColor="text1"/>
          <w:sz w:val="32"/>
          <w:szCs w:val="32"/>
          <w14:textFill>
            <w14:solidFill>
              <w14:schemeClr w14:val="tx1"/>
            </w14:solidFill>
          </w14:textFill>
        </w:rPr>
        <w:t>总部</w:t>
      </w:r>
      <w:r>
        <w:rPr>
          <w:rFonts w:hint="eastAsia" w:ascii="仿宋_GB2312" w:eastAsia="仿宋_GB2312"/>
          <w:color w:val="000000" w:themeColor="text1"/>
          <w:sz w:val="32"/>
          <w:szCs w:val="32"/>
          <w14:textFill>
            <w14:solidFill>
              <w14:schemeClr w14:val="tx1"/>
            </w14:solidFill>
          </w14:textFill>
        </w:rPr>
        <w:t>经济</w:t>
      </w:r>
      <w:r>
        <w:rPr>
          <w:rFonts w:ascii="仿宋_GB2312" w:eastAsia="仿宋_GB2312"/>
          <w:color w:val="000000" w:themeColor="text1"/>
          <w:sz w:val="32"/>
          <w:szCs w:val="32"/>
          <w14:textFill>
            <w14:solidFill>
              <w14:schemeClr w14:val="tx1"/>
            </w14:solidFill>
          </w14:textFill>
        </w:rPr>
        <w:t>高端要素集聚</w:t>
      </w:r>
      <w:r>
        <w:rPr>
          <w:rFonts w:hint="eastAsia" w:ascii="仿宋_GB2312" w:eastAsia="仿宋_GB2312"/>
          <w:color w:val="000000" w:themeColor="text1"/>
          <w:sz w:val="32"/>
          <w:szCs w:val="32"/>
          <w14:textFill>
            <w14:solidFill>
              <w14:schemeClr w14:val="tx1"/>
            </w14:solidFill>
          </w14:textFill>
        </w:rPr>
        <w:t xml:space="preserve">、辐射能力跃升，打造一流总部企业集聚地。 </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第三条</w:t>
      </w:r>
      <w:r>
        <w:rPr>
          <w:rFonts w:hint="eastAsia" w:ascii="黑体" w:hAnsi="黑体" w:eastAsia="黑体" w:cs="宋体"/>
          <w:color w:val="000000" w:themeColor="text1"/>
          <w:kern w:val="2"/>
          <w:sz w:val="32"/>
          <w:szCs w:val="32"/>
          <w14:textFill>
            <w14:solidFill>
              <w14:schemeClr w14:val="tx1"/>
            </w14:solidFill>
          </w14:textFill>
        </w:rPr>
        <w:t>【定义】</w:t>
      </w:r>
      <w:r>
        <w:rPr>
          <w:rFonts w:hint="eastAsia" w:ascii="仿宋_GB2312" w:hAnsi="宋体" w:eastAsia="仿宋_GB2312" w:cs="宋体"/>
          <w:color w:val="000000" w:themeColor="text1"/>
          <w:kern w:val="2"/>
          <w:sz w:val="32"/>
          <w:szCs w:val="32"/>
          <w14:textFill>
            <w14:solidFill>
              <w14:schemeClr w14:val="tx1"/>
            </w14:solidFill>
          </w14:textFill>
        </w:rPr>
        <w:t>本办法所称光明区总部企业，是指经光明区按照本办法规定条件和程序认定，商事登记、税务登记和统计关系均在光明区，对一定区域内的控股企业或分支机构行使</w:t>
      </w:r>
      <w:r>
        <w:rPr>
          <w:rFonts w:hint="eastAsia" w:ascii="仿宋_GB2312" w:hAnsi="仿宋_GB2312" w:eastAsia="仿宋_GB2312" w:cs="仿宋_GB2312"/>
          <w:sz w:val="32"/>
          <w:szCs w:val="32"/>
          <w:lang w:val="en-US" w:eastAsia="zh-CN"/>
        </w:rPr>
        <w:t>总部职能</w:t>
      </w:r>
      <w:r>
        <w:rPr>
          <w:rFonts w:hint="eastAsia" w:ascii="仿宋_GB2312" w:hAnsi="宋体" w:eastAsia="仿宋_GB2312" w:cs="宋体"/>
          <w:color w:val="000000" w:themeColor="text1"/>
          <w:kern w:val="2"/>
          <w:sz w:val="32"/>
          <w:szCs w:val="32"/>
          <w14:textFill>
            <w14:solidFill>
              <w14:schemeClr w14:val="tx1"/>
            </w14:solidFill>
          </w14:textFill>
        </w:rPr>
        <w:t>的独立法人企业、合伙企业及银行分支机构和专营机构。</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p>
    <w:p>
      <w:pPr>
        <w:widowControl w:val="0"/>
        <w:adjustRightInd w:val="0"/>
        <w:snapToGrid w:val="0"/>
        <w:spacing w:line="560" w:lineRule="exact"/>
        <w:jc w:val="center"/>
        <w:outlineLvl w:val="1"/>
        <w:rPr>
          <w:rFonts w:ascii="黑体" w:hAnsi="黑体" w:eastAsia="黑体" w:cs="黑体"/>
          <w:color w:val="000000" w:themeColor="text1"/>
          <w:kern w:val="2"/>
          <w:sz w:val="36"/>
          <w:szCs w:val="36"/>
          <w14:textFill>
            <w14:solidFill>
              <w14:schemeClr w14:val="tx1"/>
            </w14:solidFill>
          </w14:textFill>
        </w:rPr>
      </w:pPr>
      <w:bookmarkStart w:id="1" w:name="_Toc100703131"/>
      <w:r>
        <w:rPr>
          <w:rFonts w:hint="eastAsia" w:ascii="黑体" w:hAnsi="黑体" w:eastAsia="黑体" w:cs="黑体"/>
          <w:color w:val="000000" w:themeColor="text1"/>
          <w:kern w:val="2"/>
          <w:sz w:val="36"/>
          <w:szCs w:val="36"/>
          <w14:textFill>
            <w14:solidFill>
              <w14:schemeClr w14:val="tx1"/>
            </w14:solidFill>
          </w14:textFill>
        </w:rPr>
        <w:t>第二章  认定条件</w:t>
      </w:r>
      <w:bookmarkEnd w:id="1"/>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第四条</w:t>
      </w:r>
      <w:r>
        <w:rPr>
          <w:rFonts w:hint="eastAsia" w:ascii="黑体" w:hAnsi="黑体" w:eastAsia="黑体" w:cs="宋体"/>
          <w:color w:val="000000" w:themeColor="text1"/>
          <w:kern w:val="2"/>
          <w:sz w:val="32"/>
          <w:szCs w:val="32"/>
          <w14:textFill>
            <w14:solidFill>
              <w14:schemeClr w14:val="tx1"/>
            </w14:solidFill>
          </w14:textFill>
        </w:rPr>
        <w:t>【基本条件】</w:t>
      </w:r>
      <w:r>
        <w:rPr>
          <w:rFonts w:hint="eastAsia" w:ascii="仿宋_GB2312" w:hAnsi="宋体" w:eastAsia="仿宋_GB2312" w:cs="宋体"/>
          <w:color w:val="000000" w:themeColor="text1"/>
          <w:kern w:val="2"/>
          <w:sz w:val="32"/>
          <w:szCs w:val="32"/>
          <w14:textFill>
            <w14:solidFill>
              <w14:schemeClr w14:val="tx1"/>
            </w14:solidFill>
          </w14:textFill>
        </w:rPr>
        <w:t>企业申请光明区总部企业认定，须符合以下基本条件：</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（一）符合深圳市和光明区的产业发展战略定位和导向；</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（二）商事登记、税务登记和统计关系均在光明区；</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（三）对一定区域内的控股企业或分支机构行使投资控股、经营决策、组织管理等总部职能；</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（四）未被列入严重失信主体名单，不存在违反失信惩戒措施基础清单相关规定的情形。</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第五条</w:t>
      </w:r>
      <w:r>
        <w:rPr>
          <w:rFonts w:hint="eastAsia" w:ascii="黑体" w:hAnsi="黑体" w:eastAsia="黑体" w:cs="宋体"/>
          <w:color w:val="000000" w:themeColor="text1"/>
          <w:kern w:val="2"/>
          <w:sz w:val="32"/>
          <w:szCs w:val="32"/>
          <w14:textFill>
            <w14:solidFill>
              <w14:schemeClr w14:val="tx1"/>
            </w14:solidFill>
          </w14:textFill>
        </w:rPr>
        <w:t>【具体条件】</w:t>
      </w:r>
      <w:r>
        <w:rPr>
          <w:rFonts w:hint="eastAsia" w:ascii="仿宋_GB2312" w:hAnsi="宋体" w:eastAsia="仿宋_GB2312" w:cs="宋体"/>
          <w:color w:val="000000" w:themeColor="text1"/>
          <w:kern w:val="2"/>
          <w:sz w:val="32"/>
          <w:szCs w:val="32"/>
          <w14:textFill>
            <w14:solidFill>
              <w14:schemeClr w14:val="tx1"/>
            </w14:solidFill>
          </w14:textFill>
        </w:rPr>
        <w:t>符合以下条件的企业，可认定为“光明区总部企业”：</w:t>
      </w:r>
    </w:p>
    <w:p>
      <w:pPr>
        <w:widowControl w:val="0"/>
        <w:adjustRightInd w:val="0"/>
        <w:snapToGrid w:val="0"/>
        <w:spacing w:line="560" w:lineRule="exact"/>
        <w:ind w:firstLine="642" w:firstLineChars="200"/>
        <w:jc w:val="both"/>
        <w:rPr>
          <w:rFonts w:ascii="楷体_GB2312" w:hAnsi="楷体_GB2312" w:eastAsia="楷体_GB2312" w:cs="宋体"/>
          <w:b/>
          <w:bCs/>
          <w:color w:val="000000" w:themeColor="text1"/>
          <w:kern w:val="2"/>
          <w:sz w:val="32"/>
          <w:szCs w:val="32"/>
          <w14:textFill>
            <w14:solidFill>
              <w14:schemeClr w14:val="tx1"/>
            </w14:solidFill>
          </w14:textFill>
        </w:rPr>
      </w:pPr>
      <w:r>
        <w:rPr>
          <w:rFonts w:hint="eastAsia" w:ascii="楷体_GB2312" w:hAnsi="楷体_GB2312" w:eastAsia="楷体_GB2312" w:cs="宋体"/>
          <w:b/>
          <w:bCs/>
          <w:color w:val="000000" w:themeColor="text1"/>
          <w:kern w:val="2"/>
          <w:sz w:val="32"/>
          <w:szCs w:val="32"/>
          <w14:textFill>
            <w14:solidFill>
              <w14:schemeClr w14:val="tx1"/>
            </w14:solidFill>
          </w14:textFill>
        </w:rPr>
        <w:t>（一）直接认定</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符合以下条件之一的，可向区总部经济主管部门提交相关材料办理备案手续，直接认定为“光明区总部企业”。</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1</w:t>
      </w:r>
      <w:r>
        <w:rPr>
          <w:rFonts w:ascii="仿宋_GB2312" w:hAnsi="宋体" w:eastAsia="仿宋_GB2312" w:cs="宋体"/>
          <w:color w:val="000000" w:themeColor="text1"/>
          <w:kern w:val="2"/>
          <w:sz w:val="32"/>
          <w:szCs w:val="32"/>
          <w14:textFill>
            <w14:solidFill>
              <w14:schemeClr w14:val="tx1"/>
            </w14:solidFill>
          </w14:textFill>
        </w:rPr>
        <w:t>.</w:t>
      </w:r>
      <w:r>
        <w:rPr>
          <w:rFonts w:hint="eastAsia" w:ascii="仿宋_GB2312" w:hAnsi="宋体" w:eastAsia="仿宋_GB2312" w:cs="宋体"/>
          <w:color w:val="000000" w:themeColor="text1"/>
          <w:kern w:val="2"/>
          <w:sz w:val="32"/>
          <w:szCs w:val="32"/>
          <w14:textFill>
            <w14:solidFill>
              <w14:schemeClr w14:val="tx1"/>
            </w14:solidFill>
          </w14:textFill>
        </w:rPr>
        <w:t>于2</w:t>
      </w:r>
      <w:r>
        <w:rPr>
          <w:rFonts w:ascii="仿宋_GB2312" w:hAnsi="宋体" w:eastAsia="仿宋_GB2312" w:cs="宋体"/>
          <w:color w:val="000000" w:themeColor="text1"/>
          <w:kern w:val="2"/>
          <w:sz w:val="32"/>
          <w:szCs w:val="32"/>
          <w14:textFill>
            <w14:solidFill>
              <w14:schemeClr w14:val="tx1"/>
            </w14:solidFill>
          </w14:textFill>
        </w:rPr>
        <w:t>024</w:t>
      </w:r>
      <w:r>
        <w:rPr>
          <w:rFonts w:hint="eastAsia" w:ascii="仿宋_GB2312" w:hAnsi="宋体" w:eastAsia="仿宋_GB2312" w:cs="宋体"/>
          <w:color w:val="000000" w:themeColor="text1"/>
          <w:kern w:val="2"/>
          <w:sz w:val="32"/>
          <w:szCs w:val="32"/>
          <w14:textFill>
            <w14:solidFill>
              <w14:schemeClr w14:val="tx1"/>
            </w14:solidFill>
          </w14:textFill>
        </w:rPr>
        <w:t>年及以后年度经深圳市认定的“深圳市总部企业”。</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ascii="仿宋_GB2312" w:hAnsi="宋体" w:eastAsia="仿宋_GB2312" w:cs="宋体"/>
          <w:color w:val="000000" w:themeColor="text1"/>
          <w:kern w:val="2"/>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入选《财富》杂志最新公布的“世界500强”榜单的企业，或其在光明区设立的全球功能总部企业、中国区及以上区域总部企业。</w:t>
      </w:r>
    </w:p>
    <w:p>
      <w:pPr>
        <w:widowControl w:val="0"/>
        <w:adjustRightInd w:val="0"/>
        <w:snapToGrid w:val="0"/>
        <w:spacing w:line="560" w:lineRule="exact"/>
        <w:ind w:firstLine="640" w:firstLineChars="200"/>
        <w:jc w:val="both"/>
        <w:rPr>
          <w:rFonts w:ascii="仿宋_GB2312" w:hAnsi="仿宋_GB2312" w:eastAsia="仿宋_GB2312" w:cs="宋体"/>
          <w:color w:val="333333"/>
          <w:sz w:val="32"/>
          <w:szCs w:val="32"/>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入</w:t>
      </w:r>
      <w:r>
        <w:rPr>
          <w:rFonts w:hint="eastAsia" w:ascii="仿宋_GB2312" w:hAnsi="仿宋_GB2312" w:eastAsia="仿宋_GB2312" w:cs="宋体"/>
          <w:color w:val="000000" w:themeColor="text1"/>
          <w:sz w:val="32"/>
          <w:szCs w:val="32"/>
          <w14:textFill>
            <w14:solidFill>
              <w14:schemeClr w14:val="tx1"/>
            </w14:solidFill>
          </w14:textFill>
        </w:rPr>
        <w:t>选中国企业联合会、中国企业家协会最新公布的中国500强榜单，或中华全国工商业联合会最新公布的中国民营企业500强榜单，或</w:t>
      </w:r>
      <w:r>
        <w:rPr>
          <w:rFonts w:ascii="仿宋_GB2312" w:hAnsi="仿宋_GB2312" w:eastAsia="仿宋_GB2312" w:cs="宋体"/>
          <w:color w:val="000000" w:themeColor="text1"/>
          <w:sz w:val="32"/>
          <w:szCs w:val="32"/>
          <w14:textFill>
            <w14:solidFill>
              <w14:schemeClr w14:val="tx1"/>
            </w14:solidFill>
          </w14:textFill>
        </w:rPr>
        <w:t>中国企业联合会、中国企业家协会最新公布的中国制造业500强、服务业500强榜单</w:t>
      </w:r>
      <w:r>
        <w:rPr>
          <w:rFonts w:hint="eastAsia" w:ascii="仿宋_GB2312" w:hAnsi="仿宋_GB2312" w:eastAsia="仿宋_GB2312" w:cs="宋体"/>
          <w:color w:val="000000" w:themeColor="text1"/>
          <w:sz w:val="32"/>
          <w:szCs w:val="32"/>
          <w14:textFill>
            <w14:solidFill>
              <w14:schemeClr w14:val="tx1"/>
            </w14:solidFill>
          </w14:textFill>
        </w:rPr>
        <w:t>的企业，及其在光明区设立的华南大区（大湾区）总部企业。</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.入选中国电子信息行业联合会最新公布的软件和信息技术服务竞争力百强榜单的企业，或中国互联网协会公布的中国互联网企业综合实力指数百强榜单的企业。</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5.在境内外主要证券交易所上市的企业。</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.入选权威第三方独立机构最新公布的“独角兽”名单的企业。</w:t>
      </w:r>
    </w:p>
    <w:p>
      <w:pPr>
        <w:widowControl w:val="0"/>
        <w:adjustRightInd w:val="0"/>
        <w:snapToGrid w:val="0"/>
        <w:spacing w:line="560" w:lineRule="exact"/>
        <w:ind w:firstLine="640" w:firstLineChars="200"/>
        <w:jc w:val="both"/>
        <w:rPr>
          <w:rFonts w:ascii="仿宋_GB2312" w:hAnsi="宋体" w:eastAsia="仿宋_GB2312" w:cs="宋体"/>
          <w:bCs/>
          <w:color w:val="000000" w:themeColor="text1"/>
          <w:kern w:val="2"/>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7</w:t>
      </w:r>
      <w:r>
        <w:rPr>
          <w:rFonts w:ascii="仿宋_GB2312" w:eastAsia="仿宋_GB2312"/>
          <w:bCs/>
          <w:color w:val="000000" w:themeColor="text1"/>
          <w:sz w:val="32"/>
          <w:szCs w:val="32"/>
          <w14:textFill>
            <w14:solidFill>
              <w14:schemeClr w14:val="tx1"/>
            </w14:solidFill>
          </w14:textFill>
        </w:rPr>
        <w:t>.</w:t>
      </w:r>
      <w:r>
        <w:rPr>
          <w:rFonts w:hint="eastAsia" w:ascii="仿宋_GB2312" w:hAnsi="宋体" w:eastAsia="仿宋_GB2312" w:cs="宋体"/>
          <w:bCs/>
          <w:color w:val="000000" w:themeColor="text1"/>
          <w:kern w:val="2"/>
          <w:sz w:val="32"/>
          <w:szCs w:val="32"/>
          <w14:textFill>
            <w14:solidFill>
              <w14:schemeClr w14:val="tx1"/>
            </w14:solidFill>
          </w14:textFill>
        </w:rPr>
        <w:t>近三年内入选工业和信息化部认定的“制造业单项冠军示范企业”或专精特新“小巨人”企业。</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ascii="仿宋_GB2312" w:hAnsi="宋体" w:eastAsia="仿宋_GB2312" w:cs="宋体"/>
          <w:color w:val="000000" w:themeColor="text1"/>
          <w:kern w:val="2"/>
          <w:sz w:val="32"/>
          <w:szCs w:val="32"/>
          <w14:textFill>
            <w14:solidFill>
              <w14:schemeClr w14:val="tx1"/>
            </w14:solidFill>
          </w14:textFill>
        </w:rPr>
        <w:t>8</w:t>
      </w:r>
      <w:r>
        <w:rPr>
          <w:rFonts w:hint="eastAsia" w:ascii="仿宋_GB2312" w:hAnsi="宋体" w:eastAsia="仿宋_GB2312" w:cs="宋体"/>
          <w:color w:val="000000" w:themeColor="text1"/>
          <w:kern w:val="2"/>
          <w:sz w:val="32"/>
          <w:szCs w:val="32"/>
          <w14:textFill>
            <w14:solidFill>
              <w14:schemeClr w14:val="tx1"/>
            </w14:solidFill>
          </w14:textFill>
        </w:rPr>
        <w:t>.入选清科研究中心最新公布的中国早期投资机构30强、中国创业投资机构100强、私募股权投资机构100强榜单的企业。</w:t>
      </w:r>
    </w:p>
    <w:p>
      <w:pPr>
        <w:widowControl w:val="0"/>
        <w:adjustRightInd w:val="0"/>
        <w:snapToGrid w:val="0"/>
        <w:spacing w:line="560" w:lineRule="exact"/>
        <w:ind w:firstLine="642" w:firstLineChars="200"/>
        <w:jc w:val="both"/>
        <w:rPr>
          <w:rFonts w:ascii="楷体_GB2312" w:hAnsi="楷体_GB2312" w:eastAsia="楷体_GB2312" w:cs="宋体"/>
          <w:b/>
          <w:bCs/>
          <w:color w:val="000000" w:themeColor="text1"/>
          <w:kern w:val="2"/>
          <w:sz w:val="32"/>
          <w:szCs w:val="32"/>
          <w14:textFill>
            <w14:solidFill>
              <w14:schemeClr w14:val="tx1"/>
            </w14:solidFill>
          </w14:textFill>
        </w:rPr>
      </w:pPr>
      <w:r>
        <w:rPr>
          <w:rFonts w:hint="eastAsia" w:ascii="楷体_GB2312" w:hAnsi="楷体_GB2312" w:eastAsia="楷体_GB2312" w:cs="宋体"/>
          <w:b/>
          <w:bCs/>
          <w:color w:val="000000" w:themeColor="text1"/>
          <w:kern w:val="2"/>
          <w:sz w:val="32"/>
          <w:szCs w:val="32"/>
          <w14:textFill>
            <w14:solidFill>
              <w14:schemeClr w14:val="tx1"/>
            </w14:solidFill>
          </w14:textFill>
        </w:rPr>
        <w:t>（二）申请认定</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符合以下条件之一的，可向区总部经济主管部门提交相关材料申请认定，按照本办法规定的程序审定后认定为“光明区总部企业”。</w:t>
      </w:r>
    </w:p>
    <w:p>
      <w:pPr>
        <w:adjustRightInd w:val="0"/>
        <w:snapToGrid w:val="0"/>
        <w:spacing w:line="560" w:lineRule="exact"/>
        <w:ind w:firstLine="642"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制造业总部企业。</w:t>
      </w:r>
      <w:r>
        <w:rPr>
          <w:rFonts w:hint="eastAsia" w:ascii="仿宋_GB2312" w:eastAsia="仿宋_GB2312"/>
          <w:color w:val="000000" w:themeColor="text1"/>
          <w:sz w:val="32"/>
          <w:szCs w:val="32"/>
          <w14:textFill>
            <w14:solidFill>
              <w14:schemeClr w14:val="tx1"/>
            </w14:solidFill>
          </w14:textFill>
        </w:rPr>
        <w:t>企业上一年度纳入本区统计的产值不低于1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亿元；企业主要生产在区外，但管理、研发、销售等总部功能在区内的，上一年度纳入本区统计的产值不低于</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亿元。企业形成光明区地方财力不低于1000万元。</w:t>
      </w:r>
    </w:p>
    <w:p>
      <w:pPr>
        <w:adjustRightInd w:val="0"/>
        <w:snapToGrid w:val="0"/>
        <w:spacing w:line="560" w:lineRule="exact"/>
        <w:ind w:firstLine="642"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建筑业总部企业。</w:t>
      </w:r>
      <w:r>
        <w:rPr>
          <w:rFonts w:hint="eastAsia" w:ascii="仿宋_GB2312" w:eastAsia="仿宋_GB2312"/>
          <w:color w:val="000000" w:themeColor="text1"/>
          <w:sz w:val="32"/>
          <w:szCs w:val="32"/>
          <w14:textFill>
            <w14:solidFill>
              <w14:schemeClr w14:val="tx1"/>
            </w14:solidFill>
          </w14:textFill>
        </w:rPr>
        <w:t>企业上一年度纳入本区统计的产值不低于1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亿元，形成光明区地方财力不低于1000万元。</w:t>
      </w:r>
    </w:p>
    <w:p>
      <w:pPr>
        <w:widowControl w:val="0"/>
        <w:adjustRightInd w:val="0"/>
        <w:snapToGrid w:val="0"/>
        <w:spacing w:line="560" w:lineRule="exact"/>
        <w:ind w:firstLine="642"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软件业总部企业。</w:t>
      </w:r>
      <w:r>
        <w:rPr>
          <w:rFonts w:hint="eastAsia" w:ascii="仿宋_GB2312" w:eastAsia="仿宋_GB2312"/>
          <w:color w:val="000000" w:themeColor="text1"/>
          <w:sz w:val="32"/>
          <w:szCs w:val="32"/>
          <w14:textFill>
            <w14:solidFill>
              <w14:schemeClr w14:val="tx1"/>
            </w14:solidFill>
          </w14:textFill>
        </w:rPr>
        <w:t>信息传输、互联网和相关服务、软件和信息技术服务业企业，上一年度纳入本区统计的营业收入不低于</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亿元，形成光明区地方财力不低于1000万元。</w:t>
      </w:r>
    </w:p>
    <w:p>
      <w:pPr>
        <w:widowControl w:val="0"/>
        <w:adjustRightInd w:val="0"/>
        <w:snapToGrid w:val="0"/>
        <w:spacing w:line="560" w:lineRule="exact"/>
        <w:ind w:firstLine="642"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4</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金融业总部。</w:t>
      </w:r>
      <w:r>
        <w:rPr>
          <w:rFonts w:hint="eastAsia" w:ascii="仿宋_GB2312" w:eastAsia="仿宋_GB2312"/>
          <w:color w:val="000000" w:themeColor="text1"/>
          <w:sz w:val="32"/>
          <w:szCs w:val="32"/>
          <w14:textFill>
            <w14:solidFill>
              <w14:schemeClr w14:val="tx1"/>
            </w14:solidFill>
          </w14:textFill>
        </w:rPr>
        <w:t>经国家金融监管部门批准，具有独立法人资格的银行机构或商业银行专营机构，上一年度纳入本区统计的营业收入不低于1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亿元，形成光明区地方财力不低于1000万元。银行市级分行，上一年度纳入全市统计的本外币存贷款月末平均余额合计不低于5000亿元，形成光明区地方财力不低于1亿元。证券、基金机构及其他金融企业，上一年度纳入本区统计的营业收入不低于</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亿元，形成光明区地方财力不低于</w:t>
      </w:r>
      <w:r>
        <w:rPr>
          <w:rFonts w:ascii="仿宋_GB2312" w:eastAsia="仿宋_GB2312"/>
          <w:color w:val="000000" w:themeColor="text1"/>
          <w:sz w:val="32"/>
          <w:szCs w:val="32"/>
          <w14:textFill>
            <w14:solidFill>
              <w14:schemeClr w14:val="tx1"/>
            </w14:solidFill>
          </w14:textFill>
        </w:rPr>
        <w:t>1000</w:t>
      </w:r>
      <w:r>
        <w:rPr>
          <w:rFonts w:hint="eastAsia" w:ascii="仿宋_GB2312" w:eastAsia="仿宋_GB2312"/>
          <w:color w:val="000000" w:themeColor="text1"/>
          <w:sz w:val="32"/>
          <w:szCs w:val="32"/>
          <w14:textFill>
            <w14:solidFill>
              <w14:schemeClr w14:val="tx1"/>
            </w14:solidFill>
          </w14:textFill>
        </w:rPr>
        <w:t>万元。</w:t>
      </w:r>
    </w:p>
    <w:p>
      <w:pPr>
        <w:widowControl w:val="0"/>
        <w:adjustRightInd w:val="0"/>
        <w:snapToGrid w:val="0"/>
        <w:spacing w:line="560" w:lineRule="exact"/>
        <w:ind w:firstLine="642"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5</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商贸业总部企业。</w:t>
      </w:r>
      <w:r>
        <w:rPr>
          <w:rFonts w:hint="eastAsia" w:ascii="仿宋_GB2312" w:eastAsia="仿宋_GB2312"/>
          <w:color w:val="000000" w:themeColor="text1"/>
          <w:sz w:val="32"/>
          <w:szCs w:val="32"/>
          <w14:textFill>
            <w14:solidFill>
              <w14:schemeClr w14:val="tx1"/>
            </w14:solidFill>
          </w14:textFill>
        </w:rPr>
        <w:t>批发业企业，上一年度纳入本区统计的营业收入不低于</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亿元；零售业企业，上一年度纳入本区统计的营业收入不低于</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亿元。形成光明区地方财力不低于</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000万元。</w:t>
      </w:r>
    </w:p>
    <w:p>
      <w:pPr>
        <w:widowControl w:val="0"/>
        <w:adjustRightInd w:val="0"/>
        <w:snapToGrid w:val="0"/>
        <w:spacing w:line="560" w:lineRule="exact"/>
        <w:ind w:firstLine="642"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6</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商务服务业总部企业。</w:t>
      </w:r>
      <w:r>
        <w:rPr>
          <w:rFonts w:hint="eastAsia" w:ascii="仿宋_GB2312" w:eastAsia="仿宋_GB2312"/>
          <w:color w:val="000000" w:themeColor="text1"/>
          <w:sz w:val="32"/>
          <w:szCs w:val="32"/>
          <w14:textFill>
            <w14:solidFill>
              <w14:schemeClr w14:val="tx1"/>
            </w14:solidFill>
          </w14:textFill>
        </w:rPr>
        <w:t>入选中国注册会计师协会最新公布的综合评价百强会计师事务所榜单的企业，或入选中国资产评估协会最新公布的综合评价百强资产评估机构榜单的企业；其他会计师事务所、资产评估机构及律师事务所，上一年度纳入本区统计的营业收入不低于</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亿元；广告、人力资源服务等其他商务服务企业，上一年度纳入本区统计的营业收入不低于</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亿元。形成光明区地方财力不低于</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000万元。</w:t>
      </w:r>
    </w:p>
    <w:p>
      <w:pPr>
        <w:widowControl w:val="0"/>
        <w:adjustRightInd w:val="0"/>
        <w:snapToGrid w:val="0"/>
        <w:spacing w:line="560" w:lineRule="exact"/>
        <w:ind w:firstLine="642" w:firstLineChars="200"/>
        <w:jc w:val="both"/>
        <w:rPr>
          <w:rFonts w:ascii="仿宋_GB2312" w:hAnsi="Segoe UI" w:eastAsia="仿宋_GB2312" w:cs="Segoe UI"/>
          <w:color w:val="0070C0"/>
          <w:sz w:val="28"/>
          <w:szCs w:val="28"/>
        </w:rPr>
      </w:pPr>
      <w:r>
        <w:rPr>
          <w:rFonts w:hint="eastAsia" w:ascii="仿宋_GB2312" w:eastAsia="仿宋_GB2312"/>
          <w:b/>
          <w:color w:val="000000" w:themeColor="text1"/>
          <w:sz w:val="32"/>
          <w:szCs w:val="32"/>
          <w14:textFill>
            <w14:solidFill>
              <w14:schemeClr w14:val="tx1"/>
            </w14:solidFill>
          </w14:textFill>
        </w:rPr>
        <w:t>7</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科学研究和技术服务业总部企业。</w:t>
      </w:r>
      <w:r>
        <w:rPr>
          <w:rFonts w:hint="eastAsia" w:ascii="仿宋_GB2312" w:eastAsia="仿宋_GB2312"/>
          <w:color w:val="000000" w:themeColor="text1"/>
          <w:sz w:val="32"/>
          <w:szCs w:val="32"/>
          <w14:textFill>
            <w14:solidFill>
              <w14:schemeClr w14:val="tx1"/>
            </w14:solidFill>
          </w14:textFill>
        </w:rPr>
        <w:t>企业上一年度纳入本区统计的营业收入不低于</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亿元，形成光明区地方财力不低于</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00万元。</w:t>
      </w:r>
    </w:p>
    <w:p>
      <w:pPr>
        <w:widowControl w:val="0"/>
        <w:adjustRightInd w:val="0"/>
        <w:snapToGrid w:val="0"/>
        <w:spacing w:line="560" w:lineRule="exact"/>
        <w:ind w:firstLine="642"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8</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其他行业总部企业。</w:t>
      </w:r>
      <w:r>
        <w:rPr>
          <w:rFonts w:hint="eastAsia" w:ascii="仿宋_GB2312" w:eastAsia="仿宋_GB2312"/>
          <w:color w:val="000000" w:themeColor="text1"/>
          <w:sz w:val="32"/>
          <w:szCs w:val="32"/>
          <w14:textFill>
            <w14:solidFill>
              <w14:schemeClr w14:val="tx1"/>
            </w14:solidFill>
          </w14:textFill>
        </w:rPr>
        <w:t>上一年度纳入本区统计的营业收入不低于</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亿元，形成光明区地方财力不低于</w:t>
      </w:r>
      <w:r>
        <w:rPr>
          <w:rFonts w:ascii="仿宋_GB2312" w:eastAsia="仿宋_GB2312"/>
          <w:color w:val="000000" w:themeColor="text1"/>
          <w:sz w:val="32"/>
          <w:szCs w:val="32"/>
          <w14:textFill>
            <w14:solidFill>
              <w14:schemeClr w14:val="tx1"/>
            </w14:solidFill>
          </w14:textFill>
        </w:rPr>
        <w:t>2000</w:t>
      </w:r>
      <w:r>
        <w:rPr>
          <w:rFonts w:hint="eastAsia" w:ascii="仿宋_GB2312" w:eastAsia="仿宋_GB2312"/>
          <w:color w:val="000000" w:themeColor="text1"/>
          <w:sz w:val="32"/>
          <w:szCs w:val="32"/>
          <w14:textFill>
            <w14:solidFill>
              <w14:schemeClr w14:val="tx1"/>
            </w14:solidFill>
          </w14:textFill>
        </w:rPr>
        <w:t>万元。</w:t>
      </w:r>
    </w:p>
    <w:p>
      <w:pPr>
        <w:widowControl w:val="0"/>
        <w:adjustRightInd w:val="0"/>
        <w:snapToGrid w:val="0"/>
        <w:spacing w:line="560" w:lineRule="exact"/>
        <w:ind w:firstLine="636"/>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第六条</w:t>
      </w:r>
      <w:r>
        <w:rPr>
          <w:rFonts w:hint="eastAsia" w:ascii="黑体" w:hAnsi="黑体" w:eastAsia="黑体" w:cs="宋体"/>
          <w:color w:val="000000" w:themeColor="text1"/>
          <w:kern w:val="2"/>
          <w:sz w:val="32"/>
          <w:szCs w:val="32"/>
          <w14:textFill>
            <w14:solidFill>
              <w14:schemeClr w14:val="tx1"/>
            </w14:solidFill>
          </w14:textFill>
        </w:rPr>
        <w:t>【限制性情况】</w:t>
      </w:r>
      <w:r>
        <w:rPr>
          <w:rFonts w:hint="eastAsia" w:ascii="仿宋_GB2312" w:hAnsi="宋体" w:eastAsia="仿宋_GB2312" w:cs="宋体"/>
          <w:color w:val="000000" w:themeColor="text1"/>
          <w:kern w:val="2"/>
          <w:sz w:val="32"/>
          <w:szCs w:val="32"/>
          <w14:textFill>
            <w14:solidFill>
              <w14:schemeClr w14:val="tx1"/>
            </w14:solidFill>
          </w14:textFill>
        </w:rPr>
        <w:t>符合本办法第四条、第五条规定条件，但属于光明区总部企业的全资或控股子公司的企业，不再给予光明区总部企业认定。</w:t>
      </w:r>
    </w:p>
    <w:p>
      <w:pPr>
        <w:widowControl w:val="0"/>
        <w:adjustRightInd w:val="0"/>
        <w:snapToGrid w:val="0"/>
        <w:spacing w:line="560" w:lineRule="exact"/>
        <w:ind w:firstLine="636"/>
        <w:jc w:val="both"/>
        <w:rPr>
          <w:rFonts w:ascii="仿宋_GB2312" w:hAnsi="宋体" w:eastAsia="仿宋_GB2312" w:cs="宋体"/>
          <w:color w:val="000000" w:themeColor="text1"/>
          <w:kern w:val="2"/>
          <w:sz w:val="32"/>
          <w:szCs w:val="32"/>
          <w14:textFill>
            <w14:solidFill>
              <w14:schemeClr w14:val="tx1"/>
            </w14:solidFill>
          </w14:textFill>
        </w:rPr>
      </w:pPr>
    </w:p>
    <w:p>
      <w:pPr>
        <w:widowControl w:val="0"/>
        <w:adjustRightInd w:val="0"/>
        <w:snapToGrid w:val="0"/>
        <w:spacing w:line="560" w:lineRule="exact"/>
        <w:jc w:val="center"/>
        <w:outlineLvl w:val="1"/>
        <w:rPr>
          <w:rFonts w:ascii="黑体" w:hAnsi="黑体" w:eastAsia="黑体" w:cs="黑体"/>
          <w:color w:val="000000" w:themeColor="text1"/>
          <w:kern w:val="2"/>
          <w:sz w:val="36"/>
          <w:szCs w:val="36"/>
          <w14:textFill>
            <w14:solidFill>
              <w14:schemeClr w14:val="tx1"/>
            </w14:solidFill>
          </w14:textFill>
        </w:rPr>
      </w:pPr>
      <w:r>
        <w:rPr>
          <w:rFonts w:hint="eastAsia" w:ascii="黑体" w:hAnsi="黑体" w:eastAsia="黑体" w:cs="黑体"/>
          <w:color w:val="000000" w:themeColor="text1"/>
          <w:kern w:val="2"/>
          <w:sz w:val="36"/>
          <w:szCs w:val="36"/>
          <w14:textFill>
            <w14:solidFill>
              <w14:schemeClr w14:val="tx1"/>
            </w14:solidFill>
          </w14:textFill>
        </w:rPr>
        <w:t>第三章  认定程序</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第七条</w:t>
      </w:r>
      <w:r>
        <w:rPr>
          <w:rFonts w:hint="eastAsia" w:ascii="黑体" w:hAnsi="黑体" w:eastAsia="黑体" w:cs="宋体"/>
          <w:color w:val="000000" w:themeColor="text1"/>
          <w:kern w:val="2"/>
          <w:sz w:val="32"/>
          <w:szCs w:val="32"/>
          <w14:textFill>
            <w14:solidFill>
              <w14:schemeClr w14:val="tx1"/>
            </w14:solidFill>
          </w14:textFill>
        </w:rPr>
        <w:t>【直接认定程序】</w:t>
      </w:r>
      <w:r>
        <w:rPr>
          <w:rFonts w:hint="eastAsia" w:ascii="仿宋_GB2312" w:hAnsi="宋体" w:eastAsia="仿宋_GB2312" w:cs="宋体"/>
          <w:color w:val="000000" w:themeColor="text1"/>
          <w:kern w:val="2"/>
          <w:sz w:val="32"/>
          <w:szCs w:val="32"/>
          <w14:textFill>
            <w14:solidFill>
              <w14:schemeClr w14:val="tx1"/>
            </w14:solidFill>
          </w14:textFill>
        </w:rPr>
        <w:t>符合本办法第五条“直接认定</w:t>
      </w:r>
      <w:r>
        <w:rPr>
          <w:rFonts w:ascii="仿宋_GB2312" w:hAnsi="宋体" w:eastAsia="仿宋_GB2312" w:cs="宋体"/>
          <w:color w:val="000000" w:themeColor="text1"/>
          <w:kern w:val="2"/>
          <w:sz w:val="32"/>
          <w:szCs w:val="32"/>
          <w14:textFill>
            <w14:solidFill>
              <w14:schemeClr w14:val="tx1"/>
            </w14:solidFill>
          </w14:textFill>
        </w:rPr>
        <w:t>”</w:t>
      </w:r>
      <w:r>
        <w:rPr>
          <w:rFonts w:hint="eastAsia" w:ascii="仿宋_GB2312" w:hAnsi="宋体" w:eastAsia="仿宋_GB2312" w:cs="宋体"/>
          <w:color w:val="000000" w:themeColor="text1"/>
          <w:kern w:val="2"/>
          <w:sz w:val="32"/>
          <w:szCs w:val="32"/>
          <w14:textFill>
            <w14:solidFill>
              <w14:schemeClr w14:val="tx1"/>
            </w14:solidFill>
          </w14:textFill>
        </w:rPr>
        <w:t>条件的企业，可向区总部经济主管部门提交相关材料办理备案手续，经区总部经济主管部门审核备案材料齐全、真实的，给予备案并直接认定为“光明区总部企业”，经公示后纳入光明区总部企业名录。</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第八条</w:t>
      </w:r>
      <w:r>
        <w:rPr>
          <w:rFonts w:hint="eastAsia" w:ascii="黑体" w:hAnsi="黑体" w:eastAsia="黑体" w:cs="宋体"/>
          <w:color w:val="000000" w:themeColor="text1"/>
          <w:kern w:val="2"/>
          <w:sz w:val="32"/>
          <w:szCs w:val="32"/>
          <w14:textFill>
            <w14:solidFill>
              <w14:schemeClr w14:val="tx1"/>
            </w14:solidFill>
          </w14:textFill>
        </w:rPr>
        <w:t>【申请认定程序】</w:t>
      </w:r>
      <w:r>
        <w:rPr>
          <w:rFonts w:hint="eastAsia" w:ascii="仿宋_GB2312" w:hAnsi="宋体" w:eastAsia="仿宋_GB2312" w:cs="宋体"/>
          <w:color w:val="000000" w:themeColor="text1"/>
          <w:kern w:val="2"/>
          <w:sz w:val="32"/>
          <w:szCs w:val="32"/>
          <w14:textFill>
            <w14:solidFill>
              <w14:schemeClr w14:val="tx1"/>
            </w14:solidFill>
          </w14:textFill>
        </w:rPr>
        <w:t>符合本办法第五条“申请认定”条件的企业，按以下程序向区总部经济主管部门申请认定。申请认定工作采取集中受理、集中评审、集中认定方式，每年组织认定一次。区总部经济主管部门负责发布申报通知，明确申请材料、申请时间等事项。</w:t>
      </w:r>
    </w:p>
    <w:p>
      <w:pPr>
        <w:widowControl w:val="0"/>
        <w:adjustRightInd w:val="0"/>
        <w:snapToGrid w:val="0"/>
        <w:spacing w:line="560" w:lineRule="exact"/>
        <w:ind w:firstLine="636"/>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第九条</w:t>
      </w:r>
      <w:r>
        <w:rPr>
          <w:rFonts w:hint="eastAsia" w:ascii="黑体" w:hAnsi="黑体" w:eastAsia="黑体" w:cs="宋体"/>
          <w:color w:val="000000" w:themeColor="text1"/>
          <w:kern w:val="2"/>
          <w:sz w:val="32"/>
          <w:szCs w:val="32"/>
          <w14:textFill>
            <w14:solidFill>
              <w14:schemeClr w14:val="tx1"/>
            </w14:solidFill>
          </w14:textFill>
        </w:rPr>
        <w:t>【提出申请】</w:t>
      </w:r>
      <w:r>
        <w:rPr>
          <w:rFonts w:hint="eastAsia" w:ascii="仿宋_GB2312" w:hAnsi="宋体" w:eastAsia="仿宋_GB2312" w:cs="宋体"/>
          <w:color w:val="000000" w:themeColor="text1"/>
          <w:kern w:val="2"/>
          <w:sz w:val="32"/>
          <w:szCs w:val="32"/>
          <w14:textFill>
            <w14:solidFill>
              <w14:schemeClr w14:val="tx1"/>
            </w14:solidFill>
          </w14:textFill>
        </w:rPr>
        <w:t>符合本办法规定条件的企业，按照区总部经济主管部门所发布申报通知的要求提交申请材料。</w:t>
      </w:r>
    </w:p>
    <w:p>
      <w:pPr>
        <w:widowControl w:val="0"/>
        <w:adjustRightInd w:val="0"/>
        <w:snapToGrid w:val="0"/>
        <w:spacing w:line="560" w:lineRule="exact"/>
        <w:ind w:firstLine="636"/>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第十条</w:t>
      </w:r>
      <w:r>
        <w:rPr>
          <w:rFonts w:hint="eastAsia" w:ascii="黑体" w:hAnsi="黑体" w:eastAsia="黑体" w:cs="宋体"/>
          <w:color w:val="000000" w:themeColor="text1"/>
          <w:kern w:val="2"/>
          <w:sz w:val="32"/>
          <w:szCs w:val="32"/>
          <w14:textFill>
            <w14:solidFill>
              <w14:schemeClr w14:val="tx1"/>
            </w14:solidFill>
          </w14:textFill>
        </w:rPr>
        <w:t>【受理申请】</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区总部经济主管部门负责对申请单位提交的申请材料进行形式审查。经审查，申请材料齐全的予以受理；申请材料不齐全的，应一次性告知申请单位需补齐的材料。</w:t>
      </w:r>
    </w:p>
    <w:p>
      <w:pPr>
        <w:widowControl w:val="0"/>
        <w:adjustRightInd w:val="0"/>
        <w:snapToGrid w:val="0"/>
        <w:spacing w:line="560" w:lineRule="exact"/>
        <w:ind w:firstLine="636"/>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第十一条</w:t>
      </w:r>
      <w:r>
        <w:rPr>
          <w:rFonts w:hint="eastAsia" w:ascii="黑体" w:hAnsi="黑体" w:eastAsia="黑体" w:cs="宋体"/>
          <w:color w:val="000000" w:themeColor="text1"/>
          <w:kern w:val="2"/>
          <w:sz w:val="32"/>
          <w:szCs w:val="32"/>
          <w14:textFill>
            <w14:solidFill>
              <w14:schemeClr w14:val="tx1"/>
            </w14:solidFill>
          </w14:textFill>
        </w:rPr>
        <w:t>【审核审定】</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负责对申请单位的申请材料进行实质性审核，必要时可组织专家评审或对申请单位的有关情况进行实地核查。区统计、税务、市场监管等职能部门配合区总部经济主管部门审核有关事项。审核后形成初步名单，报区政府审定。</w:t>
      </w:r>
    </w:p>
    <w:p>
      <w:pPr>
        <w:widowControl w:val="0"/>
        <w:adjustRightInd w:val="0"/>
        <w:snapToGrid w:val="0"/>
        <w:spacing w:line="560" w:lineRule="exact"/>
        <w:ind w:firstLine="636"/>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第十二条</w:t>
      </w:r>
      <w:r>
        <w:rPr>
          <w:rFonts w:hint="eastAsia" w:ascii="黑体" w:hAnsi="黑体" w:eastAsia="黑体" w:cs="宋体"/>
          <w:color w:val="000000" w:themeColor="text1"/>
          <w:kern w:val="2"/>
          <w:sz w:val="32"/>
          <w:szCs w:val="32"/>
          <w14:textFill>
            <w14:solidFill>
              <w14:schemeClr w14:val="tx1"/>
            </w14:solidFill>
          </w14:textFill>
        </w:rPr>
        <w:t>【公示】</w:t>
      </w:r>
      <w:r>
        <w:rPr>
          <w:rFonts w:hint="eastAsia" w:ascii="仿宋_GB2312" w:hAnsi="宋体" w:eastAsia="仿宋_GB2312" w:cs="宋体"/>
          <w:color w:val="000000" w:themeColor="text1"/>
          <w:kern w:val="2"/>
          <w:sz w:val="32"/>
          <w:szCs w:val="32"/>
          <w14:textFill>
            <w14:solidFill>
              <w14:schemeClr w14:val="tx1"/>
            </w14:solidFill>
          </w14:textFill>
        </w:rPr>
        <w:t>经区政府审定的区总部企业名单在区政府网站公示，公示期不少于5个工作日。公示期有异议的，由区总部经济主管部门负责对异议情况进行处理；区总部经济主管部门无法处理的异议，报区政府进行审议处理。</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第十三条【纳入名录与授证】</w:t>
      </w:r>
      <w:r>
        <w:rPr>
          <w:rFonts w:hint="eastAsia" w:eastAsia="仿宋_GB2312" w:cs="宋体"/>
          <w:color w:val="000000" w:themeColor="text1"/>
          <w:kern w:val="2"/>
          <w:sz w:val="32"/>
          <w:szCs w:val="21"/>
          <w14:textFill>
            <w14:solidFill>
              <w14:schemeClr w14:val="tx1"/>
            </w14:solidFill>
          </w14:textFill>
        </w:rPr>
        <w:t>公示期满无异议或异议不成立的，</w:t>
      </w:r>
      <w:r>
        <w:rPr>
          <w:rFonts w:hint="eastAsia" w:ascii="仿宋_GB2312" w:hAnsi="宋体" w:eastAsia="仿宋_GB2312" w:cs="宋体"/>
          <w:color w:val="000000" w:themeColor="text1"/>
          <w:kern w:val="2"/>
          <w:sz w:val="32"/>
          <w:szCs w:val="32"/>
          <w14:textFill>
            <w14:solidFill>
              <w14:schemeClr w14:val="tx1"/>
            </w14:solidFill>
          </w14:textFill>
        </w:rPr>
        <w:t>纳入光明区总部企业名录，并在区政府网站公开，供社会各界查询。</w:t>
      </w:r>
      <w:r>
        <w:rPr>
          <w:rFonts w:hint="eastAsia" w:eastAsia="仿宋_GB2312" w:cs="宋体"/>
          <w:color w:val="000000" w:themeColor="text1"/>
          <w:kern w:val="2"/>
          <w:sz w:val="32"/>
          <w:szCs w:val="21"/>
          <w14:textFill>
            <w14:solidFill>
              <w14:schemeClr w14:val="tx1"/>
            </w14:solidFill>
          </w14:textFill>
        </w:rPr>
        <w:t>经认定的区总部企业，授予“光明区总部企业”证书和牌匾，</w:t>
      </w:r>
      <w:r>
        <w:rPr>
          <w:rFonts w:hint="eastAsia" w:ascii="仿宋_GB2312" w:hAnsi="宋体" w:eastAsia="仿宋_GB2312" w:cs="宋体"/>
          <w:color w:val="000000" w:themeColor="text1"/>
          <w:kern w:val="2"/>
          <w:sz w:val="32"/>
          <w:szCs w:val="32"/>
          <w14:textFill>
            <w14:solidFill>
              <w14:schemeClr w14:val="tx1"/>
            </w14:solidFill>
          </w14:textFill>
        </w:rPr>
        <w:t>证书有效期为3年。</w:t>
      </w:r>
    </w:p>
    <w:p>
      <w:pPr>
        <w:widowControl w:val="0"/>
        <w:adjustRightInd w:val="0"/>
        <w:snapToGrid w:val="0"/>
        <w:spacing w:line="560" w:lineRule="exact"/>
        <w:ind w:firstLine="640" w:firstLineChars="200"/>
        <w:jc w:val="both"/>
        <w:rPr>
          <w:rFonts w:eastAsia="仿宋_GB2312" w:cs="宋体"/>
          <w:color w:val="000000" w:themeColor="text1"/>
          <w:kern w:val="2"/>
          <w:sz w:val="32"/>
          <w:szCs w:val="21"/>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第十四条【驳回认定】</w:t>
      </w:r>
      <w:r>
        <w:rPr>
          <w:rFonts w:hint="eastAsia" w:eastAsia="仿宋_GB2312" w:cs="宋体"/>
          <w:color w:val="000000" w:themeColor="text1"/>
          <w:kern w:val="2"/>
          <w:sz w:val="32"/>
          <w:szCs w:val="21"/>
          <w14:textFill>
            <w14:solidFill>
              <w14:schemeClr w14:val="tx1"/>
            </w14:solidFill>
          </w14:textFill>
        </w:rPr>
        <w:t>经审核，申请单位不符合认定条件，或未在规定的时间内提交符合要求的申请材料的，</w:t>
      </w:r>
      <w:r>
        <w:rPr>
          <w:rFonts w:hint="eastAsia" w:ascii="仿宋_GB2312" w:hAnsi="宋体" w:eastAsia="仿宋_GB2312" w:cs="宋体"/>
          <w:color w:val="000000" w:themeColor="text1"/>
          <w:kern w:val="2"/>
          <w:sz w:val="32"/>
          <w:szCs w:val="32"/>
          <w14:textFill>
            <w14:solidFill>
              <w14:schemeClr w14:val="tx1"/>
            </w14:solidFill>
          </w14:textFill>
        </w:rPr>
        <w:t>由区总部经济主管部门</w:t>
      </w:r>
      <w:r>
        <w:rPr>
          <w:rFonts w:hint="eastAsia" w:eastAsia="仿宋_GB2312" w:cs="宋体"/>
          <w:color w:val="000000" w:themeColor="text1"/>
          <w:kern w:val="2"/>
          <w:sz w:val="32"/>
          <w:szCs w:val="21"/>
          <w14:textFill>
            <w14:solidFill>
              <w14:schemeClr w14:val="tx1"/>
            </w14:solidFill>
          </w14:textFill>
        </w:rPr>
        <w:t>负责驳回申请，并告知申请单位驳回事由。</w:t>
      </w:r>
    </w:p>
    <w:p>
      <w:pPr>
        <w:widowControl w:val="0"/>
        <w:adjustRightInd w:val="0"/>
        <w:snapToGrid w:val="0"/>
        <w:spacing w:line="560" w:lineRule="exact"/>
        <w:ind w:firstLine="636"/>
        <w:jc w:val="both"/>
        <w:rPr>
          <w:rFonts w:ascii="仿宋_GB2312"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第十五条</w:t>
      </w:r>
      <w:r>
        <w:rPr>
          <w:rFonts w:hint="eastAsia" w:ascii="黑体" w:hAnsi="黑体" w:eastAsia="黑体" w:cs="宋体"/>
          <w:color w:val="000000" w:themeColor="text1"/>
          <w:kern w:val="2"/>
          <w:sz w:val="32"/>
          <w:szCs w:val="32"/>
          <w14:textFill>
            <w14:solidFill>
              <w14:schemeClr w14:val="tx1"/>
            </w14:solidFill>
          </w14:textFill>
        </w:rPr>
        <w:t>【资质复审与动态调整】</w:t>
      </w:r>
      <w:r>
        <w:rPr>
          <w:rFonts w:hint="eastAsia" w:ascii="仿宋_GB2312" w:eastAsia="仿宋_GB2312"/>
          <w:color w:val="000000" w:themeColor="text1"/>
          <w:sz w:val="32"/>
          <w:szCs w:val="32"/>
          <w14:textFill>
            <w14:solidFill>
              <w14:schemeClr w14:val="tx1"/>
            </w14:solidFill>
          </w14:textFill>
        </w:rPr>
        <w:t>实施总部企业复审和动态调整机制，对已认定的区总部企业实行动态管理,复审程序与认定程序相同。首次认定满3年后由</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区总部经济主管部门负责</w:t>
      </w:r>
      <w:r>
        <w:rPr>
          <w:rFonts w:hint="eastAsia" w:ascii="仿宋_GB2312" w:eastAsia="仿宋_GB2312"/>
          <w:color w:val="000000" w:themeColor="text1"/>
          <w:sz w:val="32"/>
          <w:szCs w:val="32"/>
          <w14:textFill>
            <w14:solidFill>
              <w14:schemeClr w14:val="tx1"/>
            </w14:solidFill>
          </w14:textFill>
        </w:rPr>
        <w:t>组织开展复审，通过复审的企业，纳入“光明区常青藤总部企业”名录；“光明区常青藤总部企业”每三年复审一次。未通过复审的企业，调出光明区总部企业名录，</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年内不得申请复审，</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年后符合条件的可再次申请复审。</w:t>
      </w:r>
    </w:p>
    <w:p>
      <w:pPr>
        <w:widowControl w:val="0"/>
        <w:adjustRightInd w:val="0"/>
        <w:snapToGrid w:val="0"/>
        <w:spacing w:line="560" w:lineRule="exact"/>
        <w:ind w:firstLine="636"/>
        <w:jc w:val="both"/>
        <w:rPr>
          <w:rFonts w:ascii="仿宋_GB2312" w:eastAsia="仿宋_GB2312"/>
          <w:color w:val="000000" w:themeColor="text1"/>
          <w:sz w:val="32"/>
          <w:szCs w:val="32"/>
          <w14:textFill>
            <w14:solidFill>
              <w14:schemeClr w14:val="tx1"/>
            </w14:solidFill>
          </w14:textFill>
        </w:rPr>
      </w:pPr>
    </w:p>
    <w:p>
      <w:pPr>
        <w:widowControl w:val="0"/>
        <w:adjustRightInd w:val="0"/>
        <w:snapToGrid w:val="0"/>
        <w:spacing w:line="560" w:lineRule="exact"/>
        <w:jc w:val="center"/>
        <w:outlineLvl w:val="1"/>
        <w:rPr>
          <w:rFonts w:ascii="黑体" w:hAnsi="黑体" w:eastAsia="黑体" w:cs="黑体"/>
          <w:color w:val="000000" w:themeColor="text1"/>
          <w:kern w:val="2"/>
          <w:sz w:val="36"/>
          <w:szCs w:val="36"/>
          <w14:textFill>
            <w14:solidFill>
              <w14:schemeClr w14:val="tx1"/>
            </w14:solidFill>
          </w14:textFill>
        </w:rPr>
      </w:pPr>
      <w:bookmarkStart w:id="2" w:name="_Toc100703132"/>
      <w:r>
        <w:rPr>
          <w:rFonts w:hint="eastAsia" w:ascii="黑体" w:hAnsi="黑体" w:eastAsia="黑体" w:cs="黑体"/>
          <w:color w:val="000000" w:themeColor="text1"/>
          <w:kern w:val="2"/>
          <w:sz w:val="36"/>
          <w:szCs w:val="36"/>
          <w14:textFill>
            <w14:solidFill>
              <w14:schemeClr w14:val="tx1"/>
            </w14:solidFill>
          </w14:textFill>
        </w:rPr>
        <w:t>第四章  支持</w:t>
      </w:r>
      <w:bookmarkEnd w:id="2"/>
      <w:r>
        <w:rPr>
          <w:rFonts w:hint="eastAsia" w:ascii="黑体" w:hAnsi="黑体" w:eastAsia="黑体" w:cs="黑体"/>
          <w:color w:val="000000" w:themeColor="text1"/>
          <w:kern w:val="2"/>
          <w:sz w:val="36"/>
          <w:szCs w:val="36"/>
          <w14:textFill>
            <w14:solidFill>
              <w14:schemeClr w14:val="tx1"/>
            </w14:solidFill>
          </w14:textFill>
        </w:rPr>
        <w:t>政策</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第十六条</w:t>
      </w:r>
      <w:r>
        <w:rPr>
          <w:rFonts w:hint="eastAsia" w:ascii="黑体" w:hAnsi="黑体" w:eastAsia="黑体" w:cs="宋体"/>
          <w:color w:val="000000" w:themeColor="text1"/>
          <w:kern w:val="2"/>
          <w:sz w:val="32"/>
          <w:szCs w:val="32"/>
          <w14:textFill>
            <w14:solidFill>
              <w14:schemeClr w14:val="tx1"/>
            </w14:solidFill>
          </w14:textFill>
        </w:rPr>
        <w:t>【经济贡献奖励】</w:t>
      </w:r>
      <w:r>
        <w:rPr>
          <w:rFonts w:hint="eastAsia" w:ascii="仿宋_GB2312" w:hAnsi="微软雅黑" w:eastAsia="仿宋_GB2312" w:cs="宋体"/>
          <w:color w:val="000000" w:themeColor="text1"/>
          <w:sz w:val="32"/>
          <w:szCs w:val="32"/>
          <w14:textFill>
            <w14:solidFill>
              <w14:schemeClr w14:val="tx1"/>
            </w14:solidFill>
          </w14:textFill>
        </w:rPr>
        <w:t>企业首次认定为区总部企业的后三个年度，年度纳入光明区统计的产值（营业收入）增速高于全区行业产值（营业收入）增速的,按照年产值（营业收入）增量部分的</w:t>
      </w:r>
      <w:r>
        <w:rPr>
          <w:rFonts w:ascii="仿宋_GB2312" w:hAnsi="微软雅黑" w:eastAsia="仿宋_GB2312" w:cs="宋体"/>
          <w:color w:val="000000" w:themeColor="text1"/>
          <w:sz w:val="32"/>
          <w:szCs w:val="32"/>
          <w14:textFill>
            <w14:solidFill>
              <w14:schemeClr w14:val="tx1"/>
            </w14:solidFill>
          </w14:textFill>
        </w:rPr>
        <w:t>1</w:t>
      </w:r>
      <w:r>
        <w:rPr>
          <w:rFonts w:hint="eastAsia" w:ascii="仿宋_GB2312" w:hAnsi="微软雅黑" w:eastAsia="仿宋_GB2312" w:cs="宋体"/>
          <w:color w:val="000000" w:themeColor="text1"/>
          <w:sz w:val="32"/>
          <w:szCs w:val="32"/>
          <w14:textFill>
            <w14:solidFill>
              <w14:schemeClr w14:val="tx1"/>
            </w14:solidFill>
          </w14:textFill>
        </w:rPr>
        <w:t>%、最高</w:t>
      </w:r>
      <w:r>
        <w:rPr>
          <w:rFonts w:ascii="仿宋_GB2312" w:hAnsi="微软雅黑" w:eastAsia="仿宋_GB2312" w:cs="宋体"/>
          <w:color w:val="000000" w:themeColor="text1"/>
          <w:sz w:val="32"/>
          <w:szCs w:val="32"/>
          <w14:textFill>
            <w14:solidFill>
              <w14:schemeClr w14:val="tx1"/>
            </w14:solidFill>
          </w14:textFill>
        </w:rPr>
        <w:t>1000</w:t>
      </w:r>
      <w:r>
        <w:rPr>
          <w:rFonts w:hint="eastAsia" w:ascii="仿宋_GB2312" w:hAnsi="微软雅黑" w:eastAsia="仿宋_GB2312" w:cs="宋体"/>
          <w:color w:val="000000" w:themeColor="text1"/>
          <w:sz w:val="32"/>
          <w:szCs w:val="32"/>
          <w14:textFill>
            <w14:solidFill>
              <w14:schemeClr w14:val="tx1"/>
            </w14:solidFill>
          </w14:textFill>
        </w:rPr>
        <w:t>万元给予奖励</w:t>
      </w:r>
      <w:r>
        <w:rPr>
          <w:rFonts w:hint="eastAsia" w:ascii="仿宋_GB2312" w:eastAsia="仿宋_GB2312"/>
          <w:color w:val="000000" w:themeColor="text1"/>
          <w:sz w:val="32"/>
          <w:szCs w:val="32"/>
          <w14:textFill>
            <w14:solidFill>
              <w14:schemeClr w14:val="tx1"/>
            </w14:solidFill>
          </w14:textFill>
        </w:rPr>
        <w:t>。</w:t>
      </w:r>
    </w:p>
    <w:p>
      <w:pPr>
        <w:widowControl w:val="0"/>
        <w:adjustRightInd w:val="0"/>
        <w:snapToGrid w:val="0"/>
        <w:spacing w:line="560" w:lineRule="exact"/>
        <w:ind w:firstLine="640" w:firstLineChars="200"/>
        <w:jc w:val="both"/>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第十七条</w:t>
      </w:r>
      <w:r>
        <w:rPr>
          <w:rFonts w:hint="eastAsia" w:ascii="黑体" w:hAnsi="黑体" w:eastAsia="黑体" w:cs="宋体"/>
          <w:color w:val="000000" w:themeColor="text1"/>
          <w:kern w:val="2"/>
          <w:sz w:val="32"/>
          <w:szCs w:val="32"/>
          <w14:textFill>
            <w14:solidFill>
              <w14:schemeClr w14:val="tx1"/>
            </w14:solidFill>
          </w14:textFill>
        </w:rPr>
        <w:t>【委外加工支持】</w:t>
      </w:r>
      <w:r>
        <w:rPr>
          <w:rFonts w:hint="eastAsia" w:ascii="仿宋_GB2312" w:hAnsi="仿宋" w:eastAsia="仿宋_GB2312" w:cs="宋体"/>
          <w:color w:val="000000" w:themeColor="text1"/>
          <w:sz w:val="32"/>
          <w:szCs w:val="32"/>
          <w14:textFill>
            <w14:solidFill>
              <w14:schemeClr w14:val="tx1"/>
            </w14:solidFill>
          </w14:textFill>
        </w:rPr>
        <w:t>鼓励工业总部企业通过委外加工等方式扩大生产和产能回归，对于上年度委外加工产值保持正增长的总部企业，按其上年度新增委外加工产值的1</w:t>
      </w:r>
      <w:r>
        <w:rPr>
          <w:rFonts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s="宋体"/>
          <w:color w:val="000000" w:themeColor="text1"/>
          <w:sz w:val="32"/>
          <w:szCs w:val="32"/>
          <w14:textFill>
            <w14:solidFill>
              <w14:schemeClr w14:val="tx1"/>
            </w14:solidFill>
          </w14:textFill>
        </w:rPr>
        <w:t>及存量委外加工产值的1‰给予奖励，年度最高奖励</w:t>
      </w:r>
      <w:r>
        <w:rPr>
          <w:rFonts w:ascii="仿宋_GB2312" w:hAnsi="仿宋" w:eastAsia="仿宋_GB2312" w:cs="宋体"/>
          <w:color w:val="000000" w:themeColor="text1"/>
          <w:sz w:val="32"/>
          <w:szCs w:val="32"/>
          <w14:textFill>
            <w14:solidFill>
              <w14:schemeClr w14:val="tx1"/>
            </w14:solidFill>
          </w14:textFill>
        </w:rPr>
        <w:t>5</w:t>
      </w:r>
      <w:r>
        <w:rPr>
          <w:rFonts w:hint="eastAsia" w:ascii="仿宋_GB2312" w:hAnsi="仿宋" w:eastAsia="仿宋_GB2312" w:cs="宋体"/>
          <w:color w:val="000000" w:themeColor="text1"/>
          <w:sz w:val="32"/>
          <w:szCs w:val="32"/>
          <w14:textFill>
            <w14:solidFill>
              <w14:schemeClr w14:val="tx1"/>
            </w14:solidFill>
          </w14:textFill>
        </w:rPr>
        <w:t>00万元。每家总部企业最多享受3个年度的支持。</w:t>
      </w:r>
    </w:p>
    <w:p>
      <w:pPr>
        <w:widowControl w:val="0"/>
        <w:adjustRightInd w:val="0"/>
        <w:snapToGrid w:val="0"/>
        <w:spacing w:line="560" w:lineRule="exact"/>
        <w:ind w:firstLine="640" w:firstLineChars="200"/>
        <w:jc w:val="both"/>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发挥企业高管团队推动委外加工工作的积极性、主动性，对获得委外加工支持的企业高管团队，按企业所获委外加工奖励金额的1</w:t>
      </w:r>
      <w:r>
        <w:rPr>
          <w:rFonts w:ascii="仿宋_GB2312" w:hAnsi="仿宋" w:eastAsia="仿宋_GB2312" w:cs="宋体"/>
          <w:color w:val="000000" w:themeColor="text1"/>
          <w:sz w:val="32"/>
          <w:szCs w:val="32"/>
          <w14:textFill>
            <w14:solidFill>
              <w14:schemeClr w14:val="tx1"/>
            </w14:solidFill>
          </w14:textFill>
        </w:rPr>
        <w:t>0%</w:t>
      </w:r>
      <w:r>
        <w:rPr>
          <w:rFonts w:hint="eastAsia" w:ascii="仿宋_GB2312" w:hAnsi="仿宋" w:eastAsia="仿宋_GB2312" w:cs="宋体"/>
          <w:color w:val="000000" w:themeColor="text1"/>
          <w:sz w:val="32"/>
          <w:szCs w:val="32"/>
          <w14:textFill>
            <w14:solidFill>
              <w14:schemeClr w14:val="tx1"/>
            </w14:solidFill>
          </w14:textFill>
        </w:rPr>
        <w:t>，给予其高管团队配套奖励。</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第十八条</w:t>
      </w:r>
      <w:r>
        <w:rPr>
          <w:rFonts w:hint="eastAsia" w:ascii="黑体" w:hAnsi="黑体" w:eastAsia="黑体" w:cs="宋体"/>
          <w:color w:val="000000" w:themeColor="text1"/>
          <w:kern w:val="2"/>
          <w:sz w:val="32"/>
          <w:szCs w:val="32"/>
          <w14:textFill>
            <w14:solidFill>
              <w14:schemeClr w14:val="tx1"/>
            </w14:solidFill>
          </w14:textFill>
        </w:rPr>
        <w:t>【</w:t>
      </w:r>
      <w:bookmarkStart w:id="3" w:name="_Hlk97562782"/>
      <w:r>
        <w:rPr>
          <w:rFonts w:hint="eastAsia" w:ascii="黑体" w:hAnsi="黑体" w:eastAsia="黑体" w:cs="宋体"/>
          <w:color w:val="000000" w:themeColor="text1"/>
          <w:kern w:val="2"/>
          <w:sz w:val="32"/>
          <w:szCs w:val="32"/>
          <w14:textFill>
            <w14:solidFill>
              <w14:schemeClr w14:val="tx1"/>
            </w14:solidFill>
          </w14:textFill>
        </w:rPr>
        <w:t>常青藤总部企业</w:t>
      </w:r>
      <w:bookmarkEnd w:id="3"/>
      <w:r>
        <w:rPr>
          <w:rFonts w:hint="eastAsia" w:ascii="黑体" w:hAnsi="黑体" w:eastAsia="黑体" w:cs="宋体"/>
          <w:color w:val="000000" w:themeColor="text1"/>
          <w:kern w:val="2"/>
          <w:sz w:val="32"/>
          <w:szCs w:val="32"/>
          <w14:textFill>
            <w14:solidFill>
              <w14:schemeClr w14:val="tx1"/>
            </w14:solidFill>
          </w14:textFill>
        </w:rPr>
        <w:t>综合奖励】</w:t>
      </w:r>
      <w:r>
        <w:rPr>
          <w:rFonts w:hint="eastAsia" w:ascii="仿宋_GB2312" w:hAnsi="宋体" w:eastAsia="仿宋_GB2312" w:cs="宋体"/>
          <w:color w:val="000000" w:themeColor="text1"/>
          <w:kern w:val="2"/>
          <w:sz w:val="32"/>
          <w:szCs w:val="32"/>
          <w14:textFill>
            <w14:solidFill>
              <w14:schemeClr w14:val="tx1"/>
            </w14:solidFill>
          </w14:textFill>
        </w:rPr>
        <w:t>支持总部企业扎根光明发展，纳入</w:t>
      </w:r>
      <w:r>
        <w:rPr>
          <w:rFonts w:hint="eastAsia" w:ascii="仿宋_GB2312" w:hAnsi="仿宋" w:eastAsia="仿宋_GB2312" w:cs="宋体"/>
          <w:color w:val="000000" w:themeColor="text1"/>
          <w:sz w:val="32"/>
          <w:szCs w:val="32"/>
          <w14:textFill>
            <w14:solidFill>
              <w14:schemeClr w14:val="tx1"/>
            </w14:solidFill>
          </w14:textFill>
        </w:rPr>
        <w:t>“光明区常青藤总部企业”且上年度产值（营业收入）、地方财力贡献均保持正增长的，</w:t>
      </w:r>
      <w:r>
        <w:rPr>
          <w:rFonts w:hint="eastAsia" w:ascii="仿宋_GB2312" w:hAnsi="微软雅黑" w:eastAsia="仿宋_GB2312" w:cs="宋体"/>
          <w:color w:val="000000" w:themeColor="text1"/>
          <w:sz w:val="32"/>
          <w:szCs w:val="32"/>
          <w14:textFill>
            <w14:solidFill>
              <w14:schemeClr w14:val="tx1"/>
            </w14:solidFill>
          </w14:textFill>
        </w:rPr>
        <w:t>按照其</w:t>
      </w:r>
      <w:r>
        <w:rPr>
          <w:rFonts w:hint="eastAsia" w:ascii="仿宋_GB2312" w:hAnsi="仿宋" w:eastAsia="仿宋_GB2312" w:cs="宋体"/>
          <w:color w:val="000000" w:themeColor="text1"/>
          <w:sz w:val="32"/>
          <w:szCs w:val="32"/>
          <w14:textFill>
            <w14:solidFill>
              <w14:schemeClr w14:val="tx1"/>
            </w14:solidFill>
          </w14:textFill>
        </w:rPr>
        <w:t>上年度产值（营业收入）增量</w:t>
      </w:r>
      <w:r>
        <w:rPr>
          <w:rFonts w:hint="eastAsia" w:ascii="仿宋_GB2312" w:hAnsi="微软雅黑" w:eastAsia="仿宋_GB2312" w:cs="宋体"/>
          <w:color w:val="000000" w:themeColor="text1"/>
          <w:sz w:val="32"/>
          <w:szCs w:val="32"/>
          <w14:textFill>
            <w14:solidFill>
              <w14:schemeClr w14:val="tx1"/>
            </w14:solidFill>
          </w14:textFill>
        </w:rPr>
        <w:t>的</w:t>
      </w:r>
      <w:r>
        <w:rPr>
          <w:rFonts w:ascii="仿宋_GB2312" w:hAnsi="微软雅黑" w:eastAsia="仿宋_GB2312" w:cs="宋体"/>
          <w:color w:val="000000" w:themeColor="text1"/>
          <w:sz w:val="32"/>
          <w:szCs w:val="32"/>
          <w14:textFill>
            <w14:solidFill>
              <w14:schemeClr w14:val="tx1"/>
            </w14:solidFill>
          </w14:textFill>
        </w:rPr>
        <w:t>0.5</w:t>
      </w:r>
      <w:r>
        <w:rPr>
          <w:rFonts w:hint="eastAsia" w:ascii="仿宋_GB2312" w:hAnsi="微软雅黑" w:eastAsia="仿宋_GB2312" w:cs="宋体"/>
          <w:color w:val="000000" w:themeColor="text1"/>
          <w:sz w:val="32"/>
          <w:szCs w:val="32"/>
          <w14:textFill>
            <w14:solidFill>
              <w14:schemeClr w14:val="tx1"/>
            </w14:solidFill>
          </w14:textFill>
        </w:rPr>
        <w:t>%、最高</w:t>
      </w:r>
      <w:r>
        <w:rPr>
          <w:rFonts w:ascii="仿宋_GB2312" w:hAnsi="微软雅黑" w:eastAsia="仿宋_GB2312" w:cs="宋体"/>
          <w:color w:val="000000" w:themeColor="text1"/>
          <w:sz w:val="32"/>
          <w:szCs w:val="32"/>
          <w14:textFill>
            <w14:solidFill>
              <w14:schemeClr w14:val="tx1"/>
            </w14:solidFill>
          </w14:textFill>
        </w:rPr>
        <w:t>200</w:t>
      </w:r>
      <w:r>
        <w:rPr>
          <w:rFonts w:hint="eastAsia" w:ascii="仿宋_GB2312" w:hAnsi="微软雅黑" w:eastAsia="仿宋_GB2312" w:cs="宋体"/>
          <w:color w:val="000000" w:themeColor="text1"/>
          <w:sz w:val="32"/>
          <w:szCs w:val="32"/>
          <w14:textFill>
            <w14:solidFill>
              <w14:schemeClr w14:val="tx1"/>
            </w14:solidFill>
          </w14:textFill>
        </w:rPr>
        <w:t>万元给予奖励</w:t>
      </w:r>
      <w:r>
        <w:rPr>
          <w:rFonts w:hint="eastAsia" w:ascii="仿宋_GB2312" w:eastAsia="仿宋_GB2312"/>
          <w:color w:val="000000" w:themeColor="text1"/>
          <w:sz w:val="32"/>
          <w:szCs w:val="32"/>
          <w14:textFill>
            <w14:solidFill>
              <w14:schemeClr w14:val="tx1"/>
            </w14:solidFill>
          </w14:textFill>
        </w:rPr>
        <w:t>。</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第十九条</w:t>
      </w:r>
      <w:r>
        <w:rPr>
          <w:rFonts w:hint="eastAsia" w:ascii="黑体" w:hAnsi="黑体" w:eastAsia="黑体" w:cs="宋体"/>
          <w:color w:val="000000" w:themeColor="text1"/>
          <w:kern w:val="2"/>
          <w:sz w:val="32"/>
          <w:szCs w:val="32"/>
          <w14:textFill>
            <w14:solidFill>
              <w14:schemeClr w14:val="tx1"/>
            </w14:solidFill>
          </w14:textFill>
        </w:rPr>
        <w:t>【租赁产业用房支持】</w:t>
      </w:r>
      <w:r>
        <w:rPr>
          <w:rFonts w:hint="eastAsia" w:ascii="仿宋_GB2312" w:hAnsi="宋体" w:eastAsia="仿宋_GB2312" w:cs="宋体"/>
          <w:color w:val="000000" w:themeColor="text1"/>
          <w:kern w:val="2"/>
          <w:sz w:val="32"/>
          <w:szCs w:val="32"/>
          <w14:textFill>
            <w14:solidFill>
              <w14:schemeClr w14:val="tx1"/>
            </w14:solidFill>
          </w14:textFill>
        </w:rPr>
        <w:t>在光明区无自有产业用地的区总部企业，在区内租赁自用产业用房（含厂房、研发办公用房、仓储物流用房、商业办公用房，不包括政策性优惠用房），从首次认定为区总部企业的次年起，连续</w:t>
      </w:r>
      <w:r>
        <w:rPr>
          <w:rFonts w:ascii="仿宋_GB2312" w:hAnsi="宋体" w:eastAsia="仿宋_GB2312" w:cs="宋体"/>
          <w:color w:val="000000" w:themeColor="text1"/>
          <w:kern w:val="2"/>
          <w:sz w:val="32"/>
          <w:szCs w:val="32"/>
          <w14:textFill>
            <w14:solidFill>
              <w14:schemeClr w14:val="tx1"/>
            </w14:solidFill>
          </w14:textFill>
        </w:rPr>
        <w:t>3</w:t>
      </w:r>
      <w:r>
        <w:rPr>
          <w:rFonts w:hint="eastAsia" w:ascii="仿宋_GB2312" w:hAnsi="宋体" w:eastAsia="仿宋_GB2312" w:cs="宋体"/>
          <w:color w:val="000000" w:themeColor="text1"/>
          <w:kern w:val="2"/>
          <w:sz w:val="32"/>
          <w:szCs w:val="32"/>
          <w14:textFill>
            <w14:solidFill>
              <w14:schemeClr w14:val="tx1"/>
            </w14:solidFill>
          </w14:textFill>
        </w:rPr>
        <w:t>年给予租赁产业用房租金补贴。补贴标准为</w:t>
      </w:r>
      <w:r>
        <w:rPr>
          <w:rFonts w:ascii="仿宋_GB2312" w:hAnsi="宋体" w:eastAsia="仿宋_GB2312" w:cs="宋体"/>
          <w:color w:val="000000" w:themeColor="text1"/>
          <w:kern w:val="2"/>
          <w:sz w:val="32"/>
          <w:szCs w:val="32"/>
          <w14:textFill>
            <w14:solidFill>
              <w14:schemeClr w14:val="tx1"/>
            </w14:solidFill>
          </w14:textFill>
        </w:rPr>
        <w:t>20</w:t>
      </w:r>
      <w:r>
        <w:rPr>
          <w:rFonts w:hint="eastAsia" w:ascii="仿宋_GB2312" w:hAnsi="宋体" w:eastAsia="仿宋_GB2312" w:cs="宋体"/>
          <w:color w:val="000000" w:themeColor="text1"/>
          <w:kern w:val="2"/>
          <w:sz w:val="32"/>
          <w:szCs w:val="32"/>
          <w14:textFill>
            <w14:solidFill>
              <w14:schemeClr w14:val="tx1"/>
            </w14:solidFill>
          </w14:textFill>
        </w:rPr>
        <w:t>元/平方米/月，单家企业年度最高资助</w:t>
      </w:r>
      <w:r>
        <w:rPr>
          <w:rFonts w:ascii="仿宋_GB2312" w:hAnsi="宋体" w:eastAsia="仿宋_GB2312" w:cs="宋体"/>
          <w:color w:val="000000" w:themeColor="text1"/>
          <w:kern w:val="2"/>
          <w:sz w:val="32"/>
          <w:szCs w:val="32"/>
          <w14:textFill>
            <w14:solidFill>
              <w14:schemeClr w14:val="tx1"/>
            </w14:solidFill>
          </w14:textFill>
        </w:rPr>
        <w:t>500</w:t>
      </w:r>
      <w:r>
        <w:rPr>
          <w:rFonts w:hint="eastAsia" w:ascii="仿宋_GB2312" w:hAnsi="宋体" w:eastAsia="仿宋_GB2312" w:cs="宋体"/>
          <w:color w:val="000000" w:themeColor="text1"/>
          <w:kern w:val="2"/>
          <w:sz w:val="32"/>
          <w:szCs w:val="32"/>
          <w14:textFill>
            <w14:solidFill>
              <w14:schemeClr w14:val="tx1"/>
            </w14:solidFill>
          </w14:textFill>
        </w:rPr>
        <w:t>万元。企业享受租金补贴期间,所租赁的产业用房不得对外转租或出借他人使用，否则应当退还已获得的补贴资金。</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仿宋_GB2312" w:hAnsi="宋体" w:eastAsia="仿宋_GB2312" w:cs="宋体"/>
          <w:color w:val="000000" w:themeColor="text1"/>
          <w:kern w:val="2"/>
          <w:sz w:val="32"/>
          <w:szCs w:val="32"/>
          <w14:textFill>
            <w14:solidFill>
              <w14:schemeClr w14:val="tx1"/>
            </w14:solidFill>
          </w14:textFill>
        </w:rPr>
        <w:t>区总部企业可申请租赁区属创新型产业用房和区属国企所属产业用房，优先予以配租并按相关规定给予相应租金优惠支持。</w:t>
      </w:r>
    </w:p>
    <w:p>
      <w:pPr>
        <w:widowControl w:val="0"/>
        <w:adjustRightInd w:val="0"/>
        <w:snapToGrid w:val="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第二十条</w:t>
      </w:r>
      <w:r>
        <w:rPr>
          <w:rFonts w:hint="eastAsia" w:ascii="黑体" w:hAnsi="黑体" w:eastAsia="黑体" w:cs="宋体"/>
          <w:color w:val="000000" w:themeColor="text1"/>
          <w:kern w:val="2"/>
          <w:sz w:val="32"/>
          <w:szCs w:val="32"/>
          <w14:textFill>
            <w14:solidFill>
              <w14:schemeClr w14:val="tx1"/>
            </w14:solidFill>
          </w14:textFill>
        </w:rPr>
        <w:t>【购买办公用房支持】</w:t>
      </w:r>
      <w:r>
        <w:rPr>
          <w:rFonts w:hint="eastAsia" w:ascii="仿宋_GB2312" w:hAnsi="仿宋_GB2312" w:eastAsia="仿宋_GB2312" w:cs="仿宋_GB2312"/>
          <w:color w:val="000000" w:themeColor="text1"/>
          <w:sz w:val="32"/>
          <w:szCs w:val="32"/>
          <w14:textFill>
            <w14:solidFill>
              <w14:schemeClr w14:val="tx1"/>
            </w14:solidFill>
          </w14:textFill>
        </w:rPr>
        <w:t>在本区无自有产业用地的区总部企业，在区内购置自用研发办公用房</w:t>
      </w:r>
      <w:r>
        <w:rPr>
          <w:rFonts w:hint="eastAsia" w:ascii="仿宋_GB2312" w:hAnsi="宋体" w:eastAsia="仿宋_GB2312" w:cs="宋体"/>
          <w:color w:val="000000" w:themeColor="text1"/>
          <w:kern w:val="2"/>
          <w:sz w:val="32"/>
          <w:szCs w:val="32"/>
          <w14:textFill>
            <w14:solidFill>
              <w14:schemeClr w14:val="tx1"/>
            </w14:solidFill>
          </w14:textFill>
        </w:rPr>
        <w:t>（含研发办公用房、商业楼宇，</w:t>
      </w:r>
      <w:r>
        <w:rPr>
          <w:rFonts w:hint="eastAsia" w:ascii="仿宋_GB2312" w:hAnsi="仿宋_GB2312" w:eastAsia="仿宋_GB2312" w:cs="仿宋_GB2312"/>
          <w:color w:val="000000" w:themeColor="text1"/>
          <w:sz w:val="32"/>
          <w:szCs w:val="32"/>
          <w14:textFill>
            <w14:solidFill>
              <w14:schemeClr w14:val="tx1"/>
            </w14:solidFill>
          </w14:textFill>
        </w:rPr>
        <w:t>不含政策性优惠用房），按实际购房金额的10%、最高</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000万元给予资助，分3年拨付。享受购房支持的购房行为须发生在区总部企业资格认定后，每家总部企业只能享受一次购房支持。享受购房补助的房产10年以内不得出售；提前出售的，全额退回购房补助。</w:t>
      </w:r>
    </w:p>
    <w:p>
      <w:pPr>
        <w:widowControl w:val="0"/>
        <w:adjustRightInd w:val="0"/>
        <w:snapToGrid w:val="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6" w:name="_GoBack"/>
      <w:bookmarkEnd w:id="6"/>
      <w:r>
        <w:rPr>
          <w:rFonts w:hint="eastAsia" w:ascii="黑体" w:hAnsi="黑体" w:eastAsia="黑体" w:cs="宋体"/>
          <w:color w:val="000000" w:themeColor="text1"/>
          <w:kern w:val="2"/>
          <w:sz w:val="32"/>
          <w:szCs w:val="21"/>
          <w14:textFill>
            <w14:solidFill>
              <w14:schemeClr w14:val="tx1"/>
            </w14:solidFill>
          </w14:textFill>
        </w:rPr>
        <w:t>第二十一条</w:t>
      </w:r>
      <w:r>
        <w:rPr>
          <w:rFonts w:hint="eastAsia" w:ascii="黑体" w:hAnsi="黑体" w:eastAsia="黑体" w:cs="宋体"/>
          <w:color w:val="000000" w:themeColor="text1"/>
          <w:kern w:val="2"/>
          <w:sz w:val="32"/>
          <w:szCs w:val="32"/>
          <w14:textFill>
            <w14:solidFill>
              <w14:schemeClr w14:val="tx1"/>
            </w14:solidFill>
          </w14:textFill>
        </w:rPr>
        <w:t>【用地支持】</w:t>
      </w:r>
      <w:r>
        <w:rPr>
          <w:rFonts w:hint="eastAsia" w:ascii="仿宋_GB2312" w:hAnsi="仿宋_GB2312" w:eastAsia="仿宋_GB2312" w:cs="仿宋_GB2312"/>
          <w:color w:val="000000" w:themeColor="text1"/>
          <w:sz w:val="32"/>
          <w:szCs w:val="32"/>
          <w14:textFill>
            <w14:solidFill>
              <w14:schemeClr w14:val="tx1"/>
            </w14:solidFill>
          </w14:textFill>
        </w:rPr>
        <w:t>符合条件的总部企业可以独立或联合申请总部用地建设自用总部大厦，并按相关规定享受地价优惠，其建筑规模应与总部企业形成的地方贡献相适应。</w:t>
      </w:r>
    </w:p>
    <w:p>
      <w:pPr>
        <w:widowControl w:val="0"/>
        <w:adjustRightInd w:val="0"/>
        <w:snapToGrid w:val="0"/>
        <w:spacing w:line="560" w:lineRule="exact"/>
        <w:ind w:firstLine="640" w:firstLineChars="200"/>
        <w:jc w:val="both"/>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第二十二条</w:t>
      </w:r>
      <w:r>
        <w:rPr>
          <w:rFonts w:hint="eastAsia" w:ascii="黑体" w:hAnsi="黑体" w:eastAsia="黑体" w:cs="宋体"/>
          <w:color w:val="000000" w:themeColor="text1"/>
          <w:kern w:val="2"/>
          <w:sz w:val="32"/>
          <w:szCs w:val="32"/>
          <w14:textFill>
            <w14:solidFill>
              <w14:schemeClr w14:val="tx1"/>
            </w14:solidFill>
          </w14:textFill>
        </w:rPr>
        <w:t>【总部企业人才支持】</w:t>
      </w:r>
      <w:r>
        <w:rPr>
          <w:rFonts w:hint="eastAsia" w:ascii="仿宋_GB2312" w:hAnsi="仿宋" w:eastAsia="仿宋_GB2312" w:cs="宋体"/>
          <w:color w:val="000000" w:themeColor="text1"/>
          <w:sz w:val="32"/>
          <w:szCs w:val="32"/>
          <w14:textFill>
            <w14:solidFill>
              <w14:schemeClr w14:val="tx1"/>
            </w14:solidFill>
          </w14:textFill>
        </w:rPr>
        <w:t>区总部企业的董事、监事、高管等高级管理人才，符合有关规定条件的，按每人每年最高</w:t>
      </w:r>
      <w:r>
        <w:rPr>
          <w:rFonts w:ascii="仿宋_GB2312" w:hAnsi="仿宋" w:eastAsia="仿宋_GB2312" w:cs="宋体"/>
          <w:color w:val="000000" w:themeColor="text1"/>
          <w:sz w:val="32"/>
          <w:szCs w:val="32"/>
          <w14:textFill>
            <w14:solidFill>
              <w14:schemeClr w14:val="tx1"/>
            </w14:solidFill>
          </w14:textFill>
        </w:rPr>
        <w:t>50</w:t>
      </w:r>
      <w:r>
        <w:rPr>
          <w:rFonts w:hint="eastAsia" w:ascii="仿宋_GB2312" w:hAnsi="仿宋" w:eastAsia="仿宋_GB2312" w:cs="宋体"/>
          <w:color w:val="000000" w:themeColor="text1"/>
          <w:sz w:val="32"/>
          <w:szCs w:val="32"/>
          <w14:textFill>
            <w14:solidFill>
              <w14:schemeClr w14:val="tx1"/>
            </w14:solidFill>
          </w14:textFill>
        </w:rPr>
        <w:t>万元给予奖励。每家企业每年享受本项支持的人数不超过</w:t>
      </w:r>
      <w:r>
        <w:rPr>
          <w:rFonts w:ascii="仿宋_GB2312" w:hAnsi="仿宋" w:eastAsia="仿宋_GB2312" w:cs="宋体"/>
          <w:color w:val="000000" w:themeColor="text1"/>
          <w:sz w:val="32"/>
          <w:szCs w:val="32"/>
          <w14:textFill>
            <w14:solidFill>
              <w14:schemeClr w14:val="tx1"/>
            </w14:solidFill>
          </w14:textFill>
        </w:rPr>
        <w:t>5</w:t>
      </w:r>
      <w:r>
        <w:rPr>
          <w:rFonts w:hint="eastAsia" w:ascii="仿宋_GB2312" w:hAnsi="仿宋" w:eastAsia="仿宋_GB2312" w:cs="宋体"/>
          <w:color w:val="000000" w:themeColor="text1"/>
          <w:sz w:val="32"/>
          <w:szCs w:val="32"/>
          <w14:textFill>
            <w14:solidFill>
              <w14:schemeClr w14:val="tx1"/>
            </w14:solidFill>
          </w14:textFill>
        </w:rPr>
        <w:t>人。每家总部企业最多享受3个年度的支持。</w:t>
      </w:r>
    </w:p>
    <w:p>
      <w:pPr>
        <w:widowControl w:val="0"/>
        <w:adjustRightInd w:val="0"/>
        <w:snapToGrid w:val="0"/>
        <w:spacing w:line="560" w:lineRule="exact"/>
        <w:ind w:firstLine="640" w:firstLineChars="200"/>
        <w:jc w:val="both"/>
        <w:rPr>
          <w:rFonts w:hint="eastAsia" w:ascii="仿宋_GB2312" w:hAnsi="仿宋" w:eastAsia="仿宋_GB2312" w:cs="宋体"/>
          <w:color w:val="000000" w:themeColor="text1"/>
          <w:sz w:val="32"/>
          <w:szCs w:val="32"/>
          <w:lang w:eastAsia="zh-CN"/>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区总部企业的高级管理人员、专业技术人员等相关人才，按照市、区有关政策规定享受保障性住房、子女入学、医疗保健等优惠政策和便利措施</w:t>
      </w:r>
      <w:r>
        <w:rPr>
          <w:rFonts w:hint="eastAsia" w:ascii="仿宋_GB2312" w:hAnsi="仿宋" w:eastAsia="仿宋_GB2312" w:cs="宋体"/>
          <w:color w:val="000000" w:themeColor="text1"/>
          <w:sz w:val="32"/>
          <w:szCs w:val="32"/>
          <w:lang w:eastAsia="zh-CN"/>
          <w14:textFill>
            <w14:solidFill>
              <w14:schemeClr w14:val="tx1"/>
            </w14:solidFill>
          </w14:textFill>
        </w:rPr>
        <w:t>。</w:t>
      </w:r>
    </w:p>
    <w:p>
      <w:pPr>
        <w:widowControl w:val="0"/>
        <w:adjustRightInd w:val="0"/>
        <w:snapToGrid w:val="0"/>
        <w:spacing w:line="560" w:lineRule="exact"/>
        <w:ind w:firstLine="640" w:firstLineChars="200"/>
        <w:jc w:val="both"/>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第二十三条【不重复支持】</w:t>
      </w:r>
      <w:r>
        <w:rPr>
          <w:rFonts w:hint="eastAsia" w:ascii="仿宋_GB2312" w:hAnsi="仿宋" w:eastAsia="仿宋_GB2312" w:cs="宋体"/>
          <w:color w:val="000000" w:themeColor="text1"/>
          <w:sz w:val="32"/>
          <w:szCs w:val="32"/>
          <w14:textFill>
            <w14:solidFill>
              <w14:schemeClr w14:val="tx1"/>
            </w14:solidFill>
          </w14:textFill>
        </w:rPr>
        <w:t>区总部企业符合本办法支持政策的项目，也符合光明区其他经济发展专项资金支持政策的，企业可按“就高”原则申请资助，不予重复资助。</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p>
    <w:p>
      <w:pPr>
        <w:widowControl w:val="0"/>
        <w:adjustRightInd w:val="0"/>
        <w:snapToGrid w:val="0"/>
        <w:spacing w:line="560" w:lineRule="exact"/>
        <w:jc w:val="center"/>
        <w:outlineLvl w:val="1"/>
        <w:rPr>
          <w:rFonts w:ascii="黑体" w:hAnsi="黑体" w:eastAsia="黑体" w:cs="黑体"/>
          <w:color w:val="000000" w:themeColor="text1"/>
          <w:kern w:val="2"/>
          <w:sz w:val="36"/>
          <w:szCs w:val="36"/>
          <w14:textFill>
            <w14:solidFill>
              <w14:schemeClr w14:val="tx1"/>
            </w14:solidFill>
          </w14:textFill>
        </w:rPr>
      </w:pPr>
      <w:bookmarkStart w:id="4" w:name="_Toc100703133"/>
      <w:r>
        <w:rPr>
          <w:rFonts w:hint="eastAsia" w:ascii="黑体" w:hAnsi="黑体" w:eastAsia="黑体" w:cs="黑体"/>
          <w:color w:val="000000" w:themeColor="text1"/>
          <w:kern w:val="2"/>
          <w:sz w:val="36"/>
          <w:szCs w:val="36"/>
          <w14:textFill>
            <w14:solidFill>
              <w14:schemeClr w14:val="tx1"/>
            </w14:solidFill>
          </w14:textFill>
        </w:rPr>
        <w:t>第五章  管理与监督</w:t>
      </w:r>
      <w:bookmarkEnd w:id="4"/>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第二十四条</w:t>
      </w:r>
      <w:r>
        <w:rPr>
          <w:rFonts w:hint="eastAsia" w:ascii="黑体" w:hAnsi="黑体" w:eastAsia="黑体" w:cs="宋体"/>
          <w:color w:val="000000" w:themeColor="text1"/>
          <w:kern w:val="2"/>
          <w:sz w:val="32"/>
          <w:szCs w:val="32"/>
          <w14:textFill>
            <w14:solidFill>
              <w14:schemeClr w14:val="tx1"/>
            </w14:solidFill>
          </w14:textFill>
        </w:rPr>
        <w:t>【支持政策落实】</w:t>
      </w:r>
      <w:r>
        <w:rPr>
          <w:rFonts w:hint="eastAsia" w:ascii="仿宋_GB2312" w:hAnsi="宋体" w:eastAsia="仿宋_GB2312" w:cs="宋体"/>
          <w:color w:val="000000" w:themeColor="text1"/>
          <w:kern w:val="2"/>
          <w:sz w:val="32"/>
          <w:szCs w:val="32"/>
          <w14:textFill>
            <w14:solidFill>
              <w14:schemeClr w14:val="tx1"/>
            </w14:solidFill>
          </w14:textFill>
        </w:rPr>
        <w:t>本办法的支持政策所需资金在光明区经济发展专项资金中列支，执行《光明区经济发展专项资金管理办法》有关规定。区总部经济主管部门负责制定资金申报指南，受理总部企业各项资助资金申请，按照区经济发展专项资金审批程序开展审核、报批、资金拨付等工作。</w:t>
      </w:r>
    </w:p>
    <w:p>
      <w:pPr>
        <w:widowControl w:val="0"/>
        <w:adjustRightInd w:val="0"/>
        <w:snapToGrid w:val="0"/>
        <w:spacing w:line="560" w:lineRule="exact"/>
        <w:ind w:firstLine="640" w:firstLineChars="200"/>
        <w:jc w:val="both"/>
        <w:rPr>
          <w:rFonts w:ascii="仿宋_GB2312"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第二十五条【监督管理】</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w:t>
      </w:r>
      <w:r>
        <w:rPr>
          <w:rFonts w:hint="eastAsia" w:ascii="仿宋_GB2312" w:eastAsia="仿宋_GB2312" w:cs="宋体"/>
          <w:color w:val="000000" w:themeColor="text1"/>
          <w:kern w:val="2"/>
          <w:sz w:val="32"/>
          <w:szCs w:val="32"/>
          <w14:textFill>
            <w14:solidFill>
              <w14:schemeClr w14:val="tx1"/>
            </w14:solidFill>
          </w14:textFill>
        </w:rPr>
        <w:t>负责对支持总部企业发展的资金使用等情况进行跟踪管理。区纪委（监察）、财政、统计、税务、审计等职能部门，根据部门职责开展监督管理工作，依法处理有关违规行为。</w:t>
      </w:r>
    </w:p>
    <w:p>
      <w:pPr>
        <w:widowControl w:val="0"/>
        <w:adjustRightInd w:val="0"/>
        <w:snapToGrid w:val="0"/>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第二十六条【企业责任】</w:t>
      </w:r>
      <w:r>
        <w:rPr>
          <w:rFonts w:hint="eastAsia" w:eastAsia="仿宋_GB2312" w:cs="宋体"/>
          <w:color w:val="000000" w:themeColor="text1"/>
          <w:kern w:val="2"/>
          <w:sz w:val="32"/>
          <w:szCs w:val="21"/>
          <w14:textFill>
            <w14:solidFill>
              <w14:schemeClr w14:val="tx1"/>
            </w14:solidFill>
          </w14:textFill>
        </w:rPr>
        <w:t>企业在申请区总部企业认定、申请资助中弄虚作假、骗取资助、违规使用资助资金等情况的，取消区总部企业资格，由</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w:t>
      </w:r>
      <w:r>
        <w:rPr>
          <w:rFonts w:hint="eastAsia" w:eastAsia="仿宋_GB2312" w:cs="宋体"/>
          <w:color w:val="000000" w:themeColor="text1"/>
          <w:kern w:val="2"/>
          <w:sz w:val="32"/>
          <w:szCs w:val="21"/>
          <w14:textFill>
            <w14:solidFill>
              <w14:schemeClr w14:val="tx1"/>
            </w14:solidFill>
          </w14:textFill>
        </w:rPr>
        <w:t>会同区财政局追回资助资金，并依法追究相应责任。涉嫌违法犯罪的，依法移送司法机关处理。</w:t>
      </w:r>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第二十七条</w:t>
      </w:r>
      <w:r>
        <w:rPr>
          <w:rFonts w:hint="eastAsia" w:ascii="黑体" w:hAnsi="黑体" w:eastAsia="黑体" w:cs="宋体"/>
          <w:color w:val="000000" w:themeColor="text1"/>
          <w:kern w:val="2"/>
          <w:sz w:val="32"/>
          <w:szCs w:val="32"/>
          <w14:textFill>
            <w14:solidFill>
              <w14:schemeClr w14:val="tx1"/>
            </w14:solidFill>
          </w14:textFill>
        </w:rPr>
        <w:t>【绩效评价】</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区总部经济主管部门负责组织开展总部经济扶持资金绩效评价工作。</w:t>
      </w:r>
    </w:p>
    <w:p>
      <w:pPr>
        <w:widowControl w:val="0"/>
        <w:adjustRightInd w:val="0"/>
        <w:snapToGrid w:val="0"/>
        <w:spacing w:line="560" w:lineRule="exact"/>
        <w:ind w:firstLine="636"/>
        <w:jc w:val="both"/>
        <w:rPr>
          <w:rFonts w:ascii="仿宋_GB2312" w:hAnsi="宋体" w:eastAsia="仿宋_GB2312" w:cs="宋体"/>
          <w:color w:val="000000" w:themeColor="text1"/>
          <w:kern w:val="2"/>
          <w:sz w:val="32"/>
          <w:szCs w:val="32"/>
          <w14:textFill>
            <w14:solidFill>
              <w14:schemeClr w14:val="tx1"/>
            </w14:solidFill>
          </w14:textFill>
        </w:rPr>
      </w:pPr>
    </w:p>
    <w:p>
      <w:pPr>
        <w:widowControl w:val="0"/>
        <w:adjustRightInd w:val="0"/>
        <w:snapToGrid w:val="0"/>
        <w:spacing w:line="560" w:lineRule="exact"/>
        <w:jc w:val="center"/>
        <w:outlineLvl w:val="1"/>
        <w:rPr>
          <w:rFonts w:ascii="黑体" w:hAnsi="黑体" w:eastAsia="黑体" w:cs="黑体"/>
          <w:color w:val="000000" w:themeColor="text1"/>
          <w:kern w:val="2"/>
          <w:sz w:val="36"/>
          <w:szCs w:val="36"/>
          <w14:textFill>
            <w14:solidFill>
              <w14:schemeClr w14:val="tx1"/>
            </w14:solidFill>
          </w14:textFill>
        </w:rPr>
      </w:pPr>
      <w:bookmarkStart w:id="5" w:name="_Toc100703134"/>
      <w:r>
        <w:rPr>
          <w:rFonts w:hint="eastAsia" w:ascii="黑体" w:hAnsi="黑体" w:eastAsia="黑体" w:cs="黑体"/>
          <w:color w:val="000000" w:themeColor="text1"/>
          <w:kern w:val="2"/>
          <w:sz w:val="36"/>
          <w:szCs w:val="36"/>
          <w14:textFill>
            <w14:solidFill>
              <w14:schemeClr w14:val="tx1"/>
            </w14:solidFill>
          </w14:textFill>
        </w:rPr>
        <w:t>第六章  附则</w:t>
      </w:r>
      <w:bookmarkEnd w:id="5"/>
    </w:p>
    <w:p>
      <w:pPr>
        <w:widowControl w:val="0"/>
        <w:adjustRightInd w:val="0"/>
        <w:snapToGrid w:val="0"/>
        <w:spacing w:line="560" w:lineRule="exact"/>
        <w:ind w:firstLine="640" w:firstLineChars="200"/>
        <w:jc w:val="both"/>
        <w:rPr>
          <w:rFonts w:ascii="仿宋_GB2312" w:hAnsi="宋体" w:eastAsia="仿宋_GB2312" w:cs="宋体"/>
          <w:color w:val="000000" w:themeColor="text1"/>
          <w:kern w:val="2"/>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第二十八条【有关定义】</w:t>
      </w:r>
      <w:r>
        <w:rPr>
          <w:rFonts w:hint="eastAsia" w:eastAsia="仿宋_GB2312" w:cs="宋体"/>
          <w:color w:val="000000" w:themeColor="text1"/>
          <w:kern w:val="2"/>
          <w:sz w:val="32"/>
          <w:szCs w:val="21"/>
          <w14:textFill>
            <w14:solidFill>
              <w14:schemeClr w14:val="tx1"/>
            </w14:solidFill>
          </w14:textFill>
        </w:rPr>
        <w:t>本办法中</w:t>
      </w:r>
      <w:r>
        <w:rPr>
          <w:rFonts w:hint="eastAsia" w:ascii="仿宋_GB2312" w:hAnsi="宋体" w:eastAsia="仿宋_GB2312" w:cs="宋体"/>
          <w:color w:val="000000" w:themeColor="text1"/>
          <w:kern w:val="2"/>
          <w:sz w:val="32"/>
          <w:szCs w:val="32"/>
          <w14:textFill>
            <w14:solidFill>
              <w14:schemeClr w14:val="tx1"/>
            </w14:solidFill>
          </w14:textFill>
        </w:rPr>
        <w:t>有关数据“以上”“不超过”“最高”包括本数，“以下”不包括本数。“</w:t>
      </w:r>
      <w:r>
        <w:rPr>
          <w:rFonts w:hint="eastAsia" w:ascii="仿宋_GB2312" w:eastAsia="仿宋_GB2312"/>
          <w:color w:val="000000" w:themeColor="text1"/>
          <w:sz w:val="32"/>
          <w:szCs w:val="32"/>
          <w14:textFill>
            <w14:solidFill>
              <w14:schemeClr w14:val="tx1"/>
            </w14:solidFill>
          </w14:textFill>
        </w:rPr>
        <w:t>形成光明区地方财力”</w:t>
      </w:r>
      <w:r>
        <w:rPr>
          <w:rFonts w:hint="eastAsia" w:ascii="仿宋_GB2312" w:hAnsi="宋体" w:eastAsia="仿宋_GB2312" w:cs="宋体"/>
          <w:color w:val="000000" w:themeColor="text1"/>
          <w:kern w:val="2"/>
          <w:sz w:val="32"/>
          <w:szCs w:val="32"/>
          <w14:textFill>
            <w14:solidFill>
              <w14:schemeClr w14:val="tx1"/>
            </w14:solidFill>
          </w14:textFill>
        </w:rPr>
        <w:t>是指企业在本区缴纳的税款入库期内，企业所得税、增值税、城市维护建设税、印花税、地方教育费附加、教育费附加、房产税、城镇土地使用税、文化事业建设费计入光明区分成部分，留抵退税退税额中计入地方分成部分不予扣除。</w:t>
      </w:r>
    </w:p>
    <w:p>
      <w:pPr>
        <w:widowControl w:val="0"/>
        <w:adjustRightInd w:val="0"/>
        <w:snapToGrid w:val="0"/>
        <w:spacing w:line="560" w:lineRule="exact"/>
        <w:ind w:firstLine="640" w:firstLineChars="200"/>
        <w:jc w:val="both"/>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第二十九条【实施与效力】</w:t>
      </w:r>
      <w:r>
        <w:rPr>
          <w:rFonts w:hint="eastAsia" w:eastAsia="仿宋_GB2312" w:cs="宋体"/>
          <w:color w:val="000000" w:themeColor="text1"/>
          <w:kern w:val="2"/>
          <w:sz w:val="32"/>
          <w:szCs w:val="21"/>
          <w14:textFill>
            <w14:solidFill>
              <w14:schemeClr w14:val="tx1"/>
            </w14:solidFill>
          </w14:textFill>
        </w:rPr>
        <w:t>本办法</w:t>
      </w:r>
      <w:r>
        <w:rPr>
          <w:rFonts w:hint="eastAsia" w:ascii="仿宋_GB2312" w:eastAsia="仿宋_GB2312" w:cs="宋体"/>
          <w:color w:val="000000" w:themeColor="text1"/>
          <w:kern w:val="2"/>
          <w:sz w:val="32"/>
          <w:szCs w:val="32"/>
          <w14:textFill>
            <w14:solidFill>
              <w14:schemeClr w14:val="tx1"/>
            </w14:solidFill>
          </w14:textFill>
        </w:rPr>
        <w:t>自20</w:t>
      </w:r>
      <w:r>
        <w:rPr>
          <w:rFonts w:ascii="仿宋_GB2312" w:eastAsia="仿宋_GB2312" w:cs="宋体"/>
          <w:color w:val="000000" w:themeColor="text1"/>
          <w:kern w:val="2"/>
          <w:sz w:val="32"/>
          <w:szCs w:val="32"/>
          <w14:textFill>
            <w14:solidFill>
              <w14:schemeClr w14:val="tx1"/>
            </w14:solidFill>
          </w14:textFill>
        </w:rPr>
        <w:t>24</w:t>
      </w:r>
      <w:r>
        <w:rPr>
          <w:rFonts w:hint="eastAsia" w:ascii="仿宋_GB2312" w:eastAsia="仿宋_GB2312" w:cs="宋体"/>
          <w:color w:val="000000" w:themeColor="text1"/>
          <w:kern w:val="2"/>
          <w:sz w:val="32"/>
          <w:szCs w:val="32"/>
          <w14:textFill>
            <w14:solidFill>
              <w14:schemeClr w14:val="tx1"/>
            </w14:solidFill>
          </w14:textFill>
        </w:rPr>
        <w:t>年</w:t>
      </w:r>
      <w:r>
        <w:rPr>
          <w:rFonts w:ascii="仿宋_GB2312" w:eastAsia="仿宋_GB2312" w:cs="宋体"/>
          <w:color w:val="000000" w:themeColor="text1"/>
          <w:kern w:val="2"/>
          <w:sz w:val="32"/>
          <w:szCs w:val="32"/>
          <w14:textFill>
            <w14:solidFill>
              <w14:schemeClr w14:val="tx1"/>
            </w14:solidFill>
          </w14:textFill>
        </w:rPr>
        <w:t>*</w:t>
      </w:r>
      <w:r>
        <w:rPr>
          <w:rFonts w:hint="eastAsia" w:ascii="仿宋_GB2312" w:eastAsia="仿宋_GB2312" w:cs="宋体"/>
          <w:color w:val="000000" w:themeColor="text1"/>
          <w:kern w:val="2"/>
          <w:sz w:val="32"/>
          <w:szCs w:val="32"/>
          <w14:textFill>
            <w14:solidFill>
              <w14:schemeClr w14:val="tx1"/>
            </w14:solidFill>
          </w14:textFill>
        </w:rPr>
        <w:t>月</w:t>
      </w:r>
      <w:r>
        <w:rPr>
          <w:rFonts w:ascii="仿宋_GB2312" w:eastAsia="仿宋_GB2312" w:cs="宋体"/>
          <w:color w:val="000000" w:themeColor="text1"/>
          <w:kern w:val="2"/>
          <w:sz w:val="32"/>
          <w:szCs w:val="32"/>
          <w14:textFill>
            <w14:solidFill>
              <w14:schemeClr w14:val="tx1"/>
            </w14:solidFill>
          </w14:textFill>
        </w:rPr>
        <w:t>*</w:t>
      </w:r>
      <w:r>
        <w:rPr>
          <w:rFonts w:hint="eastAsia" w:ascii="仿宋_GB2312" w:eastAsia="仿宋_GB2312" w:cs="宋体"/>
          <w:color w:val="000000" w:themeColor="text1"/>
          <w:kern w:val="2"/>
          <w:sz w:val="32"/>
          <w:szCs w:val="32"/>
          <w14:textFill>
            <w14:solidFill>
              <w14:schemeClr w14:val="tx1"/>
            </w14:solidFill>
          </w14:textFill>
        </w:rPr>
        <w:t>日起施行，</w:t>
      </w:r>
      <w:r>
        <w:rPr>
          <w:rFonts w:hint="eastAsia" w:ascii="仿宋_GB2312" w:hAnsi="仿宋" w:eastAsia="仿宋_GB2312" w:cs="宋体"/>
          <w:color w:val="000000" w:themeColor="text1"/>
          <w:sz w:val="32"/>
          <w:szCs w:val="32"/>
          <w14:textFill>
            <w14:solidFill>
              <w14:schemeClr w14:val="tx1"/>
            </w14:solidFill>
          </w14:textFill>
        </w:rPr>
        <w:t>有效期5年</w:t>
      </w:r>
      <w:r>
        <w:rPr>
          <w:rFonts w:hint="eastAsia" w:ascii="仿宋_GB2312" w:eastAsia="仿宋_GB2312" w:cs="宋体"/>
          <w:color w:val="000000" w:themeColor="text1"/>
          <w:kern w:val="2"/>
          <w:sz w:val="32"/>
          <w:szCs w:val="32"/>
          <w14:textFill>
            <w14:solidFill>
              <w14:schemeClr w14:val="tx1"/>
            </w14:solidFill>
          </w14:textFill>
        </w:rPr>
        <w:t>。</w:t>
      </w:r>
      <w:r>
        <w:rPr>
          <w:rFonts w:hint="eastAsia" w:ascii="仿宋_GB2312" w:hAnsi="仿宋" w:eastAsia="仿宋_GB2312" w:cs="宋体"/>
          <w:color w:val="000000" w:themeColor="text1"/>
          <w:sz w:val="32"/>
          <w:szCs w:val="32"/>
          <w14:textFill>
            <w14:solidFill>
              <w14:schemeClr w14:val="tx1"/>
            </w14:solidFill>
          </w14:textFill>
        </w:rPr>
        <w:t>区政府于本办法实施以前出台的有关政策规定与本办法有不一致或抵触的，以本办法为准，法律法规及上级政策另有规定的除外。</w:t>
      </w:r>
    </w:p>
    <w:p>
      <w:pPr>
        <w:widowControl w:val="0"/>
        <w:adjustRightInd w:val="0"/>
        <w:snapToGrid w:val="0"/>
        <w:spacing w:line="560" w:lineRule="exact"/>
        <w:ind w:firstLine="640" w:firstLineChars="200"/>
        <w:jc w:val="both"/>
        <w:rPr>
          <w:rFonts w:eastAsia="仿宋_GB2312" w:cs="宋体"/>
          <w:color w:val="000000" w:themeColor="text1"/>
          <w:kern w:val="2"/>
          <w:sz w:val="32"/>
          <w:szCs w:val="21"/>
          <w14:textFill>
            <w14:solidFill>
              <w14:schemeClr w14:val="tx1"/>
            </w14:solidFill>
          </w14:textFill>
        </w:rPr>
      </w:pPr>
      <w:r>
        <w:rPr>
          <w:rFonts w:hint="eastAsia" w:ascii="黑体" w:hAnsi="黑体" w:eastAsia="黑体" w:cs="宋体"/>
          <w:color w:val="000000" w:themeColor="text1"/>
          <w:kern w:val="2"/>
          <w:sz w:val="32"/>
          <w:szCs w:val="21"/>
          <w14:textFill>
            <w14:solidFill>
              <w14:schemeClr w14:val="tx1"/>
            </w14:solidFill>
          </w14:textFill>
        </w:rPr>
        <w:t>第三十条【解释权】</w:t>
      </w:r>
      <w:r>
        <w:rPr>
          <w:rFonts w:hint="eastAsia" w:ascii="仿宋_GB2312" w:eastAsia="仿宋_GB2312" w:cs="宋体"/>
          <w:color w:val="000000" w:themeColor="text1"/>
          <w:kern w:val="2"/>
          <w:sz w:val="32"/>
          <w:szCs w:val="32"/>
          <w14:textFill>
            <w14:solidFill>
              <w14:schemeClr w14:val="tx1"/>
            </w14:solidFill>
          </w14:textFill>
        </w:rPr>
        <w:t>本办法由光明区工业</w:t>
      </w:r>
      <w:r>
        <w:rPr>
          <w:rFonts w:hint="eastAsia" w:eastAsia="仿宋_GB2312" w:cs="宋体"/>
          <w:color w:val="000000" w:themeColor="text1"/>
          <w:kern w:val="2"/>
          <w:sz w:val="32"/>
          <w:szCs w:val="21"/>
          <w14:textFill>
            <w14:solidFill>
              <w14:schemeClr w14:val="tx1"/>
            </w14:solidFill>
          </w14:textFill>
        </w:rPr>
        <w:t>和信息化局负责解释。</w:t>
      </w:r>
    </w:p>
    <w:p>
      <w:pPr>
        <w:widowControl w:val="0"/>
        <w:adjustRightInd w:val="0"/>
        <w:snapToGrid w:val="0"/>
        <w:spacing w:line="560" w:lineRule="exact"/>
        <w:ind w:firstLine="640" w:firstLineChars="200"/>
        <w:jc w:val="both"/>
        <w:rPr>
          <w:rFonts w:eastAsia="仿宋_GB2312" w:cs="宋体"/>
          <w:color w:val="000000" w:themeColor="text1"/>
          <w:kern w:val="2"/>
          <w:sz w:val="32"/>
          <w:szCs w:val="21"/>
          <w14:textFill>
            <w14:solidFill>
              <w14:schemeClr w14:val="tx1"/>
            </w14:solidFill>
          </w14:textFill>
        </w:rPr>
      </w:pPr>
    </w:p>
    <w:p>
      <w:pPr>
        <w:widowControl w:val="0"/>
        <w:adjustRightInd w:val="0"/>
        <w:snapToGrid w:val="0"/>
        <w:spacing w:line="560" w:lineRule="exact"/>
        <w:ind w:firstLine="640" w:firstLineChars="200"/>
        <w:jc w:val="both"/>
        <w:rPr>
          <w:rFonts w:ascii="仿宋_GB2312" w:hAnsi="仿宋" w:eastAsia="仿宋_GB2312" w:cs="宋体"/>
          <w:sz w:val="32"/>
          <w:szCs w:val="32"/>
        </w:rPr>
      </w:pPr>
    </w:p>
    <w:p>
      <w:pPr>
        <w:widowControl w:val="0"/>
        <w:adjustRightInd w:val="0"/>
        <w:snapToGrid w:val="0"/>
        <w:spacing w:line="560" w:lineRule="exact"/>
        <w:ind w:firstLine="640" w:firstLineChars="200"/>
        <w:jc w:val="both"/>
        <w:rPr>
          <w:rFonts w:eastAsia="仿宋_GB2312" w:cs="宋体"/>
          <w:color w:val="000000" w:themeColor="text1"/>
          <w:kern w:val="2"/>
          <w:sz w:val="32"/>
          <w:szCs w:val="2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00" w:usb3="00000000" w:csb0="00000000"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Segoe UI">
    <w:altName w:val="Noto Music"/>
    <w:panose1 w:val="020B0502040204020203"/>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sdt>
      <w:sdtPr>
        <w:id w:val="-1103484105"/>
        <w:docPartObj>
          <w:docPartGallery w:val="autotext"/>
        </w:docPartObj>
      </w:sdtPr>
      <w:sdtEndPr>
        <w:rPr>
          <w:rFonts w:ascii="宋体" w:hAnsi="宋体"/>
          <w:sz w:val="28"/>
          <w:szCs w:val="28"/>
        </w:rPr>
      </w:sdtEndPr>
      <w:sdtContent>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sdtContent>
    </w:sdt>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31"/>
    <w:rsid w:val="000021BE"/>
    <w:rsid w:val="000022A7"/>
    <w:rsid w:val="000033D2"/>
    <w:rsid w:val="0000518B"/>
    <w:rsid w:val="00005D5F"/>
    <w:rsid w:val="00006B9A"/>
    <w:rsid w:val="00007124"/>
    <w:rsid w:val="00007A9D"/>
    <w:rsid w:val="00010E39"/>
    <w:rsid w:val="00011211"/>
    <w:rsid w:val="000118BE"/>
    <w:rsid w:val="000128FC"/>
    <w:rsid w:val="00016321"/>
    <w:rsid w:val="00016B26"/>
    <w:rsid w:val="000179E9"/>
    <w:rsid w:val="00020145"/>
    <w:rsid w:val="00021380"/>
    <w:rsid w:val="000225DB"/>
    <w:rsid w:val="00023536"/>
    <w:rsid w:val="00024A58"/>
    <w:rsid w:val="00024CB1"/>
    <w:rsid w:val="000254E8"/>
    <w:rsid w:val="00026CF7"/>
    <w:rsid w:val="00027F55"/>
    <w:rsid w:val="000300A3"/>
    <w:rsid w:val="000306F0"/>
    <w:rsid w:val="00031441"/>
    <w:rsid w:val="000352BA"/>
    <w:rsid w:val="000354E9"/>
    <w:rsid w:val="00036AE4"/>
    <w:rsid w:val="00036C65"/>
    <w:rsid w:val="00037CDA"/>
    <w:rsid w:val="00037D6B"/>
    <w:rsid w:val="00041959"/>
    <w:rsid w:val="00043081"/>
    <w:rsid w:val="000440F4"/>
    <w:rsid w:val="00044109"/>
    <w:rsid w:val="00044420"/>
    <w:rsid w:val="00044C93"/>
    <w:rsid w:val="0004552E"/>
    <w:rsid w:val="00046999"/>
    <w:rsid w:val="00046DB8"/>
    <w:rsid w:val="0004706D"/>
    <w:rsid w:val="0004788C"/>
    <w:rsid w:val="00047DFA"/>
    <w:rsid w:val="00051296"/>
    <w:rsid w:val="00052EA8"/>
    <w:rsid w:val="00052FB3"/>
    <w:rsid w:val="000535A8"/>
    <w:rsid w:val="00054DE1"/>
    <w:rsid w:val="000562AA"/>
    <w:rsid w:val="00056A6F"/>
    <w:rsid w:val="00056E8D"/>
    <w:rsid w:val="000615C6"/>
    <w:rsid w:val="00061799"/>
    <w:rsid w:val="00061F2E"/>
    <w:rsid w:val="00062D21"/>
    <w:rsid w:val="00062ED3"/>
    <w:rsid w:val="000633E5"/>
    <w:rsid w:val="0006353B"/>
    <w:rsid w:val="0006387F"/>
    <w:rsid w:val="00063A16"/>
    <w:rsid w:val="00063DDB"/>
    <w:rsid w:val="00064A97"/>
    <w:rsid w:val="000652AD"/>
    <w:rsid w:val="000666C0"/>
    <w:rsid w:val="00066AF5"/>
    <w:rsid w:val="0006726B"/>
    <w:rsid w:val="00067C7A"/>
    <w:rsid w:val="00070197"/>
    <w:rsid w:val="00070E1F"/>
    <w:rsid w:val="000710AB"/>
    <w:rsid w:val="000711D4"/>
    <w:rsid w:val="00071436"/>
    <w:rsid w:val="00071998"/>
    <w:rsid w:val="0007205F"/>
    <w:rsid w:val="000727CC"/>
    <w:rsid w:val="00074F0C"/>
    <w:rsid w:val="000759AC"/>
    <w:rsid w:val="00075C5A"/>
    <w:rsid w:val="00075D18"/>
    <w:rsid w:val="000761B1"/>
    <w:rsid w:val="00077B31"/>
    <w:rsid w:val="00081A8A"/>
    <w:rsid w:val="00081AD2"/>
    <w:rsid w:val="00081BE6"/>
    <w:rsid w:val="00081FE2"/>
    <w:rsid w:val="0008207A"/>
    <w:rsid w:val="0008346B"/>
    <w:rsid w:val="000837D4"/>
    <w:rsid w:val="00083A6B"/>
    <w:rsid w:val="00084D85"/>
    <w:rsid w:val="00085910"/>
    <w:rsid w:val="0008617F"/>
    <w:rsid w:val="00086F3B"/>
    <w:rsid w:val="00090CE4"/>
    <w:rsid w:val="000930A9"/>
    <w:rsid w:val="00093743"/>
    <w:rsid w:val="00093D9F"/>
    <w:rsid w:val="00093DD1"/>
    <w:rsid w:val="00093E64"/>
    <w:rsid w:val="0009486E"/>
    <w:rsid w:val="00094FAD"/>
    <w:rsid w:val="000965D9"/>
    <w:rsid w:val="00096E86"/>
    <w:rsid w:val="000975DA"/>
    <w:rsid w:val="000977CC"/>
    <w:rsid w:val="00097C59"/>
    <w:rsid w:val="00097DBF"/>
    <w:rsid w:val="000A03D3"/>
    <w:rsid w:val="000A0C55"/>
    <w:rsid w:val="000A18CA"/>
    <w:rsid w:val="000A1AAB"/>
    <w:rsid w:val="000A28E5"/>
    <w:rsid w:val="000A2CDE"/>
    <w:rsid w:val="000A5320"/>
    <w:rsid w:val="000A5D9D"/>
    <w:rsid w:val="000A5E61"/>
    <w:rsid w:val="000A6FF4"/>
    <w:rsid w:val="000A79D7"/>
    <w:rsid w:val="000B16E4"/>
    <w:rsid w:val="000B2C5A"/>
    <w:rsid w:val="000B3099"/>
    <w:rsid w:val="000B30FF"/>
    <w:rsid w:val="000B377E"/>
    <w:rsid w:val="000B39D7"/>
    <w:rsid w:val="000B3E8F"/>
    <w:rsid w:val="000B4577"/>
    <w:rsid w:val="000B5487"/>
    <w:rsid w:val="000B69FC"/>
    <w:rsid w:val="000B7D39"/>
    <w:rsid w:val="000C01F4"/>
    <w:rsid w:val="000C0514"/>
    <w:rsid w:val="000C0E44"/>
    <w:rsid w:val="000C1B3E"/>
    <w:rsid w:val="000C31E2"/>
    <w:rsid w:val="000C60CB"/>
    <w:rsid w:val="000C7EF2"/>
    <w:rsid w:val="000D0392"/>
    <w:rsid w:val="000D0FD1"/>
    <w:rsid w:val="000D13C1"/>
    <w:rsid w:val="000D1E70"/>
    <w:rsid w:val="000D253A"/>
    <w:rsid w:val="000D32AE"/>
    <w:rsid w:val="000D3616"/>
    <w:rsid w:val="000D3627"/>
    <w:rsid w:val="000D5A08"/>
    <w:rsid w:val="000D69F0"/>
    <w:rsid w:val="000D6DB9"/>
    <w:rsid w:val="000D779B"/>
    <w:rsid w:val="000D7DD5"/>
    <w:rsid w:val="000E2411"/>
    <w:rsid w:val="000E51F1"/>
    <w:rsid w:val="000E58B6"/>
    <w:rsid w:val="000E6444"/>
    <w:rsid w:val="000E6D4C"/>
    <w:rsid w:val="000E6FCE"/>
    <w:rsid w:val="000F2628"/>
    <w:rsid w:val="000F278F"/>
    <w:rsid w:val="000F2E1C"/>
    <w:rsid w:val="000F2E93"/>
    <w:rsid w:val="000F424B"/>
    <w:rsid w:val="000F4F71"/>
    <w:rsid w:val="000F54A4"/>
    <w:rsid w:val="000F5A9E"/>
    <w:rsid w:val="000F5FEA"/>
    <w:rsid w:val="000F7522"/>
    <w:rsid w:val="00100E2A"/>
    <w:rsid w:val="00101554"/>
    <w:rsid w:val="00101FF8"/>
    <w:rsid w:val="00102071"/>
    <w:rsid w:val="001021F7"/>
    <w:rsid w:val="0010347A"/>
    <w:rsid w:val="00104AEE"/>
    <w:rsid w:val="00105AC4"/>
    <w:rsid w:val="00105F82"/>
    <w:rsid w:val="00106138"/>
    <w:rsid w:val="001064F4"/>
    <w:rsid w:val="00106935"/>
    <w:rsid w:val="001078D0"/>
    <w:rsid w:val="00107999"/>
    <w:rsid w:val="00107EB4"/>
    <w:rsid w:val="001103E3"/>
    <w:rsid w:val="00111319"/>
    <w:rsid w:val="00111E76"/>
    <w:rsid w:val="001120B2"/>
    <w:rsid w:val="00112BD2"/>
    <w:rsid w:val="00112FEE"/>
    <w:rsid w:val="0011425D"/>
    <w:rsid w:val="001148E8"/>
    <w:rsid w:val="001153EB"/>
    <w:rsid w:val="0011704A"/>
    <w:rsid w:val="00117925"/>
    <w:rsid w:val="00117E82"/>
    <w:rsid w:val="00120A16"/>
    <w:rsid w:val="00121208"/>
    <w:rsid w:val="00121A2A"/>
    <w:rsid w:val="00123983"/>
    <w:rsid w:val="00123EC4"/>
    <w:rsid w:val="00125E56"/>
    <w:rsid w:val="00127755"/>
    <w:rsid w:val="00130455"/>
    <w:rsid w:val="00131090"/>
    <w:rsid w:val="0013163C"/>
    <w:rsid w:val="00133FF5"/>
    <w:rsid w:val="00134067"/>
    <w:rsid w:val="00134F62"/>
    <w:rsid w:val="00135368"/>
    <w:rsid w:val="00135F7D"/>
    <w:rsid w:val="00137713"/>
    <w:rsid w:val="001414B8"/>
    <w:rsid w:val="00141982"/>
    <w:rsid w:val="001420B2"/>
    <w:rsid w:val="001424E8"/>
    <w:rsid w:val="00142D55"/>
    <w:rsid w:val="00143EC1"/>
    <w:rsid w:val="001448B9"/>
    <w:rsid w:val="001452ED"/>
    <w:rsid w:val="00145871"/>
    <w:rsid w:val="0014638A"/>
    <w:rsid w:val="001465A2"/>
    <w:rsid w:val="0014697D"/>
    <w:rsid w:val="00150067"/>
    <w:rsid w:val="0015019D"/>
    <w:rsid w:val="0015041A"/>
    <w:rsid w:val="00150E2B"/>
    <w:rsid w:val="00151CF4"/>
    <w:rsid w:val="00153057"/>
    <w:rsid w:val="001532B1"/>
    <w:rsid w:val="00154213"/>
    <w:rsid w:val="00155284"/>
    <w:rsid w:val="00155CF1"/>
    <w:rsid w:val="001563FB"/>
    <w:rsid w:val="0015709C"/>
    <w:rsid w:val="001572C8"/>
    <w:rsid w:val="00157B90"/>
    <w:rsid w:val="0016160E"/>
    <w:rsid w:val="00161B08"/>
    <w:rsid w:val="00163578"/>
    <w:rsid w:val="0016362A"/>
    <w:rsid w:val="0016378C"/>
    <w:rsid w:val="00164B90"/>
    <w:rsid w:val="00164D7D"/>
    <w:rsid w:val="00165121"/>
    <w:rsid w:val="001664B4"/>
    <w:rsid w:val="0016686E"/>
    <w:rsid w:val="0016713C"/>
    <w:rsid w:val="001707B3"/>
    <w:rsid w:val="00173412"/>
    <w:rsid w:val="00173C6F"/>
    <w:rsid w:val="00173D27"/>
    <w:rsid w:val="001762D9"/>
    <w:rsid w:val="00177951"/>
    <w:rsid w:val="001800CC"/>
    <w:rsid w:val="00180770"/>
    <w:rsid w:val="00180CA8"/>
    <w:rsid w:val="001811BD"/>
    <w:rsid w:val="0018334F"/>
    <w:rsid w:val="00183BCB"/>
    <w:rsid w:val="00184861"/>
    <w:rsid w:val="00185617"/>
    <w:rsid w:val="0018578A"/>
    <w:rsid w:val="001875C7"/>
    <w:rsid w:val="00187789"/>
    <w:rsid w:val="00190163"/>
    <w:rsid w:val="00191BBF"/>
    <w:rsid w:val="0019369A"/>
    <w:rsid w:val="00194CB0"/>
    <w:rsid w:val="001959AA"/>
    <w:rsid w:val="00195FCC"/>
    <w:rsid w:val="001970CA"/>
    <w:rsid w:val="001A0CD6"/>
    <w:rsid w:val="001A1303"/>
    <w:rsid w:val="001A14A0"/>
    <w:rsid w:val="001A4986"/>
    <w:rsid w:val="001A4C8C"/>
    <w:rsid w:val="001A54AE"/>
    <w:rsid w:val="001A6411"/>
    <w:rsid w:val="001A6BBB"/>
    <w:rsid w:val="001A6E9E"/>
    <w:rsid w:val="001A75AE"/>
    <w:rsid w:val="001B1068"/>
    <w:rsid w:val="001B1C7F"/>
    <w:rsid w:val="001B293E"/>
    <w:rsid w:val="001B2BBB"/>
    <w:rsid w:val="001B2F2F"/>
    <w:rsid w:val="001B39EF"/>
    <w:rsid w:val="001B40DA"/>
    <w:rsid w:val="001B54F1"/>
    <w:rsid w:val="001B5E6A"/>
    <w:rsid w:val="001B707C"/>
    <w:rsid w:val="001B7FA9"/>
    <w:rsid w:val="001C0C12"/>
    <w:rsid w:val="001C17C0"/>
    <w:rsid w:val="001C23F8"/>
    <w:rsid w:val="001C390E"/>
    <w:rsid w:val="001C3A22"/>
    <w:rsid w:val="001C3A34"/>
    <w:rsid w:val="001C3FE2"/>
    <w:rsid w:val="001C42F0"/>
    <w:rsid w:val="001C4900"/>
    <w:rsid w:val="001C533A"/>
    <w:rsid w:val="001C539A"/>
    <w:rsid w:val="001C5FB6"/>
    <w:rsid w:val="001C63CD"/>
    <w:rsid w:val="001C675C"/>
    <w:rsid w:val="001C7EEF"/>
    <w:rsid w:val="001D0042"/>
    <w:rsid w:val="001D2DF6"/>
    <w:rsid w:val="001D3723"/>
    <w:rsid w:val="001D3EED"/>
    <w:rsid w:val="001D5203"/>
    <w:rsid w:val="001D5591"/>
    <w:rsid w:val="001D6A9F"/>
    <w:rsid w:val="001D7428"/>
    <w:rsid w:val="001D74F3"/>
    <w:rsid w:val="001E1FA8"/>
    <w:rsid w:val="001E27B2"/>
    <w:rsid w:val="001E3DDD"/>
    <w:rsid w:val="001E3E82"/>
    <w:rsid w:val="001E3FAB"/>
    <w:rsid w:val="001E4E7D"/>
    <w:rsid w:val="001E4FBD"/>
    <w:rsid w:val="001E6285"/>
    <w:rsid w:val="001E66F2"/>
    <w:rsid w:val="001E6B28"/>
    <w:rsid w:val="001F0EDE"/>
    <w:rsid w:val="001F2DA0"/>
    <w:rsid w:val="001F2DF1"/>
    <w:rsid w:val="001F3894"/>
    <w:rsid w:val="001F4293"/>
    <w:rsid w:val="001F49D1"/>
    <w:rsid w:val="001F4D72"/>
    <w:rsid w:val="001F582A"/>
    <w:rsid w:val="002021F7"/>
    <w:rsid w:val="002031C7"/>
    <w:rsid w:val="00203882"/>
    <w:rsid w:val="002039E8"/>
    <w:rsid w:val="00203D03"/>
    <w:rsid w:val="0020461C"/>
    <w:rsid w:val="002046DC"/>
    <w:rsid w:val="00204790"/>
    <w:rsid w:val="00204994"/>
    <w:rsid w:val="00204ECD"/>
    <w:rsid w:val="002054C4"/>
    <w:rsid w:val="00205531"/>
    <w:rsid w:val="00206368"/>
    <w:rsid w:val="002073B5"/>
    <w:rsid w:val="00207473"/>
    <w:rsid w:val="002076AE"/>
    <w:rsid w:val="00207F14"/>
    <w:rsid w:val="00211670"/>
    <w:rsid w:val="0021189F"/>
    <w:rsid w:val="0021299A"/>
    <w:rsid w:val="00212D06"/>
    <w:rsid w:val="002131E4"/>
    <w:rsid w:val="002159B0"/>
    <w:rsid w:val="002160BE"/>
    <w:rsid w:val="00216536"/>
    <w:rsid w:val="002171F9"/>
    <w:rsid w:val="00222C4F"/>
    <w:rsid w:val="002256DB"/>
    <w:rsid w:val="00226DD6"/>
    <w:rsid w:val="00227501"/>
    <w:rsid w:val="00227748"/>
    <w:rsid w:val="0022778F"/>
    <w:rsid w:val="00227D77"/>
    <w:rsid w:val="00230038"/>
    <w:rsid w:val="00230D22"/>
    <w:rsid w:val="0023222C"/>
    <w:rsid w:val="002337F4"/>
    <w:rsid w:val="00233A12"/>
    <w:rsid w:val="00233AF4"/>
    <w:rsid w:val="00234514"/>
    <w:rsid w:val="00234D0F"/>
    <w:rsid w:val="0023506F"/>
    <w:rsid w:val="00235D06"/>
    <w:rsid w:val="00236297"/>
    <w:rsid w:val="0023742B"/>
    <w:rsid w:val="0024005E"/>
    <w:rsid w:val="002402E7"/>
    <w:rsid w:val="002404EA"/>
    <w:rsid w:val="00240619"/>
    <w:rsid w:val="00241741"/>
    <w:rsid w:val="0024251E"/>
    <w:rsid w:val="00242984"/>
    <w:rsid w:val="00242DB2"/>
    <w:rsid w:val="002430C7"/>
    <w:rsid w:val="00246043"/>
    <w:rsid w:val="00247196"/>
    <w:rsid w:val="00247A2D"/>
    <w:rsid w:val="00251732"/>
    <w:rsid w:val="00251A56"/>
    <w:rsid w:val="00251C6D"/>
    <w:rsid w:val="0025262C"/>
    <w:rsid w:val="002535D7"/>
    <w:rsid w:val="00253A13"/>
    <w:rsid w:val="00253EE2"/>
    <w:rsid w:val="0025417C"/>
    <w:rsid w:val="0025485A"/>
    <w:rsid w:val="00255757"/>
    <w:rsid w:val="00255E8B"/>
    <w:rsid w:val="00255FBA"/>
    <w:rsid w:val="00256BCB"/>
    <w:rsid w:val="002575BD"/>
    <w:rsid w:val="0025764F"/>
    <w:rsid w:val="002577E9"/>
    <w:rsid w:val="00260363"/>
    <w:rsid w:val="00260B2A"/>
    <w:rsid w:val="00260CEB"/>
    <w:rsid w:val="00261E75"/>
    <w:rsid w:val="002624A5"/>
    <w:rsid w:val="0026282D"/>
    <w:rsid w:val="00263C76"/>
    <w:rsid w:val="00263E22"/>
    <w:rsid w:val="00263E79"/>
    <w:rsid w:val="0026691E"/>
    <w:rsid w:val="002669EE"/>
    <w:rsid w:val="00267DFC"/>
    <w:rsid w:val="00267E8C"/>
    <w:rsid w:val="00270E92"/>
    <w:rsid w:val="002712B8"/>
    <w:rsid w:val="002715DA"/>
    <w:rsid w:val="002726DE"/>
    <w:rsid w:val="0027381F"/>
    <w:rsid w:val="002748C0"/>
    <w:rsid w:val="00274A60"/>
    <w:rsid w:val="00275EFE"/>
    <w:rsid w:val="00277229"/>
    <w:rsid w:val="002773BD"/>
    <w:rsid w:val="00277EB3"/>
    <w:rsid w:val="0028021D"/>
    <w:rsid w:val="0028132C"/>
    <w:rsid w:val="00281648"/>
    <w:rsid w:val="0028253D"/>
    <w:rsid w:val="002836D8"/>
    <w:rsid w:val="0028610F"/>
    <w:rsid w:val="00286AC6"/>
    <w:rsid w:val="00287954"/>
    <w:rsid w:val="00287AA1"/>
    <w:rsid w:val="00290166"/>
    <w:rsid w:val="002922C4"/>
    <w:rsid w:val="002923DC"/>
    <w:rsid w:val="00292817"/>
    <w:rsid w:val="00294EB6"/>
    <w:rsid w:val="0029519E"/>
    <w:rsid w:val="0029542A"/>
    <w:rsid w:val="00296814"/>
    <w:rsid w:val="00297741"/>
    <w:rsid w:val="002A0079"/>
    <w:rsid w:val="002A137C"/>
    <w:rsid w:val="002A1B00"/>
    <w:rsid w:val="002A2EE7"/>
    <w:rsid w:val="002A380D"/>
    <w:rsid w:val="002A3AB3"/>
    <w:rsid w:val="002A43CD"/>
    <w:rsid w:val="002A4B05"/>
    <w:rsid w:val="002A55AC"/>
    <w:rsid w:val="002A5B1F"/>
    <w:rsid w:val="002A64DA"/>
    <w:rsid w:val="002A6C28"/>
    <w:rsid w:val="002A6F07"/>
    <w:rsid w:val="002A7262"/>
    <w:rsid w:val="002B02EA"/>
    <w:rsid w:val="002B057B"/>
    <w:rsid w:val="002B2137"/>
    <w:rsid w:val="002B217C"/>
    <w:rsid w:val="002B3EC8"/>
    <w:rsid w:val="002B5B19"/>
    <w:rsid w:val="002B6029"/>
    <w:rsid w:val="002B6D87"/>
    <w:rsid w:val="002B6DFD"/>
    <w:rsid w:val="002C3FF6"/>
    <w:rsid w:val="002C4F47"/>
    <w:rsid w:val="002C64A9"/>
    <w:rsid w:val="002D102A"/>
    <w:rsid w:val="002D19EB"/>
    <w:rsid w:val="002D1BDF"/>
    <w:rsid w:val="002D232B"/>
    <w:rsid w:val="002D2DCF"/>
    <w:rsid w:val="002D2E86"/>
    <w:rsid w:val="002D3F3F"/>
    <w:rsid w:val="002D4064"/>
    <w:rsid w:val="002D4204"/>
    <w:rsid w:val="002D4354"/>
    <w:rsid w:val="002D44E0"/>
    <w:rsid w:val="002D52B2"/>
    <w:rsid w:val="002D57D1"/>
    <w:rsid w:val="002D6A07"/>
    <w:rsid w:val="002D6DE0"/>
    <w:rsid w:val="002D7162"/>
    <w:rsid w:val="002D7AD4"/>
    <w:rsid w:val="002D7B4C"/>
    <w:rsid w:val="002D7F7B"/>
    <w:rsid w:val="002E0CF5"/>
    <w:rsid w:val="002E2170"/>
    <w:rsid w:val="002E33DD"/>
    <w:rsid w:val="002E34D8"/>
    <w:rsid w:val="002E365C"/>
    <w:rsid w:val="002E370A"/>
    <w:rsid w:val="002E3E3A"/>
    <w:rsid w:val="002E4CF3"/>
    <w:rsid w:val="002E5008"/>
    <w:rsid w:val="002E55BB"/>
    <w:rsid w:val="002E571E"/>
    <w:rsid w:val="002E69C3"/>
    <w:rsid w:val="002E6CE7"/>
    <w:rsid w:val="002E6F33"/>
    <w:rsid w:val="002E6FE7"/>
    <w:rsid w:val="002E7C99"/>
    <w:rsid w:val="002F04B6"/>
    <w:rsid w:val="002F1299"/>
    <w:rsid w:val="002F1A60"/>
    <w:rsid w:val="002F1B2C"/>
    <w:rsid w:val="002F206A"/>
    <w:rsid w:val="002F2146"/>
    <w:rsid w:val="002F4062"/>
    <w:rsid w:val="002F4B5B"/>
    <w:rsid w:val="002F4F77"/>
    <w:rsid w:val="002F5375"/>
    <w:rsid w:val="002F55B5"/>
    <w:rsid w:val="002F6AD1"/>
    <w:rsid w:val="002F7CE2"/>
    <w:rsid w:val="002F7E70"/>
    <w:rsid w:val="0030034A"/>
    <w:rsid w:val="00300C32"/>
    <w:rsid w:val="0030242A"/>
    <w:rsid w:val="003026E0"/>
    <w:rsid w:val="003030FA"/>
    <w:rsid w:val="003044BE"/>
    <w:rsid w:val="0030460C"/>
    <w:rsid w:val="00304671"/>
    <w:rsid w:val="003068AB"/>
    <w:rsid w:val="003069D2"/>
    <w:rsid w:val="00307298"/>
    <w:rsid w:val="00310BED"/>
    <w:rsid w:val="00312652"/>
    <w:rsid w:val="00312CD0"/>
    <w:rsid w:val="00312E9E"/>
    <w:rsid w:val="00315FA2"/>
    <w:rsid w:val="00316E0B"/>
    <w:rsid w:val="00317EF2"/>
    <w:rsid w:val="00317FBC"/>
    <w:rsid w:val="00320539"/>
    <w:rsid w:val="00320748"/>
    <w:rsid w:val="00320A33"/>
    <w:rsid w:val="00321028"/>
    <w:rsid w:val="00321A45"/>
    <w:rsid w:val="0032253F"/>
    <w:rsid w:val="00322976"/>
    <w:rsid w:val="00324BDD"/>
    <w:rsid w:val="00325901"/>
    <w:rsid w:val="003262B3"/>
    <w:rsid w:val="00331967"/>
    <w:rsid w:val="00332765"/>
    <w:rsid w:val="00332A70"/>
    <w:rsid w:val="00332E34"/>
    <w:rsid w:val="00333800"/>
    <w:rsid w:val="003342D2"/>
    <w:rsid w:val="0033453A"/>
    <w:rsid w:val="0033469D"/>
    <w:rsid w:val="00334A1B"/>
    <w:rsid w:val="00335B47"/>
    <w:rsid w:val="00335E31"/>
    <w:rsid w:val="003361EC"/>
    <w:rsid w:val="00337131"/>
    <w:rsid w:val="00337B91"/>
    <w:rsid w:val="003402E8"/>
    <w:rsid w:val="0034163E"/>
    <w:rsid w:val="0034197D"/>
    <w:rsid w:val="003428D8"/>
    <w:rsid w:val="00343078"/>
    <w:rsid w:val="003434D6"/>
    <w:rsid w:val="003439C1"/>
    <w:rsid w:val="00343FC5"/>
    <w:rsid w:val="00344AF7"/>
    <w:rsid w:val="00345059"/>
    <w:rsid w:val="00345101"/>
    <w:rsid w:val="00345261"/>
    <w:rsid w:val="0034600B"/>
    <w:rsid w:val="003462BD"/>
    <w:rsid w:val="003462EE"/>
    <w:rsid w:val="00347274"/>
    <w:rsid w:val="00347776"/>
    <w:rsid w:val="003503A2"/>
    <w:rsid w:val="00350A00"/>
    <w:rsid w:val="00351564"/>
    <w:rsid w:val="00351AEB"/>
    <w:rsid w:val="00351BAB"/>
    <w:rsid w:val="00351EC4"/>
    <w:rsid w:val="00351F64"/>
    <w:rsid w:val="00352456"/>
    <w:rsid w:val="00352F01"/>
    <w:rsid w:val="0035378B"/>
    <w:rsid w:val="00355343"/>
    <w:rsid w:val="00356985"/>
    <w:rsid w:val="00356C74"/>
    <w:rsid w:val="00356C8A"/>
    <w:rsid w:val="003575E9"/>
    <w:rsid w:val="00357789"/>
    <w:rsid w:val="00360BA3"/>
    <w:rsid w:val="00360C1A"/>
    <w:rsid w:val="00361B6B"/>
    <w:rsid w:val="00361B87"/>
    <w:rsid w:val="00361D62"/>
    <w:rsid w:val="003620A4"/>
    <w:rsid w:val="00362CAF"/>
    <w:rsid w:val="0036527C"/>
    <w:rsid w:val="00365335"/>
    <w:rsid w:val="00365C38"/>
    <w:rsid w:val="00366225"/>
    <w:rsid w:val="003662D0"/>
    <w:rsid w:val="00366D7E"/>
    <w:rsid w:val="0036716A"/>
    <w:rsid w:val="00367BC2"/>
    <w:rsid w:val="003703B7"/>
    <w:rsid w:val="0037049E"/>
    <w:rsid w:val="00370689"/>
    <w:rsid w:val="00370DFE"/>
    <w:rsid w:val="00371A1B"/>
    <w:rsid w:val="003734DD"/>
    <w:rsid w:val="0037354E"/>
    <w:rsid w:val="003736B9"/>
    <w:rsid w:val="00375A7A"/>
    <w:rsid w:val="00375B65"/>
    <w:rsid w:val="003778A9"/>
    <w:rsid w:val="00377D83"/>
    <w:rsid w:val="00380B76"/>
    <w:rsid w:val="00381574"/>
    <w:rsid w:val="00381787"/>
    <w:rsid w:val="00381BB3"/>
    <w:rsid w:val="003841D8"/>
    <w:rsid w:val="003841EF"/>
    <w:rsid w:val="00385067"/>
    <w:rsid w:val="00385F9E"/>
    <w:rsid w:val="00386DB6"/>
    <w:rsid w:val="0039041F"/>
    <w:rsid w:val="0039064B"/>
    <w:rsid w:val="00390FC4"/>
    <w:rsid w:val="00391F89"/>
    <w:rsid w:val="00392586"/>
    <w:rsid w:val="00392EFC"/>
    <w:rsid w:val="003933BE"/>
    <w:rsid w:val="00394852"/>
    <w:rsid w:val="00394D85"/>
    <w:rsid w:val="003958B1"/>
    <w:rsid w:val="00397E94"/>
    <w:rsid w:val="003A0A35"/>
    <w:rsid w:val="003A2AAC"/>
    <w:rsid w:val="003A2D84"/>
    <w:rsid w:val="003A31B0"/>
    <w:rsid w:val="003A3467"/>
    <w:rsid w:val="003A3B7D"/>
    <w:rsid w:val="003A3D80"/>
    <w:rsid w:val="003A45B1"/>
    <w:rsid w:val="003A4D88"/>
    <w:rsid w:val="003A588A"/>
    <w:rsid w:val="003A6DB6"/>
    <w:rsid w:val="003A7EF0"/>
    <w:rsid w:val="003A7F20"/>
    <w:rsid w:val="003B1055"/>
    <w:rsid w:val="003B1A40"/>
    <w:rsid w:val="003B45DE"/>
    <w:rsid w:val="003B5749"/>
    <w:rsid w:val="003B72DD"/>
    <w:rsid w:val="003C16E5"/>
    <w:rsid w:val="003C30D6"/>
    <w:rsid w:val="003C34F6"/>
    <w:rsid w:val="003C3DE7"/>
    <w:rsid w:val="003C425E"/>
    <w:rsid w:val="003C4B85"/>
    <w:rsid w:val="003C4C3D"/>
    <w:rsid w:val="003C57F0"/>
    <w:rsid w:val="003C5E33"/>
    <w:rsid w:val="003C6466"/>
    <w:rsid w:val="003C66DB"/>
    <w:rsid w:val="003D0FEC"/>
    <w:rsid w:val="003D142B"/>
    <w:rsid w:val="003D2437"/>
    <w:rsid w:val="003D3033"/>
    <w:rsid w:val="003D3AFB"/>
    <w:rsid w:val="003D40FB"/>
    <w:rsid w:val="003D4A4F"/>
    <w:rsid w:val="003D73CF"/>
    <w:rsid w:val="003D7945"/>
    <w:rsid w:val="003E1346"/>
    <w:rsid w:val="003E1A50"/>
    <w:rsid w:val="003E1B00"/>
    <w:rsid w:val="003E2274"/>
    <w:rsid w:val="003E231A"/>
    <w:rsid w:val="003E29E4"/>
    <w:rsid w:val="003E2D2C"/>
    <w:rsid w:val="003E6007"/>
    <w:rsid w:val="003F0582"/>
    <w:rsid w:val="003F0C7C"/>
    <w:rsid w:val="003F12E0"/>
    <w:rsid w:val="003F1488"/>
    <w:rsid w:val="003F194B"/>
    <w:rsid w:val="003F2B23"/>
    <w:rsid w:val="003F3266"/>
    <w:rsid w:val="003F3C72"/>
    <w:rsid w:val="003F42D3"/>
    <w:rsid w:val="003F4603"/>
    <w:rsid w:val="003F4E1E"/>
    <w:rsid w:val="003F50B6"/>
    <w:rsid w:val="003F6C66"/>
    <w:rsid w:val="003F720E"/>
    <w:rsid w:val="00400018"/>
    <w:rsid w:val="00402873"/>
    <w:rsid w:val="004030BD"/>
    <w:rsid w:val="004037E9"/>
    <w:rsid w:val="0040524D"/>
    <w:rsid w:val="00405A06"/>
    <w:rsid w:val="00406612"/>
    <w:rsid w:val="00407196"/>
    <w:rsid w:val="00407C3B"/>
    <w:rsid w:val="00407F80"/>
    <w:rsid w:val="00410842"/>
    <w:rsid w:val="00410892"/>
    <w:rsid w:val="00411F78"/>
    <w:rsid w:val="0041341B"/>
    <w:rsid w:val="00413A26"/>
    <w:rsid w:val="00413DC4"/>
    <w:rsid w:val="004148F7"/>
    <w:rsid w:val="004154E3"/>
    <w:rsid w:val="00416353"/>
    <w:rsid w:val="00416499"/>
    <w:rsid w:val="00416868"/>
    <w:rsid w:val="00416FAE"/>
    <w:rsid w:val="0041721A"/>
    <w:rsid w:val="00420194"/>
    <w:rsid w:val="004212AE"/>
    <w:rsid w:val="00421DB2"/>
    <w:rsid w:val="004220A7"/>
    <w:rsid w:val="00422C70"/>
    <w:rsid w:val="00423013"/>
    <w:rsid w:val="0042328B"/>
    <w:rsid w:val="0042360E"/>
    <w:rsid w:val="004242CE"/>
    <w:rsid w:val="00425CBF"/>
    <w:rsid w:val="0042649E"/>
    <w:rsid w:val="00430A41"/>
    <w:rsid w:val="00431017"/>
    <w:rsid w:val="00431DD2"/>
    <w:rsid w:val="004320E2"/>
    <w:rsid w:val="00432DD2"/>
    <w:rsid w:val="00432ECB"/>
    <w:rsid w:val="00434E39"/>
    <w:rsid w:val="00436753"/>
    <w:rsid w:val="00436FC1"/>
    <w:rsid w:val="00437554"/>
    <w:rsid w:val="004379BD"/>
    <w:rsid w:val="00440CA5"/>
    <w:rsid w:val="00441303"/>
    <w:rsid w:val="0044225E"/>
    <w:rsid w:val="004424B6"/>
    <w:rsid w:val="00442857"/>
    <w:rsid w:val="00443171"/>
    <w:rsid w:val="0044332C"/>
    <w:rsid w:val="00443C4D"/>
    <w:rsid w:val="00443EB0"/>
    <w:rsid w:val="00444E4C"/>
    <w:rsid w:val="0044501A"/>
    <w:rsid w:val="00446334"/>
    <w:rsid w:val="004478E8"/>
    <w:rsid w:val="00447C9B"/>
    <w:rsid w:val="0045014E"/>
    <w:rsid w:val="0045117B"/>
    <w:rsid w:val="004517AA"/>
    <w:rsid w:val="00451F7D"/>
    <w:rsid w:val="004528EF"/>
    <w:rsid w:val="00453916"/>
    <w:rsid w:val="00454047"/>
    <w:rsid w:val="00454C41"/>
    <w:rsid w:val="00455920"/>
    <w:rsid w:val="00455D50"/>
    <w:rsid w:val="0045630C"/>
    <w:rsid w:val="004574A6"/>
    <w:rsid w:val="004607F5"/>
    <w:rsid w:val="00460D0A"/>
    <w:rsid w:val="00462C6A"/>
    <w:rsid w:val="00464BE6"/>
    <w:rsid w:val="00466E4C"/>
    <w:rsid w:val="0046727B"/>
    <w:rsid w:val="00470367"/>
    <w:rsid w:val="004703AD"/>
    <w:rsid w:val="00471B8F"/>
    <w:rsid w:val="00471F71"/>
    <w:rsid w:val="00472BDA"/>
    <w:rsid w:val="00472E96"/>
    <w:rsid w:val="00472F55"/>
    <w:rsid w:val="004730DA"/>
    <w:rsid w:val="00474689"/>
    <w:rsid w:val="004750C4"/>
    <w:rsid w:val="004757DD"/>
    <w:rsid w:val="004770EF"/>
    <w:rsid w:val="00477F70"/>
    <w:rsid w:val="00480274"/>
    <w:rsid w:val="00481725"/>
    <w:rsid w:val="004817DF"/>
    <w:rsid w:val="004822D7"/>
    <w:rsid w:val="00482A57"/>
    <w:rsid w:val="004834AF"/>
    <w:rsid w:val="004835EF"/>
    <w:rsid w:val="00486584"/>
    <w:rsid w:val="00486A70"/>
    <w:rsid w:val="004872C3"/>
    <w:rsid w:val="00487DCB"/>
    <w:rsid w:val="00490A02"/>
    <w:rsid w:val="00491B5D"/>
    <w:rsid w:val="004922E7"/>
    <w:rsid w:val="00492A9E"/>
    <w:rsid w:val="00492CC1"/>
    <w:rsid w:val="00494345"/>
    <w:rsid w:val="00494A32"/>
    <w:rsid w:val="00495C3D"/>
    <w:rsid w:val="00496654"/>
    <w:rsid w:val="0049788F"/>
    <w:rsid w:val="004A081A"/>
    <w:rsid w:val="004A1F7C"/>
    <w:rsid w:val="004A2387"/>
    <w:rsid w:val="004A3435"/>
    <w:rsid w:val="004A3D24"/>
    <w:rsid w:val="004A5982"/>
    <w:rsid w:val="004A5F83"/>
    <w:rsid w:val="004A6087"/>
    <w:rsid w:val="004A6D23"/>
    <w:rsid w:val="004B0A12"/>
    <w:rsid w:val="004B0DBC"/>
    <w:rsid w:val="004B3D4B"/>
    <w:rsid w:val="004B498B"/>
    <w:rsid w:val="004B49B0"/>
    <w:rsid w:val="004B4A22"/>
    <w:rsid w:val="004B4EB5"/>
    <w:rsid w:val="004B52CA"/>
    <w:rsid w:val="004B5A46"/>
    <w:rsid w:val="004B6818"/>
    <w:rsid w:val="004B6876"/>
    <w:rsid w:val="004B6DE8"/>
    <w:rsid w:val="004B78ED"/>
    <w:rsid w:val="004B7CFB"/>
    <w:rsid w:val="004C08AF"/>
    <w:rsid w:val="004C0CA5"/>
    <w:rsid w:val="004C15E4"/>
    <w:rsid w:val="004C32B8"/>
    <w:rsid w:val="004C4727"/>
    <w:rsid w:val="004C47E4"/>
    <w:rsid w:val="004C4C1C"/>
    <w:rsid w:val="004C5020"/>
    <w:rsid w:val="004C6E7F"/>
    <w:rsid w:val="004C7E56"/>
    <w:rsid w:val="004D16CA"/>
    <w:rsid w:val="004D2460"/>
    <w:rsid w:val="004D36FA"/>
    <w:rsid w:val="004D3963"/>
    <w:rsid w:val="004D3A75"/>
    <w:rsid w:val="004D3FE1"/>
    <w:rsid w:val="004D4378"/>
    <w:rsid w:val="004D56CF"/>
    <w:rsid w:val="004D5D44"/>
    <w:rsid w:val="004D5EBD"/>
    <w:rsid w:val="004D7145"/>
    <w:rsid w:val="004E0419"/>
    <w:rsid w:val="004E0C54"/>
    <w:rsid w:val="004E140B"/>
    <w:rsid w:val="004E1BA7"/>
    <w:rsid w:val="004E27C3"/>
    <w:rsid w:val="004E2CD9"/>
    <w:rsid w:val="004E35D4"/>
    <w:rsid w:val="004E3E2B"/>
    <w:rsid w:val="004E5581"/>
    <w:rsid w:val="004E5EFC"/>
    <w:rsid w:val="004E6300"/>
    <w:rsid w:val="004E6826"/>
    <w:rsid w:val="004E6A83"/>
    <w:rsid w:val="004E6BB9"/>
    <w:rsid w:val="004E72CB"/>
    <w:rsid w:val="004E7AA2"/>
    <w:rsid w:val="004F06A7"/>
    <w:rsid w:val="004F2205"/>
    <w:rsid w:val="004F243B"/>
    <w:rsid w:val="004F2A67"/>
    <w:rsid w:val="004F2BD0"/>
    <w:rsid w:val="004F33E0"/>
    <w:rsid w:val="004F3B09"/>
    <w:rsid w:val="004F41D7"/>
    <w:rsid w:val="004F43EB"/>
    <w:rsid w:val="004F4EA4"/>
    <w:rsid w:val="004F6A61"/>
    <w:rsid w:val="004F6AB8"/>
    <w:rsid w:val="004F740D"/>
    <w:rsid w:val="00500A73"/>
    <w:rsid w:val="00500CC2"/>
    <w:rsid w:val="00504410"/>
    <w:rsid w:val="0050569F"/>
    <w:rsid w:val="005057BC"/>
    <w:rsid w:val="00505E5F"/>
    <w:rsid w:val="00506193"/>
    <w:rsid w:val="00506E71"/>
    <w:rsid w:val="00507E2A"/>
    <w:rsid w:val="005101D2"/>
    <w:rsid w:val="005103BF"/>
    <w:rsid w:val="005104B6"/>
    <w:rsid w:val="00510DA3"/>
    <w:rsid w:val="00511B31"/>
    <w:rsid w:val="00512100"/>
    <w:rsid w:val="005121C2"/>
    <w:rsid w:val="00512434"/>
    <w:rsid w:val="00512A8C"/>
    <w:rsid w:val="00512E9F"/>
    <w:rsid w:val="00513D5B"/>
    <w:rsid w:val="00513EF8"/>
    <w:rsid w:val="00515196"/>
    <w:rsid w:val="005151C6"/>
    <w:rsid w:val="00515586"/>
    <w:rsid w:val="00515C0F"/>
    <w:rsid w:val="00515FF0"/>
    <w:rsid w:val="00516C3B"/>
    <w:rsid w:val="00516C6C"/>
    <w:rsid w:val="00517184"/>
    <w:rsid w:val="0051794E"/>
    <w:rsid w:val="00520560"/>
    <w:rsid w:val="005217CB"/>
    <w:rsid w:val="00522222"/>
    <w:rsid w:val="0052250E"/>
    <w:rsid w:val="00523519"/>
    <w:rsid w:val="00525B50"/>
    <w:rsid w:val="005264B3"/>
    <w:rsid w:val="00526AE2"/>
    <w:rsid w:val="00526D2B"/>
    <w:rsid w:val="00527AD7"/>
    <w:rsid w:val="00527F33"/>
    <w:rsid w:val="00530A51"/>
    <w:rsid w:val="0053102F"/>
    <w:rsid w:val="005311EB"/>
    <w:rsid w:val="00532B3D"/>
    <w:rsid w:val="00532DAE"/>
    <w:rsid w:val="00534635"/>
    <w:rsid w:val="00534B03"/>
    <w:rsid w:val="00534DD8"/>
    <w:rsid w:val="00536E26"/>
    <w:rsid w:val="00537A4E"/>
    <w:rsid w:val="00537C05"/>
    <w:rsid w:val="005406DF"/>
    <w:rsid w:val="00540CA2"/>
    <w:rsid w:val="0054144F"/>
    <w:rsid w:val="0054177B"/>
    <w:rsid w:val="00543835"/>
    <w:rsid w:val="00543E2C"/>
    <w:rsid w:val="00543E68"/>
    <w:rsid w:val="00544074"/>
    <w:rsid w:val="00544B5A"/>
    <w:rsid w:val="005454ED"/>
    <w:rsid w:val="0054575A"/>
    <w:rsid w:val="005459CB"/>
    <w:rsid w:val="005468DB"/>
    <w:rsid w:val="005471BD"/>
    <w:rsid w:val="00551A93"/>
    <w:rsid w:val="00551B5B"/>
    <w:rsid w:val="00554A83"/>
    <w:rsid w:val="0055536E"/>
    <w:rsid w:val="0055586F"/>
    <w:rsid w:val="00555D53"/>
    <w:rsid w:val="00555F10"/>
    <w:rsid w:val="005568FD"/>
    <w:rsid w:val="00557016"/>
    <w:rsid w:val="00557209"/>
    <w:rsid w:val="005579D1"/>
    <w:rsid w:val="00557B85"/>
    <w:rsid w:val="00557BD2"/>
    <w:rsid w:val="00557F89"/>
    <w:rsid w:val="00562269"/>
    <w:rsid w:val="00564B6B"/>
    <w:rsid w:val="005651A0"/>
    <w:rsid w:val="00566213"/>
    <w:rsid w:val="00566535"/>
    <w:rsid w:val="00566724"/>
    <w:rsid w:val="00567CE5"/>
    <w:rsid w:val="00570668"/>
    <w:rsid w:val="00570833"/>
    <w:rsid w:val="00571151"/>
    <w:rsid w:val="00571367"/>
    <w:rsid w:val="0057217D"/>
    <w:rsid w:val="00572F07"/>
    <w:rsid w:val="00573356"/>
    <w:rsid w:val="0057421E"/>
    <w:rsid w:val="005750C6"/>
    <w:rsid w:val="00575B1E"/>
    <w:rsid w:val="005761F5"/>
    <w:rsid w:val="005770AE"/>
    <w:rsid w:val="00577421"/>
    <w:rsid w:val="00577CDD"/>
    <w:rsid w:val="00581E3B"/>
    <w:rsid w:val="005823AC"/>
    <w:rsid w:val="00582568"/>
    <w:rsid w:val="00584147"/>
    <w:rsid w:val="00584FDC"/>
    <w:rsid w:val="005860EE"/>
    <w:rsid w:val="00586678"/>
    <w:rsid w:val="00586C4D"/>
    <w:rsid w:val="005874D9"/>
    <w:rsid w:val="0059008F"/>
    <w:rsid w:val="00590977"/>
    <w:rsid w:val="00590A31"/>
    <w:rsid w:val="00590B2C"/>
    <w:rsid w:val="005911B9"/>
    <w:rsid w:val="005923EA"/>
    <w:rsid w:val="00592DAA"/>
    <w:rsid w:val="00593F76"/>
    <w:rsid w:val="0059476F"/>
    <w:rsid w:val="0059495E"/>
    <w:rsid w:val="00595851"/>
    <w:rsid w:val="00595C8B"/>
    <w:rsid w:val="00596E38"/>
    <w:rsid w:val="00597359"/>
    <w:rsid w:val="00597D57"/>
    <w:rsid w:val="00597E1D"/>
    <w:rsid w:val="00597F9E"/>
    <w:rsid w:val="005A02B0"/>
    <w:rsid w:val="005A1236"/>
    <w:rsid w:val="005A1897"/>
    <w:rsid w:val="005A22F8"/>
    <w:rsid w:val="005A2499"/>
    <w:rsid w:val="005A2BA8"/>
    <w:rsid w:val="005A3585"/>
    <w:rsid w:val="005A4F43"/>
    <w:rsid w:val="005A71B7"/>
    <w:rsid w:val="005A7B04"/>
    <w:rsid w:val="005B0BED"/>
    <w:rsid w:val="005B2C07"/>
    <w:rsid w:val="005B3FD4"/>
    <w:rsid w:val="005B5B75"/>
    <w:rsid w:val="005B6200"/>
    <w:rsid w:val="005B62F4"/>
    <w:rsid w:val="005B63C5"/>
    <w:rsid w:val="005B658D"/>
    <w:rsid w:val="005B7422"/>
    <w:rsid w:val="005C06A0"/>
    <w:rsid w:val="005C180E"/>
    <w:rsid w:val="005C1B87"/>
    <w:rsid w:val="005C206A"/>
    <w:rsid w:val="005C2119"/>
    <w:rsid w:val="005C3322"/>
    <w:rsid w:val="005C4C1D"/>
    <w:rsid w:val="005C6AC1"/>
    <w:rsid w:val="005C75D7"/>
    <w:rsid w:val="005C76BB"/>
    <w:rsid w:val="005D0035"/>
    <w:rsid w:val="005D0D87"/>
    <w:rsid w:val="005D296C"/>
    <w:rsid w:val="005D36F8"/>
    <w:rsid w:val="005D37D0"/>
    <w:rsid w:val="005D3FDD"/>
    <w:rsid w:val="005D499A"/>
    <w:rsid w:val="005D5EF2"/>
    <w:rsid w:val="005D6411"/>
    <w:rsid w:val="005D7487"/>
    <w:rsid w:val="005E07E5"/>
    <w:rsid w:val="005E1C6A"/>
    <w:rsid w:val="005E30BE"/>
    <w:rsid w:val="005E4A53"/>
    <w:rsid w:val="005E4C3E"/>
    <w:rsid w:val="005E5337"/>
    <w:rsid w:val="005E6370"/>
    <w:rsid w:val="005E72BA"/>
    <w:rsid w:val="005E7A5C"/>
    <w:rsid w:val="005F06DD"/>
    <w:rsid w:val="005F1FBB"/>
    <w:rsid w:val="005F272F"/>
    <w:rsid w:val="005F2CFB"/>
    <w:rsid w:val="005F2E3E"/>
    <w:rsid w:val="005F2E92"/>
    <w:rsid w:val="005F3601"/>
    <w:rsid w:val="005F36D3"/>
    <w:rsid w:val="005F4053"/>
    <w:rsid w:val="005F45D0"/>
    <w:rsid w:val="005F4957"/>
    <w:rsid w:val="005F5B08"/>
    <w:rsid w:val="005F6E96"/>
    <w:rsid w:val="005F6F16"/>
    <w:rsid w:val="005F7916"/>
    <w:rsid w:val="006000B1"/>
    <w:rsid w:val="00600369"/>
    <w:rsid w:val="00601004"/>
    <w:rsid w:val="00601B68"/>
    <w:rsid w:val="00602F97"/>
    <w:rsid w:val="006030CC"/>
    <w:rsid w:val="006032DF"/>
    <w:rsid w:val="0060344B"/>
    <w:rsid w:val="00603AE1"/>
    <w:rsid w:val="00603DA7"/>
    <w:rsid w:val="00604246"/>
    <w:rsid w:val="00605863"/>
    <w:rsid w:val="00605B72"/>
    <w:rsid w:val="00606C17"/>
    <w:rsid w:val="00607434"/>
    <w:rsid w:val="006103DB"/>
    <w:rsid w:val="00610F62"/>
    <w:rsid w:val="00612263"/>
    <w:rsid w:val="0061257D"/>
    <w:rsid w:val="006127F0"/>
    <w:rsid w:val="00614B8C"/>
    <w:rsid w:val="00614F3D"/>
    <w:rsid w:val="0061505E"/>
    <w:rsid w:val="006155AF"/>
    <w:rsid w:val="00616927"/>
    <w:rsid w:val="00620960"/>
    <w:rsid w:val="006213D1"/>
    <w:rsid w:val="00621450"/>
    <w:rsid w:val="00621838"/>
    <w:rsid w:val="00622500"/>
    <w:rsid w:val="00624E56"/>
    <w:rsid w:val="00625A8A"/>
    <w:rsid w:val="006262D5"/>
    <w:rsid w:val="0062656B"/>
    <w:rsid w:val="0062790D"/>
    <w:rsid w:val="00627C34"/>
    <w:rsid w:val="0063075D"/>
    <w:rsid w:val="00630EF1"/>
    <w:rsid w:val="0063160B"/>
    <w:rsid w:val="00631DEE"/>
    <w:rsid w:val="00632209"/>
    <w:rsid w:val="00632AFC"/>
    <w:rsid w:val="00635780"/>
    <w:rsid w:val="0063732F"/>
    <w:rsid w:val="00640701"/>
    <w:rsid w:val="00640E08"/>
    <w:rsid w:val="0064167B"/>
    <w:rsid w:val="00641C21"/>
    <w:rsid w:val="00643681"/>
    <w:rsid w:val="00645570"/>
    <w:rsid w:val="00645ED9"/>
    <w:rsid w:val="00645EF3"/>
    <w:rsid w:val="00647B50"/>
    <w:rsid w:val="0065010F"/>
    <w:rsid w:val="00650407"/>
    <w:rsid w:val="006508FA"/>
    <w:rsid w:val="00651055"/>
    <w:rsid w:val="0065247F"/>
    <w:rsid w:val="00653ADB"/>
    <w:rsid w:val="00654352"/>
    <w:rsid w:val="0065480F"/>
    <w:rsid w:val="00655EF1"/>
    <w:rsid w:val="00662E25"/>
    <w:rsid w:val="00663479"/>
    <w:rsid w:val="0066465E"/>
    <w:rsid w:val="00664ADB"/>
    <w:rsid w:val="00664FC7"/>
    <w:rsid w:val="00665117"/>
    <w:rsid w:val="00665EF6"/>
    <w:rsid w:val="00666109"/>
    <w:rsid w:val="00666A6A"/>
    <w:rsid w:val="00666C39"/>
    <w:rsid w:val="00667077"/>
    <w:rsid w:val="00667769"/>
    <w:rsid w:val="00670C20"/>
    <w:rsid w:val="00670C8F"/>
    <w:rsid w:val="006719B9"/>
    <w:rsid w:val="00672F0D"/>
    <w:rsid w:val="0067376A"/>
    <w:rsid w:val="00673A6A"/>
    <w:rsid w:val="00674788"/>
    <w:rsid w:val="0067481B"/>
    <w:rsid w:val="00674F7B"/>
    <w:rsid w:val="006772AE"/>
    <w:rsid w:val="006774ED"/>
    <w:rsid w:val="00677846"/>
    <w:rsid w:val="00680277"/>
    <w:rsid w:val="006805D4"/>
    <w:rsid w:val="0068143F"/>
    <w:rsid w:val="00682AD9"/>
    <w:rsid w:val="00684716"/>
    <w:rsid w:val="00684831"/>
    <w:rsid w:val="00684E36"/>
    <w:rsid w:val="0068625C"/>
    <w:rsid w:val="00686BCE"/>
    <w:rsid w:val="006871D3"/>
    <w:rsid w:val="00690144"/>
    <w:rsid w:val="00690269"/>
    <w:rsid w:val="00691475"/>
    <w:rsid w:val="00691A22"/>
    <w:rsid w:val="00691E37"/>
    <w:rsid w:val="006922F7"/>
    <w:rsid w:val="00694BB8"/>
    <w:rsid w:val="00695179"/>
    <w:rsid w:val="006973F0"/>
    <w:rsid w:val="006974ED"/>
    <w:rsid w:val="006979EB"/>
    <w:rsid w:val="006A0B2F"/>
    <w:rsid w:val="006A2664"/>
    <w:rsid w:val="006A37B6"/>
    <w:rsid w:val="006A404B"/>
    <w:rsid w:val="006A4B42"/>
    <w:rsid w:val="006A4C86"/>
    <w:rsid w:val="006A5CF0"/>
    <w:rsid w:val="006A6218"/>
    <w:rsid w:val="006A6D49"/>
    <w:rsid w:val="006A7C29"/>
    <w:rsid w:val="006B0268"/>
    <w:rsid w:val="006B1E4A"/>
    <w:rsid w:val="006B25AB"/>
    <w:rsid w:val="006B27B6"/>
    <w:rsid w:val="006B322E"/>
    <w:rsid w:val="006B3473"/>
    <w:rsid w:val="006B3A51"/>
    <w:rsid w:val="006B3D5A"/>
    <w:rsid w:val="006B4670"/>
    <w:rsid w:val="006B4E9B"/>
    <w:rsid w:val="006B524F"/>
    <w:rsid w:val="006B5F65"/>
    <w:rsid w:val="006B5FC0"/>
    <w:rsid w:val="006B7FE4"/>
    <w:rsid w:val="006C1522"/>
    <w:rsid w:val="006C1D6F"/>
    <w:rsid w:val="006C3742"/>
    <w:rsid w:val="006C4668"/>
    <w:rsid w:val="006C46D3"/>
    <w:rsid w:val="006C5AE0"/>
    <w:rsid w:val="006C61A2"/>
    <w:rsid w:val="006C622D"/>
    <w:rsid w:val="006C656F"/>
    <w:rsid w:val="006C67B9"/>
    <w:rsid w:val="006C6C4B"/>
    <w:rsid w:val="006C7B11"/>
    <w:rsid w:val="006C7DA2"/>
    <w:rsid w:val="006D1462"/>
    <w:rsid w:val="006D19A6"/>
    <w:rsid w:val="006D2849"/>
    <w:rsid w:val="006D2CA5"/>
    <w:rsid w:val="006D3150"/>
    <w:rsid w:val="006D3262"/>
    <w:rsid w:val="006D5360"/>
    <w:rsid w:val="006D6BF0"/>
    <w:rsid w:val="006D6DB9"/>
    <w:rsid w:val="006E38D0"/>
    <w:rsid w:val="006E42C0"/>
    <w:rsid w:val="006E455B"/>
    <w:rsid w:val="006E4FF1"/>
    <w:rsid w:val="006E550A"/>
    <w:rsid w:val="006E5D9B"/>
    <w:rsid w:val="006E7919"/>
    <w:rsid w:val="006E7AAE"/>
    <w:rsid w:val="006F1A63"/>
    <w:rsid w:val="006F229D"/>
    <w:rsid w:val="006F2614"/>
    <w:rsid w:val="006F2F72"/>
    <w:rsid w:val="006F3082"/>
    <w:rsid w:val="006F33FA"/>
    <w:rsid w:val="006F4055"/>
    <w:rsid w:val="006F49D7"/>
    <w:rsid w:val="006F5110"/>
    <w:rsid w:val="006F5569"/>
    <w:rsid w:val="006F5A54"/>
    <w:rsid w:val="006F609E"/>
    <w:rsid w:val="006F62BD"/>
    <w:rsid w:val="006F6384"/>
    <w:rsid w:val="006F6C29"/>
    <w:rsid w:val="006F784F"/>
    <w:rsid w:val="007009AF"/>
    <w:rsid w:val="00700AA9"/>
    <w:rsid w:val="00700CD6"/>
    <w:rsid w:val="0070233F"/>
    <w:rsid w:val="00703670"/>
    <w:rsid w:val="007039BA"/>
    <w:rsid w:val="00703A1F"/>
    <w:rsid w:val="00704B7D"/>
    <w:rsid w:val="00706398"/>
    <w:rsid w:val="00707AEB"/>
    <w:rsid w:val="0071068A"/>
    <w:rsid w:val="00711FED"/>
    <w:rsid w:val="007138EF"/>
    <w:rsid w:val="007149FF"/>
    <w:rsid w:val="0071501E"/>
    <w:rsid w:val="0071664E"/>
    <w:rsid w:val="00716856"/>
    <w:rsid w:val="00716B91"/>
    <w:rsid w:val="00716D85"/>
    <w:rsid w:val="00716E93"/>
    <w:rsid w:val="00717199"/>
    <w:rsid w:val="007172C8"/>
    <w:rsid w:val="007175A3"/>
    <w:rsid w:val="00717D54"/>
    <w:rsid w:val="0072012A"/>
    <w:rsid w:val="007202CD"/>
    <w:rsid w:val="00720360"/>
    <w:rsid w:val="00720EEE"/>
    <w:rsid w:val="00721171"/>
    <w:rsid w:val="00721C61"/>
    <w:rsid w:val="00722585"/>
    <w:rsid w:val="00722879"/>
    <w:rsid w:val="00722C61"/>
    <w:rsid w:val="00723A42"/>
    <w:rsid w:val="00724934"/>
    <w:rsid w:val="00724E66"/>
    <w:rsid w:val="007259EB"/>
    <w:rsid w:val="00725E93"/>
    <w:rsid w:val="00726890"/>
    <w:rsid w:val="00726FE9"/>
    <w:rsid w:val="00730E99"/>
    <w:rsid w:val="007310D1"/>
    <w:rsid w:val="00732FE6"/>
    <w:rsid w:val="00733E60"/>
    <w:rsid w:val="007343D0"/>
    <w:rsid w:val="007347AB"/>
    <w:rsid w:val="0073502E"/>
    <w:rsid w:val="00737135"/>
    <w:rsid w:val="00737202"/>
    <w:rsid w:val="0074202F"/>
    <w:rsid w:val="00742331"/>
    <w:rsid w:val="00742988"/>
    <w:rsid w:val="007447C3"/>
    <w:rsid w:val="00744914"/>
    <w:rsid w:val="00744A78"/>
    <w:rsid w:val="00744D1C"/>
    <w:rsid w:val="007459B3"/>
    <w:rsid w:val="00746093"/>
    <w:rsid w:val="0074659E"/>
    <w:rsid w:val="00750233"/>
    <w:rsid w:val="00750DA9"/>
    <w:rsid w:val="00751AD8"/>
    <w:rsid w:val="007524AA"/>
    <w:rsid w:val="00753056"/>
    <w:rsid w:val="007530E9"/>
    <w:rsid w:val="00753361"/>
    <w:rsid w:val="00754FBD"/>
    <w:rsid w:val="00755DBB"/>
    <w:rsid w:val="00755E73"/>
    <w:rsid w:val="0075636A"/>
    <w:rsid w:val="00756EF8"/>
    <w:rsid w:val="00757AA3"/>
    <w:rsid w:val="00757E93"/>
    <w:rsid w:val="00760631"/>
    <w:rsid w:val="00760FA5"/>
    <w:rsid w:val="00761F86"/>
    <w:rsid w:val="007621F8"/>
    <w:rsid w:val="007627F1"/>
    <w:rsid w:val="00763019"/>
    <w:rsid w:val="0076558D"/>
    <w:rsid w:val="007661A5"/>
    <w:rsid w:val="00767C46"/>
    <w:rsid w:val="007708F5"/>
    <w:rsid w:val="00772630"/>
    <w:rsid w:val="00772DD0"/>
    <w:rsid w:val="00772E99"/>
    <w:rsid w:val="00774127"/>
    <w:rsid w:val="00774F7C"/>
    <w:rsid w:val="007776EA"/>
    <w:rsid w:val="00777873"/>
    <w:rsid w:val="00777A23"/>
    <w:rsid w:val="00777B8F"/>
    <w:rsid w:val="00780191"/>
    <w:rsid w:val="007814A7"/>
    <w:rsid w:val="0078155D"/>
    <w:rsid w:val="00781CD9"/>
    <w:rsid w:val="00782003"/>
    <w:rsid w:val="00782608"/>
    <w:rsid w:val="00783262"/>
    <w:rsid w:val="007837A0"/>
    <w:rsid w:val="00783E29"/>
    <w:rsid w:val="00785027"/>
    <w:rsid w:val="00787B81"/>
    <w:rsid w:val="00790A16"/>
    <w:rsid w:val="00790B6F"/>
    <w:rsid w:val="00791140"/>
    <w:rsid w:val="00791604"/>
    <w:rsid w:val="0079206E"/>
    <w:rsid w:val="00792C7C"/>
    <w:rsid w:val="00794321"/>
    <w:rsid w:val="007953A5"/>
    <w:rsid w:val="00796611"/>
    <w:rsid w:val="00796E46"/>
    <w:rsid w:val="00796F00"/>
    <w:rsid w:val="00797907"/>
    <w:rsid w:val="007A0992"/>
    <w:rsid w:val="007A0AB3"/>
    <w:rsid w:val="007A386F"/>
    <w:rsid w:val="007A48C2"/>
    <w:rsid w:val="007A5FE6"/>
    <w:rsid w:val="007A68C3"/>
    <w:rsid w:val="007A72C9"/>
    <w:rsid w:val="007B18C7"/>
    <w:rsid w:val="007B4C46"/>
    <w:rsid w:val="007B52F8"/>
    <w:rsid w:val="007B5BC4"/>
    <w:rsid w:val="007B66C8"/>
    <w:rsid w:val="007B6BE7"/>
    <w:rsid w:val="007B6DBB"/>
    <w:rsid w:val="007C011E"/>
    <w:rsid w:val="007C1B47"/>
    <w:rsid w:val="007C357A"/>
    <w:rsid w:val="007C3616"/>
    <w:rsid w:val="007C3AD7"/>
    <w:rsid w:val="007C566A"/>
    <w:rsid w:val="007C593C"/>
    <w:rsid w:val="007C6B07"/>
    <w:rsid w:val="007C70A8"/>
    <w:rsid w:val="007D08F3"/>
    <w:rsid w:val="007D2DBF"/>
    <w:rsid w:val="007D5413"/>
    <w:rsid w:val="007D64AA"/>
    <w:rsid w:val="007D64D1"/>
    <w:rsid w:val="007E0222"/>
    <w:rsid w:val="007E2080"/>
    <w:rsid w:val="007E4D65"/>
    <w:rsid w:val="007E5ADD"/>
    <w:rsid w:val="007E5E0E"/>
    <w:rsid w:val="007E6A98"/>
    <w:rsid w:val="007E765A"/>
    <w:rsid w:val="007F1B9A"/>
    <w:rsid w:val="007F2FFF"/>
    <w:rsid w:val="007F304D"/>
    <w:rsid w:val="007F3EF2"/>
    <w:rsid w:val="007F5954"/>
    <w:rsid w:val="007F5E5E"/>
    <w:rsid w:val="007F5EFE"/>
    <w:rsid w:val="007F5FE7"/>
    <w:rsid w:val="007F6A02"/>
    <w:rsid w:val="007F7975"/>
    <w:rsid w:val="00800331"/>
    <w:rsid w:val="00801925"/>
    <w:rsid w:val="00801C39"/>
    <w:rsid w:val="00802306"/>
    <w:rsid w:val="00802C28"/>
    <w:rsid w:val="00803839"/>
    <w:rsid w:val="008059B6"/>
    <w:rsid w:val="0080776F"/>
    <w:rsid w:val="0081011C"/>
    <w:rsid w:val="00810810"/>
    <w:rsid w:val="00810AFA"/>
    <w:rsid w:val="00810FFF"/>
    <w:rsid w:val="00811140"/>
    <w:rsid w:val="00811438"/>
    <w:rsid w:val="008118DA"/>
    <w:rsid w:val="00811D84"/>
    <w:rsid w:val="0081268A"/>
    <w:rsid w:val="00813533"/>
    <w:rsid w:val="00814DC6"/>
    <w:rsid w:val="0081512D"/>
    <w:rsid w:val="00815C92"/>
    <w:rsid w:val="00815D7A"/>
    <w:rsid w:val="00817883"/>
    <w:rsid w:val="008205BE"/>
    <w:rsid w:val="008232CE"/>
    <w:rsid w:val="0082451A"/>
    <w:rsid w:val="00824B40"/>
    <w:rsid w:val="00824D98"/>
    <w:rsid w:val="00824F5F"/>
    <w:rsid w:val="00825B13"/>
    <w:rsid w:val="0082683A"/>
    <w:rsid w:val="00826D45"/>
    <w:rsid w:val="008302F2"/>
    <w:rsid w:val="00830896"/>
    <w:rsid w:val="00830BA9"/>
    <w:rsid w:val="008344E2"/>
    <w:rsid w:val="00835713"/>
    <w:rsid w:val="00835DF8"/>
    <w:rsid w:val="00836D9B"/>
    <w:rsid w:val="00836F36"/>
    <w:rsid w:val="00837CDB"/>
    <w:rsid w:val="00840D58"/>
    <w:rsid w:val="00841A46"/>
    <w:rsid w:val="00843419"/>
    <w:rsid w:val="0084466A"/>
    <w:rsid w:val="0084534D"/>
    <w:rsid w:val="00845F0D"/>
    <w:rsid w:val="00845F71"/>
    <w:rsid w:val="0085048C"/>
    <w:rsid w:val="00850D15"/>
    <w:rsid w:val="00850E57"/>
    <w:rsid w:val="008513BF"/>
    <w:rsid w:val="008519DA"/>
    <w:rsid w:val="00852A2C"/>
    <w:rsid w:val="008532A4"/>
    <w:rsid w:val="008539F9"/>
    <w:rsid w:val="00853A6D"/>
    <w:rsid w:val="00853DB7"/>
    <w:rsid w:val="00853F42"/>
    <w:rsid w:val="00853FF3"/>
    <w:rsid w:val="0085438B"/>
    <w:rsid w:val="00855411"/>
    <w:rsid w:val="0085702B"/>
    <w:rsid w:val="008573F1"/>
    <w:rsid w:val="008577E2"/>
    <w:rsid w:val="008615CB"/>
    <w:rsid w:val="00861995"/>
    <w:rsid w:val="008624D7"/>
    <w:rsid w:val="00862A67"/>
    <w:rsid w:val="008632E8"/>
    <w:rsid w:val="008649E3"/>
    <w:rsid w:val="00864DF1"/>
    <w:rsid w:val="00865FFB"/>
    <w:rsid w:val="00867C0D"/>
    <w:rsid w:val="00867F10"/>
    <w:rsid w:val="008705BE"/>
    <w:rsid w:val="00870F09"/>
    <w:rsid w:val="00871644"/>
    <w:rsid w:val="00872886"/>
    <w:rsid w:val="00872B69"/>
    <w:rsid w:val="00872E1C"/>
    <w:rsid w:val="00872FC5"/>
    <w:rsid w:val="00874891"/>
    <w:rsid w:val="0087521D"/>
    <w:rsid w:val="008753D4"/>
    <w:rsid w:val="0087567B"/>
    <w:rsid w:val="00875B9A"/>
    <w:rsid w:val="00875FAB"/>
    <w:rsid w:val="00876079"/>
    <w:rsid w:val="008766E4"/>
    <w:rsid w:val="008774DD"/>
    <w:rsid w:val="00877888"/>
    <w:rsid w:val="00877A6A"/>
    <w:rsid w:val="00881335"/>
    <w:rsid w:val="00883DCA"/>
    <w:rsid w:val="008840A2"/>
    <w:rsid w:val="0088429B"/>
    <w:rsid w:val="00884AF0"/>
    <w:rsid w:val="00884D34"/>
    <w:rsid w:val="00885EFC"/>
    <w:rsid w:val="008876AE"/>
    <w:rsid w:val="00887A8E"/>
    <w:rsid w:val="00890D63"/>
    <w:rsid w:val="00890DAD"/>
    <w:rsid w:val="00890E42"/>
    <w:rsid w:val="00891E99"/>
    <w:rsid w:val="00892ACF"/>
    <w:rsid w:val="00893261"/>
    <w:rsid w:val="008937F9"/>
    <w:rsid w:val="00893848"/>
    <w:rsid w:val="00894952"/>
    <w:rsid w:val="00894963"/>
    <w:rsid w:val="008952B6"/>
    <w:rsid w:val="00895FCC"/>
    <w:rsid w:val="00896142"/>
    <w:rsid w:val="008A1346"/>
    <w:rsid w:val="008A1ED6"/>
    <w:rsid w:val="008A28D4"/>
    <w:rsid w:val="008A2E68"/>
    <w:rsid w:val="008A3458"/>
    <w:rsid w:val="008A386F"/>
    <w:rsid w:val="008A408F"/>
    <w:rsid w:val="008A40BE"/>
    <w:rsid w:val="008A45AD"/>
    <w:rsid w:val="008A57D9"/>
    <w:rsid w:val="008A5A2A"/>
    <w:rsid w:val="008A5B2E"/>
    <w:rsid w:val="008A640C"/>
    <w:rsid w:val="008A7B08"/>
    <w:rsid w:val="008B026D"/>
    <w:rsid w:val="008B159B"/>
    <w:rsid w:val="008B1854"/>
    <w:rsid w:val="008B2062"/>
    <w:rsid w:val="008B2214"/>
    <w:rsid w:val="008B2528"/>
    <w:rsid w:val="008B267D"/>
    <w:rsid w:val="008B31BC"/>
    <w:rsid w:val="008B3874"/>
    <w:rsid w:val="008B3DE1"/>
    <w:rsid w:val="008B48F3"/>
    <w:rsid w:val="008B50DF"/>
    <w:rsid w:val="008B6404"/>
    <w:rsid w:val="008B65E7"/>
    <w:rsid w:val="008B67C2"/>
    <w:rsid w:val="008B7628"/>
    <w:rsid w:val="008C0D25"/>
    <w:rsid w:val="008C0E9E"/>
    <w:rsid w:val="008C1AB1"/>
    <w:rsid w:val="008C1C8C"/>
    <w:rsid w:val="008C2237"/>
    <w:rsid w:val="008C35B8"/>
    <w:rsid w:val="008C386A"/>
    <w:rsid w:val="008C38A0"/>
    <w:rsid w:val="008C462E"/>
    <w:rsid w:val="008C5316"/>
    <w:rsid w:val="008C6025"/>
    <w:rsid w:val="008C62FA"/>
    <w:rsid w:val="008C7A1B"/>
    <w:rsid w:val="008C7AAC"/>
    <w:rsid w:val="008C7F06"/>
    <w:rsid w:val="008D05DD"/>
    <w:rsid w:val="008D1B1F"/>
    <w:rsid w:val="008D363A"/>
    <w:rsid w:val="008D382D"/>
    <w:rsid w:val="008D5EB3"/>
    <w:rsid w:val="008D6320"/>
    <w:rsid w:val="008D639E"/>
    <w:rsid w:val="008D6604"/>
    <w:rsid w:val="008D7013"/>
    <w:rsid w:val="008D768E"/>
    <w:rsid w:val="008D7C4E"/>
    <w:rsid w:val="008E04F6"/>
    <w:rsid w:val="008E2B84"/>
    <w:rsid w:val="008E36C5"/>
    <w:rsid w:val="008E3A26"/>
    <w:rsid w:val="008E3E98"/>
    <w:rsid w:val="008E507C"/>
    <w:rsid w:val="008E5B57"/>
    <w:rsid w:val="008E6039"/>
    <w:rsid w:val="008E65FF"/>
    <w:rsid w:val="008E66AE"/>
    <w:rsid w:val="008E7932"/>
    <w:rsid w:val="008E7D2A"/>
    <w:rsid w:val="008F0731"/>
    <w:rsid w:val="008F1D94"/>
    <w:rsid w:val="008F1EA2"/>
    <w:rsid w:val="008F46F4"/>
    <w:rsid w:val="008F477B"/>
    <w:rsid w:val="008F6420"/>
    <w:rsid w:val="008F65F6"/>
    <w:rsid w:val="008F6D1B"/>
    <w:rsid w:val="008F76AC"/>
    <w:rsid w:val="008F7728"/>
    <w:rsid w:val="00900B38"/>
    <w:rsid w:val="00900EC4"/>
    <w:rsid w:val="00901153"/>
    <w:rsid w:val="0090124D"/>
    <w:rsid w:val="00901C7C"/>
    <w:rsid w:val="00901E79"/>
    <w:rsid w:val="009024ED"/>
    <w:rsid w:val="00902A29"/>
    <w:rsid w:val="00902FAB"/>
    <w:rsid w:val="009032C3"/>
    <w:rsid w:val="009041E5"/>
    <w:rsid w:val="009055D1"/>
    <w:rsid w:val="00905C97"/>
    <w:rsid w:val="00906867"/>
    <w:rsid w:val="00906CC8"/>
    <w:rsid w:val="00907E8B"/>
    <w:rsid w:val="0091215B"/>
    <w:rsid w:val="009136D7"/>
    <w:rsid w:val="00915741"/>
    <w:rsid w:val="00915E85"/>
    <w:rsid w:val="009207D0"/>
    <w:rsid w:val="00920E31"/>
    <w:rsid w:val="00921472"/>
    <w:rsid w:val="00921B54"/>
    <w:rsid w:val="00921C76"/>
    <w:rsid w:val="00921FE1"/>
    <w:rsid w:val="0092247C"/>
    <w:rsid w:val="0092293A"/>
    <w:rsid w:val="00922BA3"/>
    <w:rsid w:val="00923865"/>
    <w:rsid w:val="00924667"/>
    <w:rsid w:val="00924CDD"/>
    <w:rsid w:val="00925306"/>
    <w:rsid w:val="00926172"/>
    <w:rsid w:val="0092685D"/>
    <w:rsid w:val="0092788F"/>
    <w:rsid w:val="00927AB6"/>
    <w:rsid w:val="00927CE1"/>
    <w:rsid w:val="00930CEE"/>
    <w:rsid w:val="00931142"/>
    <w:rsid w:val="009323DA"/>
    <w:rsid w:val="009337EB"/>
    <w:rsid w:val="00935179"/>
    <w:rsid w:val="00936AFE"/>
    <w:rsid w:val="00936BB1"/>
    <w:rsid w:val="009377AE"/>
    <w:rsid w:val="0094017A"/>
    <w:rsid w:val="0094157E"/>
    <w:rsid w:val="00941814"/>
    <w:rsid w:val="00941960"/>
    <w:rsid w:val="00941F5D"/>
    <w:rsid w:val="009421B5"/>
    <w:rsid w:val="009426DA"/>
    <w:rsid w:val="00942AFE"/>
    <w:rsid w:val="00942BE2"/>
    <w:rsid w:val="009433AB"/>
    <w:rsid w:val="00943A5B"/>
    <w:rsid w:val="00943BCF"/>
    <w:rsid w:val="00944C9F"/>
    <w:rsid w:val="00945112"/>
    <w:rsid w:val="00945227"/>
    <w:rsid w:val="00946BAC"/>
    <w:rsid w:val="009501CE"/>
    <w:rsid w:val="009501E6"/>
    <w:rsid w:val="009507C3"/>
    <w:rsid w:val="00950E3B"/>
    <w:rsid w:val="009518AC"/>
    <w:rsid w:val="00952C93"/>
    <w:rsid w:val="00953747"/>
    <w:rsid w:val="00953B16"/>
    <w:rsid w:val="0095415B"/>
    <w:rsid w:val="00954821"/>
    <w:rsid w:val="00955140"/>
    <w:rsid w:val="009554E1"/>
    <w:rsid w:val="00960920"/>
    <w:rsid w:val="00960BA3"/>
    <w:rsid w:val="009628C5"/>
    <w:rsid w:val="00963332"/>
    <w:rsid w:val="00963A3B"/>
    <w:rsid w:val="00963E88"/>
    <w:rsid w:val="00963FF7"/>
    <w:rsid w:val="009644A5"/>
    <w:rsid w:val="0096454A"/>
    <w:rsid w:val="009653CF"/>
    <w:rsid w:val="00965698"/>
    <w:rsid w:val="00965B88"/>
    <w:rsid w:val="0096670D"/>
    <w:rsid w:val="00967C90"/>
    <w:rsid w:val="00970020"/>
    <w:rsid w:val="0097064B"/>
    <w:rsid w:val="0097205C"/>
    <w:rsid w:val="009723A6"/>
    <w:rsid w:val="00973354"/>
    <w:rsid w:val="0097511A"/>
    <w:rsid w:val="00976192"/>
    <w:rsid w:val="0097667C"/>
    <w:rsid w:val="00976901"/>
    <w:rsid w:val="00977169"/>
    <w:rsid w:val="00980BC4"/>
    <w:rsid w:val="009822AC"/>
    <w:rsid w:val="009823D2"/>
    <w:rsid w:val="009824C0"/>
    <w:rsid w:val="00982730"/>
    <w:rsid w:val="00982C64"/>
    <w:rsid w:val="00983147"/>
    <w:rsid w:val="00984768"/>
    <w:rsid w:val="00984AFB"/>
    <w:rsid w:val="00984C9A"/>
    <w:rsid w:val="0098569F"/>
    <w:rsid w:val="009858DD"/>
    <w:rsid w:val="00986CA4"/>
    <w:rsid w:val="00990C0F"/>
    <w:rsid w:val="00991629"/>
    <w:rsid w:val="00993740"/>
    <w:rsid w:val="00993C23"/>
    <w:rsid w:val="009957DC"/>
    <w:rsid w:val="009960CB"/>
    <w:rsid w:val="00996A9A"/>
    <w:rsid w:val="00997F9D"/>
    <w:rsid w:val="009A0A8B"/>
    <w:rsid w:val="009A1080"/>
    <w:rsid w:val="009A163A"/>
    <w:rsid w:val="009A1C15"/>
    <w:rsid w:val="009A2194"/>
    <w:rsid w:val="009A2E0F"/>
    <w:rsid w:val="009A43F9"/>
    <w:rsid w:val="009A6B16"/>
    <w:rsid w:val="009A6D9B"/>
    <w:rsid w:val="009A7FB8"/>
    <w:rsid w:val="009B02C9"/>
    <w:rsid w:val="009B0D53"/>
    <w:rsid w:val="009B106A"/>
    <w:rsid w:val="009B18AF"/>
    <w:rsid w:val="009B2837"/>
    <w:rsid w:val="009B2ABA"/>
    <w:rsid w:val="009B34A4"/>
    <w:rsid w:val="009B3E6C"/>
    <w:rsid w:val="009B3F57"/>
    <w:rsid w:val="009B56EC"/>
    <w:rsid w:val="009B5B13"/>
    <w:rsid w:val="009B749E"/>
    <w:rsid w:val="009C0282"/>
    <w:rsid w:val="009C0A9B"/>
    <w:rsid w:val="009C10E5"/>
    <w:rsid w:val="009C1961"/>
    <w:rsid w:val="009C1DA8"/>
    <w:rsid w:val="009C3788"/>
    <w:rsid w:val="009C588B"/>
    <w:rsid w:val="009C6B50"/>
    <w:rsid w:val="009D03D4"/>
    <w:rsid w:val="009D0652"/>
    <w:rsid w:val="009D15AE"/>
    <w:rsid w:val="009D1D27"/>
    <w:rsid w:val="009D29A5"/>
    <w:rsid w:val="009D32BD"/>
    <w:rsid w:val="009D3371"/>
    <w:rsid w:val="009D5BF6"/>
    <w:rsid w:val="009D6254"/>
    <w:rsid w:val="009D6FD1"/>
    <w:rsid w:val="009D7102"/>
    <w:rsid w:val="009E0321"/>
    <w:rsid w:val="009E2029"/>
    <w:rsid w:val="009E3452"/>
    <w:rsid w:val="009E42B8"/>
    <w:rsid w:val="009E4DB9"/>
    <w:rsid w:val="009E4FE9"/>
    <w:rsid w:val="009E64F3"/>
    <w:rsid w:val="009E7336"/>
    <w:rsid w:val="009E73ED"/>
    <w:rsid w:val="009E751A"/>
    <w:rsid w:val="009F08A4"/>
    <w:rsid w:val="009F0C91"/>
    <w:rsid w:val="009F113A"/>
    <w:rsid w:val="009F5A6F"/>
    <w:rsid w:val="009F5B1E"/>
    <w:rsid w:val="00A00257"/>
    <w:rsid w:val="00A0029B"/>
    <w:rsid w:val="00A00718"/>
    <w:rsid w:val="00A0079C"/>
    <w:rsid w:val="00A008EE"/>
    <w:rsid w:val="00A01562"/>
    <w:rsid w:val="00A01AAA"/>
    <w:rsid w:val="00A01B5B"/>
    <w:rsid w:val="00A023B2"/>
    <w:rsid w:val="00A02E01"/>
    <w:rsid w:val="00A02F0D"/>
    <w:rsid w:val="00A0326A"/>
    <w:rsid w:val="00A03BA7"/>
    <w:rsid w:val="00A03DD1"/>
    <w:rsid w:val="00A0413D"/>
    <w:rsid w:val="00A05198"/>
    <w:rsid w:val="00A05272"/>
    <w:rsid w:val="00A060A2"/>
    <w:rsid w:val="00A06689"/>
    <w:rsid w:val="00A06C01"/>
    <w:rsid w:val="00A0700E"/>
    <w:rsid w:val="00A07473"/>
    <w:rsid w:val="00A0765E"/>
    <w:rsid w:val="00A104BE"/>
    <w:rsid w:val="00A10DA9"/>
    <w:rsid w:val="00A127EB"/>
    <w:rsid w:val="00A13E1F"/>
    <w:rsid w:val="00A150AD"/>
    <w:rsid w:val="00A1710B"/>
    <w:rsid w:val="00A20455"/>
    <w:rsid w:val="00A20AA1"/>
    <w:rsid w:val="00A2125F"/>
    <w:rsid w:val="00A2260C"/>
    <w:rsid w:val="00A23428"/>
    <w:rsid w:val="00A23F7F"/>
    <w:rsid w:val="00A2493D"/>
    <w:rsid w:val="00A2584D"/>
    <w:rsid w:val="00A25A0D"/>
    <w:rsid w:val="00A25F31"/>
    <w:rsid w:val="00A27713"/>
    <w:rsid w:val="00A31A02"/>
    <w:rsid w:val="00A32090"/>
    <w:rsid w:val="00A325F8"/>
    <w:rsid w:val="00A34169"/>
    <w:rsid w:val="00A35093"/>
    <w:rsid w:val="00A350DC"/>
    <w:rsid w:val="00A37692"/>
    <w:rsid w:val="00A4123B"/>
    <w:rsid w:val="00A4131F"/>
    <w:rsid w:val="00A418AB"/>
    <w:rsid w:val="00A41BB5"/>
    <w:rsid w:val="00A424B1"/>
    <w:rsid w:val="00A4250B"/>
    <w:rsid w:val="00A42B30"/>
    <w:rsid w:val="00A4305D"/>
    <w:rsid w:val="00A431FF"/>
    <w:rsid w:val="00A45D0C"/>
    <w:rsid w:val="00A4741E"/>
    <w:rsid w:val="00A5053A"/>
    <w:rsid w:val="00A508DF"/>
    <w:rsid w:val="00A50E0D"/>
    <w:rsid w:val="00A543E9"/>
    <w:rsid w:val="00A547D9"/>
    <w:rsid w:val="00A55CA4"/>
    <w:rsid w:val="00A5657D"/>
    <w:rsid w:val="00A5670C"/>
    <w:rsid w:val="00A626CC"/>
    <w:rsid w:val="00A6358A"/>
    <w:rsid w:val="00A64472"/>
    <w:rsid w:val="00A64746"/>
    <w:rsid w:val="00A65A5B"/>
    <w:rsid w:val="00A669C3"/>
    <w:rsid w:val="00A674FF"/>
    <w:rsid w:val="00A73F1C"/>
    <w:rsid w:val="00A7436D"/>
    <w:rsid w:val="00A77138"/>
    <w:rsid w:val="00A77163"/>
    <w:rsid w:val="00A77497"/>
    <w:rsid w:val="00A778A1"/>
    <w:rsid w:val="00A77ECA"/>
    <w:rsid w:val="00A802BB"/>
    <w:rsid w:val="00A81677"/>
    <w:rsid w:val="00A816D5"/>
    <w:rsid w:val="00A81910"/>
    <w:rsid w:val="00A82640"/>
    <w:rsid w:val="00A82F3C"/>
    <w:rsid w:val="00A83265"/>
    <w:rsid w:val="00A836A6"/>
    <w:rsid w:val="00A84056"/>
    <w:rsid w:val="00A84427"/>
    <w:rsid w:val="00A846C7"/>
    <w:rsid w:val="00A8562C"/>
    <w:rsid w:val="00A85D18"/>
    <w:rsid w:val="00A85E3F"/>
    <w:rsid w:val="00A87E08"/>
    <w:rsid w:val="00A87FEF"/>
    <w:rsid w:val="00A90067"/>
    <w:rsid w:val="00A9072A"/>
    <w:rsid w:val="00A90D41"/>
    <w:rsid w:val="00A9118A"/>
    <w:rsid w:val="00A91444"/>
    <w:rsid w:val="00A9159E"/>
    <w:rsid w:val="00A934A1"/>
    <w:rsid w:val="00A943CB"/>
    <w:rsid w:val="00A946E7"/>
    <w:rsid w:val="00A9480E"/>
    <w:rsid w:val="00A96444"/>
    <w:rsid w:val="00A964A0"/>
    <w:rsid w:val="00A972BA"/>
    <w:rsid w:val="00AA07E4"/>
    <w:rsid w:val="00AA0A47"/>
    <w:rsid w:val="00AA1060"/>
    <w:rsid w:val="00AA2239"/>
    <w:rsid w:val="00AA2810"/>
    <w:rsid w:val="00AA28C9"/>
    <w:rsid w:val="00AA3355"/>
    <w:rsid w:val="00AA360D"/>
    <w:rsid w:val="00AA380B"/>
    <w:rsid w:val="00AA4B1D"/>
    <w:rsid w:val="00AA56B1"/>
    <w:rsid w:val="00AA57A6"/>
    <w:rsid w:val="00AA6ABB"/>
    <w:rsid w:val="00AB00ED"/>
    <w:rsid w:val="00AB1563"/>
    <w:rsid w:val="00AB1D26"/>
    <w:rsid w:val="00AB20FA"/>
    <w:rsid w:val="00AB321D"/>
    <w:rsid w:val="00AB3D3A"/>
    <w:rsid w:val="00AB426C"/>
    <w:rsid w:val="00AB4712"/>
    <w:rsid w:val="00AB5032"/>
    <w:rsid w:val="00AB5274"/>
    <w:rsid w:val="00AB5A85"/>
    <w:rsid w:val="00AB5DAC"/>
    <w:rsid w:val="00AB6315"/>
    <w:rsid w:val="00AB6A39"/>
    <w:rsid w:val="00AB6C9F"/>
    <w:rsid w:val="00AB713A"/>
    <w:rsid w:val="00AB7314"/>
    <w:rsid w:val="00AB75CB"/>
    <w:rsid w:val="00AB76BA"/>
    <w:rsid w:val="00AB787B"/>
    <w:rsid w:val="00AC19FC"/>
    <w:rsid w:val="00AC2165"/>
    <w:rsid w:val="00AC24E3"/>
    <w:rsid w:val="00AC26FC"/>
    <w:rsid w:val="00AC2B8C"/>
    <w:rsid w:val="00AC318F"/>
    <w:rsid w:val="00AC3520"/>
    <w:rsid w:val="00AC601F"/>
    <w:rsid w:val="00AC643B"/>
    <w:rsid w:val="00AC696D"/>
    <w:rsid w:val="00AC7C9F"/>
    <w:rsid w:val="00AD044F"/>
    <w:rsid w:val="00AD0E2A"/>
    <w:rsid w:val="00AD1A9F"/>
    <w:rsid w:val="00AD2E0E"/>
    <w:rsid w:val="00AD4489"/>
    <w:rsid w:val="00AD44B3"/>
    <w:rsid w:val="00AD5400"/>
    <w:rsid w:val="00AD568A"/>
    <w:rsid w:val="00AD56EF"/>
    <w:rsid w:val="00AD70B9"/>
    <w:rsid w:val="00AD735A"/>
    <w:rsid w:val="00AD7826"/>
    <w:rsid w:val="00AD7B8E"/>
    <w:rsid w:val="00AE01B5"/>
    <w:rsid w:val="00AE115B"/>
    <w:rsid w:val="00AE1331"/>
    <w:rsid w:val="00AE29B3"/>
    <w:rsid w:val="00AE2DE4"/>
    <w:rsid w:val="00AE3D43"/>
    <w:rsid w:val="00AE4C5C"/>
    <w:rsid w:val="00AE4EA5"/>
    <w:rsid w:val="00AE5BD8"/>
    <w:rsid w:val="00AE6030"/>
    <w:rsid w:val="00AE7E1B"/>
    <w:rsid w:val="00AF04B8"/>
    <w:rsid w:val="00AF11EA"/>
    <w:rsid w:val="00AF1BF6"/>
    <w:rsid w:val="00AF28C7"/>
    <w:rsid w:val="00AF3A9E"/>
    <w:rsid w:val="00AF4681"/>
    <w:rsid w:val="00AF7A19"/>
    <w:rsid w:val="00B0036A"/>
    <w:rsid w:val="00B005E1"/>
    <w:rsid w:val="00B00C10"/>
    <w:rsid w:val="00B00DB0"/>
    <w:rsid w:val="00B019D0"/>
    <w:rsid w:val="00B03A31"/>
    <w:rsid w:val="00B04230"/>
    <w:rsid w:val="00B0458F"/>
    <w:rsid w:val="00B046CC"/>
    <w:rsid w:val="00B04E32"/>
    <w:rsid w:val="00B05585"/>
    <w:rsid w:val="00B05F28"/>
    <w:rsid w:val="00B06891"/>
    <w:rsid w:val="00B06905"/>
    <w:rsid w:val="00B07491"/>
    <w:rsid w:val="00B074D4"/>
    <w:rsid w:val="00B079DC"/>
    <w:rsid w:val="00B100EA"/>
    <w:rsid w:val="00B10C49"/>
    <w:rsid w:val="00B11849"/>
    <w:rsid w:val="00B140B2"/>
    <w:rsid w:val="00B145AC"/>
    <w:rsid w:val="00B147A2"/>
    <w:rsid w:val="00B14DA2"/>
    <w:rsid w:val="00B1520F"/>
    <w:rsid w:val="00B15F90"/>
    <w:rsid w:val="00B166B2"/>
    <w:rsid w:val="00B20862"/>
    <w:rsid w:val="00B20AA9"/>
    <w:rsid w:val="00B21001"/>
    <w:rsid w:val="00B2147C"/>
    <w:rsid w:val="00B21F99"/>
    <w:rsid w:val="00B22EBC"/>
    <w:rsid w:val="00B239D8"/>
    <w:rsid w:val="00B23D6D"/>
    <w:rsid w:val="00B240E7"/>
    <w:rsid w:val="00B2418E"/>
    <w:rsid w:val="00B24D6B"/>
    <w:rsid w:val="00B25099"/>
    <w:rsid w:val="00B25192"/>
    <w:rsid w:val="00B2631F"/>
    <w:rsid w:val="00B26691"/>
    <w:rsid w:val="00B26DED"/>
    <w:rsid w:val="00B27242"/>
    <w:rsid w:val="00B27619"/>
    <w:rsid w:val="00B3032F"/>
    <w:rsid w:val="00B3116E"/>
    <w:rsid w:val="00B31353"/>
    <w:rsid w:val="00B32B68"/>
    <w:rsid w:val="00B34205"/>
    <w:rsid w:val="00B34B22"/>
    <w:rsid w:val="00B35975"/>
    <w:rsid w:val="00B359B7"/>
    <w:rsid w:val="00B35AE1"/>
    <w:rsid w:val="00B3611C"/>
    <w:rsid w:val="00B365E1"/>
    <w:rsid w:val="00B36642"/>
    <w:rsid w:val="00B3730D"/>
    <w:rsid w:val="00B40BAE"/>
    <w:rsid w:val="00B41AF6"/>
    <w:rsid w:val="00B42927"/>
    <w:rsid w:val="00B42B08"/>
    <w:rsid w:val="00B42E14"/>
    <w:rsid w:val="00B43739"/>
    <w:rsid w:val="00B438C3"/>
    <w:rsid w:val="00B43C6B"/>
    <w:rsid w:val="00B43F6A"/>
    <w:rsid w:val="00B44543"/>
    <w:rsid w:val="00B44A58"/>
    <w:rsid w:val="00B44C20"/>
    <w:rsid w:val="00B44D5E"/>
    <w:rsid w:val="00B44E9F"/>
    <w:rsid w:val="00B452BA"/>
    <w:rsid w:val="00B465D5"/>
    <w:rsid w:val="00B46E89"/>
    <w:rsid w:val="00B4701D"/>
    <w:rsid w:val="00B5018A"/>
    <w:rsid w:val="00B5070A"/>
    <w:rsid w:val="00B51520"/>
    <w:rsid w:val="00B53634"/>
    <w:rsid w:val="00B54EFD"/>
    <w:rsid w:val="00B56783"/>
    <w:rsid w:val="00B571C4"/>
    <w:rsid w:val="00B600EB"/>
    <w:rsid w:val="00B60817"/>
    <w:rsid w:val="00B60A41"/>
    <w:rsid w:val="00B6262E"/>
    <w:rsid w:val="00B629CD"/>
    <w:rsid w:val="00B63CE4"/>
    <w:rsid w:val="00B63F2B"/>
    <w:rsid w:val="00B640BE"/>
    <w:rsid w:val="00B6645D"/>
    <w:rsid w:val="00B675DB"/>
    <w:rsid w:val="00B70733"/>
    <w:rsid w:val="00B707BD"/>
    <w:rsid w:val="00B70CB8"/>
    <w:rsid w:val="00B72BFA"/>
    <w:rsid w:val="00B73726"/>
    <w:rsid w:val="00B74575"/>
    <w:rsid w:val="00B75078"/>
    <w:rsid w:val="00B75323"/>
    <w:rsid w:val="00B75C29"/>
    <w:rsid w:val="00B76501"/>
    <w:rsid w:val="00B76FBD"/>
    <w:rsid w:val="00B76FC6"/>
    <w:rsid w:val="00B77F79"/>
    <w:rsid w:val="00B81944"/>
    <w:rsid w:val="00B81C8A"/>
    <w:rsid w:val="00B82DEB"/>
    <w:rsid w:val="00B83724"/>
    <w:rsid w:val="00B83C83"/>
    <w:rsid w:val="00B8411C"/>
    <w:rsid w:val="00B84341"/>
    <w:rsid w:val="00B84625"/>
    <w:rsid w:val="00B849BA"/>
    <w:rsid w:val="00B85D17"/>
    <w:rsid w:val="00B85F40"/>
    <w:rsid w:val="00B864FD"/>
    <w:rsid w:val="00B8677B"/>
    <w:rsid w:val="00B873D7"/>
    <w:rsid w:val="00B87D7D"/>
    <w:rsid w:val="00B90B30"/>
    <w:rsid w:val="00B90FD1"/>
    <w:rsid w:val="00B92712"/>
    <w:rsid w:val="00B92C28"/>
    <w:rsid w:val="00B93DD0"/>
    <w:rsid w:val="00B94F8A"/>
    <w:rsid w:val="00BA00C5"/>
    <w:rsid w:val="00BA105A"/>
    <w:rsid w:val="00BA283F"/>
    <w:rsid w:val="00BA2B71"/>
    <w:rsid w:val="00BA4BB3"/>
    <w:rsid w:val="00BA4ED3"/>
    <w:rsid w:val="00BA4F96"/>
    <w:rsid w:val="00BA6810"/>
    <w:rsid w:val="00BA6872"/>
    <w:rsid w:val="00BA6B91"/>
    <w:rsid w:val="00BA7A6C"/>
    <w:rsid w:val="00BA7B01"/>
    <w:rsid w:val="00BB01D3"/>
    <w:rsid w:val="00BB01ED"/>
    <w:rsid w:val="00BB0D84"/>
    <w:rsid w:val="00BB0FB5"/>
    <w:rsid w:val="00BB228C"/>
    <w:rsid w:val="00BB4441"/>
    <w:rsid w:val="00BB4B72"/>
    <w:rsid w:val="00BB5403"/>
    <w:rsid w:val="00BB54E1"/>
    <w:rsid w:val="00BB5523"/>
    <w:rsid w:val="00BB6F13"/>
    <w:rsid w:val="00BB7F11"/>
    <w:rsid w:val="00BC1A6D"/>
    <w:rsid w:val="00BC3318"/>
    <w:rsid w:val="00BC35A7"/>
    <w:rsid w:val="00BC3E45"/>
    <w:rsid w:val="00BC4D89"/>
    <w:rsid w:val="00BC50B0"/>
    <w:rsid w:val="00BC539C"/>
    <w:rsid w:val="00BC7333"/>
    <w:rsid w:val="00BC7A55"/>
    <w:rsid w:val="00BC7D47"/>
    <w:rsid w:val="00BC7EE5"/>
    <w:rsid w:val="00BC7FA8"/>
    <w:rsid w:val="00BD0DA6"/>
    <w:rsid w:val="00BD0F66"/>
    <w:rsid w:val="00BD1777"/>
    <w:rsid w:val="00BD24E3"/>
    <w:rsid w:val="00BD2A57"/>
    <w:rsid w:val="00BD3236"/>
    <w:rsid w:val="00BD3CF1"/>
    <w:rsid w:val="00BD41A5"/>
    <w:rsid w:val="00BD44F6"/>
    <w:rsid w:val="00BE048E"/>
    <w:rsid w:val="00BE0694"/>
    <w:rsid w:val="00BE0D2D"/>
    <w:rsid w:val="00BE206F"/>
    <w:rsid w:val="00BE2A9D"/>
    <w:rsid w:val="00BE30CB"/>
    <w:rsid w:val="00BE329D"/>
    <w:rsid w:val="00BE5FFA"/>
    <w:rsid w:val="00BE6CDD"/>
    <w:rsid w:val="00BE6EBB"/>
    <w:rsid w:val="00BE7A1D"/>
    <w:rsid w:val="00BF0783"/>
    <w:rsid w:val="00BF0B03"/>
    <w:rsid w:val="00BF3B58"/>
    <w:rsid w:val="00BF42A4"/>
    <w:rsid w:val="00BF5006"/>
    <w:rsid w:val="00BF59E0"/>
    <w:rsid w:val="00BF5CF3"/>
    <w:rsid w:val="00C00978"/>
    <w:rsid w:val="00C0158C"/>
    <w:rsid w:val="00C02676"/>
    <w:rsid w:val="00C0365F"/>
    <w:rsid w:val="00C03F50"/>
    <w:rsid w:val="00C052E0"/>
    <w:rsid w:val="00C06EC2"/>
    <w:rsid w:val="00C07106"/>
    <w:rsid w:val="00C103C4"/>
    <w:rsid w:val="00C111B9"/>
    <w:rsid w:val="00C115B2"/>
    <w:rsid w:val="00C14351"/>
    <w:rsid w:val="00C14397"/>
    <w:rsid w:val="00C149D9"/>
    <w:rsid w:val="00C14DF7"/>
    <w:rsid w:val="00C153D7"/>
    <w:rsid w:val="00C155CF"/>
    <w:rsid w:val="00C156B0"/>
    <w:rsid w:val="00C15C5D"/>
    <w:rsid w:val="00C16DB5"/>
    <w:rsid w:val="00C172F6"/>
    <w:rsid w:val="00C176D4"/>
    <w:rsid w:val="00C2113A"/>
    <w:rsid w:val="00C218CD"/>
    <w:rsid w:val="00C22A42"/>
    <w:rsid w:val="00C23FFA"/>
    <w:rsid w:val="00C248F7"/>
    <w:rsid w:val="00C24F81"/>
    <w:rsid w:val="00C2584B"/>
    <w:rsid w:val="00C2676B"/>
    <w:rsid w:val="00C26D38"/>
    <w:rsid w:val="00C304E3"/>
    <w:rsid w:val="00C312D4"/>
    <w:rsid w:val="00C317C7"/>
    <w:rsid w:val="00C32A72"/>
    <w:rsid w:val="00C32EE0"/>
    <w:rsid w:val="00C3320D"/>
    <w:rsid w:val="00C33314"/>
    <w:rsid w:val="00C334FC"/>
    <w:rsid w:val="00C34C10"/>
    <w:rsid w:val="00C350F2"/>
    <w:rsid w:val="00C358A2"/>
    <w:rsid w:val="00C35FF9"/>
    <w:rsid w:val="00C36526"/>
    <w:rsid w:val="00C36538"/>
    <w:rsid w:val="00C3671B"/>
    <w:rsid w:val="00C36DC0"/>
    <w:rsid w:val="00C37621"/>
    <w:rsid w:val="00C37750"/>
    <w:rsid w:val="00C40310"/>
    <w:rsid w:val="00C40855"/>
    <w:rsid w:val="00C41107"/>
    <w:rsid w:val="00C41E7A"/>
    <w:rsid w:val="00C426C5"/>
    <w:rsid w:val="00C4428B"/>
    <w:rsid w:val="00C446B1"/>
    <w:rsid w:val="00C450C6"/>
    <w:rsid w:val="00C4682E"/>
    <w:rsid w:val="00C521E4"/>
    <w:rsid w:val="00C5224A"/>
    <w:rsid w:val="00C522E0"/>
    <w:rsid w:val="00C54554"/>
    <w:rsid w:val="00C548D4"/>
    <w:rsid w:val="00C55B7F"/>
    <w:rsid w:val="00C55BCA"/>
    <w:rsid w:val="00C56778"/>
    <w:rsid w:val="00C56D3F"/>
    <w:rsid w:val="00C57296"/>
    <w:rsid w:val="00C57EBC"/>
    <w:rsid w:val="00C60829"/>
    <w:rsid w:val="00C60AA7"/>
    <w:rsid w:val="00C60F56"/>
    <w:rsid w:val="00C61243"/>
    <w:rsid w:val="00C61489"/>
    <w:rsid w:val="00C614EE"/>
    <w:rsid w:val="00C61F90"/>
    <w:rsid w:val="00C62DE5"/>
    <w:rsid w:val="00C630EE"/>
    <w:rsid w:val="00C63A97"/>
    <w:rsid w:val="00C63EBD"/>
    <w:rsid w:val="00C66B34"/>
    <w:rsid w:val="00C67302"/>
    <w:rsid w:val="00C67C22"/>
    <w:rsid w:val="00C703AA"/>
    <w:rsid w:val="00C7252E"/>
    <w:rsid w:val="00C73464"/>
    <w:rsid w:val="00C7358A"/>
    <w:rsid w:val="00C74B43"/>
    <w:rsid w:val="00C74C85"/>
    <w:rsid w:val="00C750DD"/>
    <w:rsid w:val="00C757F4"/>
    <w:rsid w:val="00C75C09"/>
    <w:rsid w:val="00C7620F"/>
    <w:rsid w:val="00C76F6C"/>
    <w:rsid w:val="00C807CE"/>
    <w:rsid w:val="00C80DD6"/>
    <w:rsid w:val="00C818E5"/>
    <w:rsid w:val="00C84BB3"/>
    <w:rsid w:val="00C86719"/>
    <w:rsid w:val="00C8680F"/>
    <w:rsid w:val="00C86FE1"/>
    <w:rsid w:val="00C8712B"/>
    <w:rsid w:val="00C90A21"/>
    <w:rsid w:val="00C9270D"/>
    <w:rsid w:val="00C9375D"/>
    <w:rsid w:val="00C9427D"/>
    <w:rsid w:val="00C9480B"/>
    <w:rsid w:val="00C9524F"/>
    <w:rsid w:val="00C962EB"/>
    <w:rsid w:val="00CA0267"/>
    <w:rsid w:val="00CA0484"/>
    <w:rsid w:val="00CA1120"/>
    <w:rsid w:val="00CA33A4"/>
    <w:rsid w:val="00CA3700"/>
    <w:rsid w:val="00CA445C"/>
    <w:rsid w:val="00CA5981"/>
    <w:rsid w:val="00CA6EE7"/>
    <w:rsid w:val="00CA7BD6"/>
    <w:rsid w:val="00CA7E1D"/>
    <w:rsid w:val="00CB08D3"/>
    <w:rsid w:val="00CB0FF8"/>
    <w:rsid w:val="00CB147B"/>
    <w:rsid w:val="00CB14ED"/>
    <w:rsid w:val="00CB15D6"/>
    <w:rsid w:val="00CB3153"/>
    <w:rsid w:val="00CB3E0A"/>
    <w:rsid w:val="00CB519A"/>
    <w:rsid w:val="00CB5A94"/>
    <w:rsid w:val="00CB6A65"/>
    <w:rsid w:val="00CB72F3"/>
    <w:rsid w:val="00CB73AB"/>
    <w:rsid w:val="00CB74F3"/>
    <w:rsid w:val="00CC0014"/>
    <w:rsid w:val="00CC01C5"/>
    <w:rsid w:val="00CC1508"/>
    <w:rsid w:val="00CC15DA"/>
    <w:rsid w:val="00CC3594"/>
    <w:rsid w:val="00CC7F80"/>
    <w:rsid w:val="00CD0DE0"/>
    <w:rsid w:val="00CD1BCE"/>
    <w:rsid w:val="00CD1BFD"/>
    <w:rsid w:val="00CD1D66"/>
    <w:rsid w:val="00CD2ACC"/>
    <w:rsid w:val="00CD2CE9"/>
    <w:rsid w:val="00CD316D"/>
    <w:rsid w:val="00CD47E8"/>
    <w:rsid w:val="00CD5801"/>
    <w:rsid w:val="00CE2007"/>
    <w:rsid w:val="00CE4383"/>
    <w:rsid w:val="00CE4A25"/>
    <w:rsid w:val="00CE6BAA"/>
    <w:rsid w:val="00CE6BB9"/>
    <w:rsid w:val="00CE7DE6"/>
    <w:rsid w:val="00CF0572"/>
    <w:rsid w:val="00CF0BC6"/>
    <w:rsid w:val="00CF1C34"/>
    <w:rsid w:val="00CF2D36"/>
    <w:rsid w:val="00CF3876"/>
    <w:rsid w:val="00CF6E82"/>
    <w:rsid w:val="00D00A61"/>
    <w:rsid w:val="00D020B9"/>
    <w:rsid w:val="00D047F5"/>
    <w:rsid w:val="00D07E7A"/>
    <w:rsid w:val="00D11B6D"/>
    <w:rsid w:val="00D11D6E"/>
    <w:rsid w:val="00D12DF0"/>
    <w:rsid w:val="00D13AC6"/>
    <w:rsid w:val="00D16723"/>
    <w:rsid w:val="00D1738D"/>
    <w:rsid w:val="00D17538"/>
    <w:rsid w:val="00D17691"/>
    <w:rsid w:val="00D176A6"/>
    <w:rsid w:val="00D17FF2"/>
    <w:rsid w:val="00D22E11"/>
    <w:rsid w:val="00D24A22"/>
    <w:rsid w:val="00D24F56"/>
    <w:rsid w:val="00D275E0"/>
    <w:rsid w:val="00D27948"/>
    <w:rsid w:val="00D30B1C"/>
    <w:rsid w:val="00D31117"/>
    <w:rsid w:val="00D31346"/>
    <w:rsid w:val="00D31F5D"/>
    <w:rsid w:val="00D326A0"/>
    <w:rsid w:val="00D33247"/>
    <w:rsid w:val="00D348B1"/>
    <w:rsid w:val="00D34AAC"/>
    <w:rsid w:val="00D35217"/>
    <w:rsid w:val="00D3542C"/>
    <w:rsid w:val="00D355E4"/>
    <w:rsid w:val="00D36381"/>
    <w:rsid w:val="00D42420"/>
    <w:rsid w:val="00D4250D"/>
    <w:rsid w:val="00D425F5"/>
    <w:rsid w:val="00D42774"/>
    <w:rsid w:val="00D42EDC"/>
    <w:rsid w:val="00D43142"/>
    <w:rsid w:val="00D43274"/>
    <w:rsid w:val="00D4345E"/>
    <w:rsid w:val="00D44DED"/>
    <w:rsid w:val="00D44F3F"/>
    <w:rsid w:val="00D45D28"/>
    <w:rsid w:val="00D46152"/>
    <w:rsid w:val="00D469F6"/>
    <w:rsid w:val="00D46A95"/>
    <w:rsid w:val="00D46AD7"/>
    <w:rsid w:val="00D50D86"/>
    <w:rsid w:val="00D5117F"/>
    <w:rsid w:val="00D512C8"/>
    <w:rsid w:val="00D5137F"/>
    <w:rsid w:val="00D5243E"/>
    <w:rsid w:val="00D52A08"/>
    <w:rsid w:val="00D5638D"/>
    <w:rsid w:val="00D56985"/>
    <w:rsid w:val="00D57CCB"/>
    <w:rsid w:val="00D60006"/>
    <w:rsid w:val="00D60C90"/>
    <w:rsid w:val="00D622F7"/>
    <w:rsid w:val="00D628D0"/>
    <w:rsid w:val="00D62D3C"/>
    <w:rsid w:val="00D63809"/>
    <w:rsid w:val="00D63AD2"/>
    <w:rsid w:val="00D63FDC"/>
    <w:rsid w:val="00D64A86"/>
    <w:rsid w:val="00D655A8"/>
    <w:rsid w:val="00D6632D"/>
    <w:rsid w:val="00D6722E"/>
    <w:rsid w:val="00D67656"/>
    <w:rsid w:val="00D70685"/>
    <w:rsid w:val="00D706D0"/>
    <w:rsid w:val="00D70FE7"/>
    <w:rsid w:val="00D7105D"/>
    <w:rsid w:val="00D71764"/>
    <w:rsid w:val="00D71E93"/>
    <w:rsid w:val="00D74645"/>
    <w:rsid w:val="00D74C2D"/>
    <w:rsid w:val="00D74E07"/>
    <w:rsid w:val="00D74E47"/>
    <w:rsid w:val="00D7614C"/>
    <w:rsid w:val="00D818A2"/>
    <w:rsid w:val="00D81BBB"/>
    <w:rsid w:val="00D82214"/>
    <w:rsid w:val="00D836F4"/>
    <w:rsid w:val="00D83760"/>
    <w:rsid w:val="00D841C7"/>
    <w:rsid w:val="00D84620"/>
    <w:rsid w:val="00D849E1"/>
    <w:rsid w:val="00D86BB6"/>
    <w:rsid w:val="00D90434"/>
    <w:rsid w:val="00D916F8"/>
    <w:rsid w:val="00D91E19"/>
    <w:rsid w:val="00D92042"/>
    <w:rsid w:val="00D94701"/>
    <w:rsid w:val="00D95046"/>
    <w:rsid w:val="00D9547E"/>
    <w:rsid w:val="00D95BAB"/>
    <w:rsid w:val="00DA0732"/>
    <w:rsid w:val="00DA091A"/>
    <w:rsid w:val="00DA0B45"/>
    <w:rsid w:val="00DA2FF8"/>
    <w:rsid w:val="00DA3947"/>
    <w:rsid w:val="00DA39B6"/>
    <w:rsid w:val="00DA449B"/>
    <w:rsid w:val="00DA45EF"/>
    <w:rsid w:val="00DA4801"/>
    <w:rsid w:val="00DA5480"/>
    <w:rsid w:val="00DA5CE9"/>
    <w:rsid w:val="00DA62E9"/>
    <w:rsid w:val="00DA63F9"/>
    <w:rsid w:val="00DA72CF"/>
    <w:rsid w:val="00DA7993"/>
    <w:rsid w:val="00DA79C9"/>
    <w:rsid w:val="00DA7E5B"/>
    <w:rsid w:val="00DB17CA"/>
    <w:rsid w:val="00DB43A3"/>
    <w:rsid w:val="00DB4F8C"/>
    <w:rsid w:val="00DB4FF5"/>
    <w:rsid w:val="00DB637F"/>
    <w:rsid w:val="00DB7730"/>
    <w:rsid w:val="00DB7A44"/>
    <w:rsid w:val="00DB7C49"/>
    <w:rsid w:val="00DC0F19"/>
    <w:rsid w:val="00DC2DB1"/>
    <w:rsid w:val="00DC2FAE"/>
    <w:rsid w:val="00DC3C84"/>
    <w:rsid w:val="00DC46D1"/>
    <w:rsid w:val="00DC56EC"/>
    <w:rsid w:val="00DC5D97"/>
    <w:rsid w:val="00DD0822"/>
    <w:rsid w:val="00DD1970"/>
    <w:rsid w:val="00DD2147"/>
    <w:rsid w:val="00DD4565"/>
    <w:rsid w:val="00DD467A"/>
    <w:rsid w:val="00DD4982"/>
    <w:rsid w:val="00DD638C"/>
    <w:rsid w:val="00DD6E05"/>
    <w:rsid w:val="00DD7D26"/>
    <w:rsid w:val="00DE0D24"/>
    <w:rsid w:val="00DE2286"/>
    <w:rsid w:val="00DE27EE"/>
    <w:rsid w:val="00DE34E8"/>
    <w:rsid w:val="00DE350A"/>
    <w:rsid w:val="00DE5256"/>
    <w:rsid w:val="00DE5B03"/>
    <w:rsid w:val="00DE5CED"/>
    <w:rsid w:val="00DE634D"/>
    <w:rsid w:val="00DE6733"/>
    <w:rsid w:val="00DE69B9"/>
    <w:rsid w:val="00DF03A8"/>
    <w:rsid w:val="00DF14F0"/>
    <w:rsid w:val="00DF2776"/>
    <w:rsid w:val="00DF2FB4"/>
    <w:rsid w:val="00DF313A"/>
    <w:rsid w:val="00DF449C"/>
    <w:rsid w:val="00DF472D"/>
    <w:rsid w:val="00DF4821"/>
    <w:rsid w:val="00DF4A30"/>
    <w:rsid w:val="00DF537F"/>
    <w:rsid w:val="00DF564A"/>
    <w:rsid w:val="00DF5A9D"/>
    <w:rsid w:val="00DF602F"/>
    <w:rsid w:val="00DF63CA"/>
    <w:rsid w:val="00DF6783"/>
    <w:rsid w:val="00DF7E12"/>
    <w:rsid w:val="00E00C3F"/>
    <w:rsid w:val="00E00F89"/>
    <w:rsid w:val="00E012CE"/>
    <w:rsid w:val="00E021FF"/>
    <w:rsid w:val="00E0351D"/>
    <w:rsid w:val="00E05FDA"/>
    <w:rsid w:val="00E06160"/>
    <w:rsid w:val="00E0686A"/>
    <w:rsid w:val="00E06B2A"/>
    <w:rsid w:val="00E108BE"/>
    <w:rsid w:val="00E117D2"/>
    <w:rsid w:val="00E11F5A"/>
    <w:rsid w:val="00E12465"/>
    <w:rsid w:val="00E13527"/>
    <w:rsid w:val="00E1355E"/>
    <w:rsid w:val="00E1389F"/>
    <w:rsid w:val="00E138CC"/>
    <w:rsid w:val="00E140D7"/>
    <w:rsid w:val="00E14D81"/>
    <w:rsid w:val="00E16F29"/>
    <w:rsid w:val="00E1795D"/>
    <w:rsid w:val="00E2012D"/>
    <w:rsid w:val="00E2042F"/>
    <w:rsid w:val="00E219E4"/>
    <w:rsid w:val="00E222E2"/>
    <w:rsid w:val="00E2267E"/>
    <w:rsid w:val="00E2392F"/>
    <w:rsid w:val="00E23978"/>
    <w:rsid w:val="00E24680"/>
    <w:rsid w:val="00E24F57"/>
    <w:rsid w:val="00E258F9"/>
    <w:rsid w:val="00E25B05"/>
    <w:rsid w:val="00E25BE0"/>
    <w:rsid w:val="00E25C4B"/>
    <w:rsid w:val="00E25DD5"/>
    <w:rsid w:val="00E26169"/>
    <w:rsid w:val="00E2669E"/>
    <w:rsid w:val="00E26D96"/>
    <w:rsid w:val="00E26E3B"/>
    <w:rsid w:val="00E304AF"/>
    <w:rsid w:val="00E31917"/>
    <w:rsid w:val="00E33072"/>
    <w:rsid w:val="00E33429"/>
    <w:rsid w:val="00E337E8"/>
    <w:rsid w:val="00E33FAD"/>
    <w:rsid w:val="00E34106"/>
    <w:rsid w:val="00E35039"/>
    <w:rsid w:val="00E36B81"/>
    <w:rsid w:val="00E37708"/>
    <w:rsid w:val="00E3788A"/>
    <w:rsid w:val="00E37C09"/>
    <w:rsid w:val="00E41369"/>
    <w:rsid w:val="00E41E6D"/>
    <w:rsid w:val="00E42721"/>
    <w:rsid w:val="00E4358B"/>
    <w:rsid w:val="00E439E5"/>
    <w:rsid w:val="00E45E61"/>
    <w:rsid w:val="00E466E6"/>
    <w:rsid w:val="00E50654"/>
    <w:rsid w:val="00E514D6"/>
    <w:rsid w:val="00E516FA"/>
    <w:rsid w:val="00E518E3"/>
    <w:rsid w:val="00E5314D"/>
    <w:rsid w:val="00E533E1"/>
    <w:rsid w:val="00E5358F"/>
    <w:rsid w:val="00E53B00"/>
    <w:rsid w:val="00E53B47"/>
    <w:rsid w:val="00E559E8"/>
    <w:rsid w:val="00E55B35"/>
    <w:rsid w:val="00E565F0"/>
    <w:rsid w:val="00E60C6A"/>
    <w:rsid w:val="00E61464"/>
    <w:rsid w:val="00E6211B"/>
    <w:rsid w:val="00E62BAE"/>
    <w:rsid w:val="00E64A4D"/>
    <w:rsid w:val="00E64B3C"/>
    <w:rsid w:val="00E650DD"/>
    <w:rsid w:val="00E65105"/>
    <w:rsid w:val="00E655B2"/>
    <w:rsid w:val="00E65DEB"/>
    <w:rsid w:val="00E66599"/>
    <w:rsid w:val="00E6691E"/>
    <w:rsid w:val="00E66B2A"/>
    <w:rsid w:val="00E671AF"/>
    <w:rsid w:val="00E6779F"/>
    <w:rsid w:val="00E705FF"/>
    <w:rsid w:val="00E70A8C"/>
    <w:rsid w:val="00E70BFC"/>
    <w:rsid w:val="00E70D83"/>
    <w:rsid w:val="00E70D92"/>
    <w:rsid w:val="00E71D9D"/>
    <w:rsid w:val="00E73DC1"/>
    <w:rsid w:val="00E7424C"/>
    <w:rsid w:val="00E74440"/>
    <w:rsid w:val="00E74BC4"/>
    <w:rsid w:val="00E7599E"/>
    <w:rsid w:val="00E75A20"/>
    <w:rsid w:val="00E76A86"/>
    <w:rsid w:val="00E76CDF"/>
    <w:rsid w:val="00E77878"/>
    <w:rsid w:val="00E77CE3"/>
    <w:rsid w:val="00E80F1A"/>
    <w:rsid w:val="00E82156"/>
    <w:rsid w:val="00E82F5C"/>
    <w:rsid w:val="00E83010"/>
    <w:rsid w:val="00E83CA4"/>
    <w:rsid w:val="00E84060"/>
    <w:rsid w:val="00E84A22"/>
    <w:rsid w:val="00E85570"/>
    <w:rsid w:val="00E855B3"/>
    <w:rsid w:val="00E85C37"/>
    <w:rsid w:val="00E868EE"/>
    <w:rsid w:val="00E86DF8"/>
    <w:rsid w:val="00E87FF6"/>
    <w:rsid w:val="00E9028B"/>
    <w:rsid w:val="00E905FD"/>
    <w:rsid w:val="00E90900"/>
    <w:rsid w:val="00E909F6"/>
    <w:rsid w:val="00E90E87"/>
    <w:rsid w:val="00E920C4"/>
    <w:rsid w:val="00E92789"/>
    <w:rsid w:val="00E93372"/>
    <w:rsid w:val="00E958B5"/>
    <w:rsid w:val="00E96168"/>
    <w:rsid w:val="00E96344"/>
    <w:rsid w:val="00E97B11"/>
    <w:rsid w:val="00EA20FB"/>
    <w:rsid w:val="00EA37EF"/>
    <w:rsid w:val="00EA3C0E"/>
    <w:rsid w:val="00EA5A7A"/>
    <w:rsid w:val="00EA614A"/>
    <w:rsid w:val="00EB07F9"/>
    <w:rsid w:val="00EB0D8C"/>
    <w:rsid w:val="00EB0F4A"/>
    <w:rsid w:val="00EB1618"/>
    <w:rsid w:val="00EB1DAC"/>
    <w:rsid w:val="00EB1E4F"/>
    <w:rsid w:val="00EB3B6E"/>
    <w:rsid w:val="00EB3CB4"/>
    <w:rsid w:val="00EB604F"/>
    <w:rsid w:val="00EB659D"/>
    <w:rsid w:val="00EB74F0"/>
    <w:rsid w:val="00EB7953"/>
    <w:rsid w:val="00EC0EB5"/>
    <w:rsid w:val="00EC2331"/>
    <w:rsid w:val="00EC24A3"/>
    <w:rsid w:val="00EC2662"/>
    <w:rsid w:val="00EC42C5"/>
    <w:rsid w:val="00EC6752"/>
    <w:rsid w:val="00EC675A"/>
    <w:rsid w:val="00EC7768"/>
    <w:rsid w:val="00EC7B2D"/>
    <w:rsid w:val="00EC7FBD"/>
    <w:rsid w:val="00ED0313"/>
    <w:rsid w:val="00ED03E3"/>
    <w:rsid w:val="00ED1694"/>
    <w:rsid w:val="00ED301D"/>
    <w:rsid w:val="00ED3979"/>
    <w:rsid w:val="00ED436B"/>
    <w:rsid w:val="00ED4A5F"/>
    <w:rsid w:val="00ED4D3C"/>
    <w:rsid w:val="00ED4E19"/>
    <w:rsid w:val="00ED7447"/>
    <w:rsid w:val="00ED748F"/>
    <w:rsid w:val="00ED7BF4"/>
    <w:rsid w:val="00ED7CD5"/>
    <w:rsid w:val="00EE0BDD"/>
    <w:rsid w:val="00EE2BCB"/>
    <w:rsid w:val="00EE389D"/>
    <w:rsid w:val="00EE51B1"/>
    <w:rsid w:val="00EE5E0A"/>
    <w:rsid w:val="00EE6239"/>
    <w:rsid w:val="00EE6637"/>
    <w:rsid w:val="00EE68E6"/>
    <w:rsid w:val="00EE748A"/>
    <w:rsid w:val="00EE7713"/>
    <w:rsid w:val="00EE7CD1"/>
    <w:rsid w:val="00EF102C"/>
    <w:rsid w:val="00EF14B0"/>
    <w:rsid w:val="00EF1D57"/>
    <w:rsid w:val="00EF305C"/>
    <w:rsid w:val="00EF4C2C"/>
    <w:rsid w:val="00EF7684"/>
    <w:rsid w:val="00F007B3"/>
    <w:rsid w:val="00F0161B"/>
    <w:rsid w:val="00F01641"/>
    <w:rsid w:val="00F023E8"/>
    <w:rsid w:val="00F0257E"/>
    <w:rsid w:val="00F02FD3"/>
    <w:rsid w:val="00F03112"/>
    <w:rsid w:val="00F0347A"/>
    <w:rsid w:val="00F035BA"/>
    <w:rsid w:val="00F03C56"/>
    <w:rsid w:val="00F045F2"/>
    <w:rsid w:val="00F0674E"/>
    <w:rsid w:val="00F069D8"/>
    <w:rsid w:val="00F06CB1"/>
    <w:rsid w:val="00F06D0F"/>
    <w:rsid w:val="00F07067"/>
    <w:rsid w:val="00F07C45"/>
    <w:rsid w:val="00F1018A"/>
    <w:rsid w:val="00F105AF"/>
    <w:rsid w:val="00F12591"/>
    <w:rsid w:val="00F12C01"/>
    <w:rsid w:val="00F130A0"/>
    <w:rsid w:val="00F13B79"/>
    <w:rsid w:val="00F15047"/>
    <w:rsid w:val="00F15418"/>
    <w:rsid w:val="00F164D8"/>
    <w:rsid w:val="00F2152D"/>
    <w:rsid w:val="00F216C5"/>
    <w:rsid w:val="00F23421"/>
    <w:rsid w:val="00F23BA5"/>
    <w:rsid w:val="00F2519E"/>
    <w:rsid w:val="00F257CD"/>
    <w:rsid w:val="00F26826"/>
    <w:rsid w:val="00F27390"/>
    <w:rsid w:val="00F275F1"/>
    <w:rsid w:val="00F3014B"/>
    <w:rsid w:val="00F30551"/>
    <w:rsid w:val="00F30786"/>
    <w:rsid w:val="00F30A70"/>
    <w:rsid w:val="00F31264"/>
    <w:rsid w:val="00F31365"/>
    <w:rsid w:val="00F32952"/>
    <w:rsid w:val="00F32C5A"/>
    <w:rsid w:val="00F32D63"/>
    <w:rsid w:val="00F33221"/>
    <w:rsid w:val="00F33A98"/>
    <w:rsid w:val="00F3511E"/>
    <w:rsid w:val="00F356A6"/>
    <w:rsid w:val="00F3607E"/>
    <w:rsid w:val="00F36ADE"/>
    <w:rsid w:val="00F36C0C"/>
    <w:rsid w:val="00F37756"/>
    <w:rsid w:val="00F404EF"/>
    <w:rsid w:val="00F4073B"/>
    <w:rsid w:val="00F411F3"/>
    <w:rsid w:val="00F4238A"/>
    <w:rsid w:val="00F42E0A"/>
    <w:rsid w:val="00F43367"/>
    <w:rsid w:val="00F4362B"/>
    <w:rsid w:val="00F43C1A"/>
    <w:rsid w:val="00F4412A"/>
    <w:rsid w:val="00F44863"/>
    <w:rsid w:val="00F45A8F"/>
    <w:rsid w:val="00F4658D"/>
    <w:rsid w:val="00F46754"/>
    <w:rsid w:val="00F47B0A"/>
    <w:rsid w:val="00F50511"/>
    <w:rsid w:val="00F50D55"/>
    <w:rsid w:val="00F51490"/>
    <w:rsid w:val="00F52203"/>
    <w:rsid w:val="00F52328"/>
    <w:rsid w:val="00F52555"/>
    <w:rsid w:val="00F53B2F"/>
    <w:rsid w:val="00F54955"/>
    <w:rsid w:val="00F551A6"/>
    <w:rsid w:val="00F559EF"/>
    <w:rsid w:val="00F57522"/>
    <w:rsid w:val="00F5755F"/>
    <w:rsid w:val="00F57A03"/>
    <w:rsid w:val="00F60A7A"/>
    <w:rsid w:val="00F60D36"/>
    <w:rsid w:val="00F61C40"/>
    <w:rsid w:val="00F61E65"/>
    <w:rsid w:val="00F61F62"/>
    <w:rsid w:val="00F62340"/>
    <w:rsid w:val="00F639DF"/>
    <w:rsid w:val="00F649FB"/>
    <w:rsid w:val="00F65F00"/>
    <w:rsid w:val="00F67506"/>
    <w:rsid w:val="00F67C9A"/>
    <w:rsid w:val="00F718EB"/>
    <w:rsid w:val="00F71B6D"/>
    <w:rsid w:val="00F72260"/>
    <w:rsid w:val="00F723C1"/>
    <w:rsid w:val="00F74AEC"/>
    <w:rsid w:val="00F75B97"/>
    <w:rsid w:val="00F7638A"/>
    <w:rsid w:val="00F76659"/>
    <w:rsid w:val="00F769A9"/>
    <w:rsid w:val="00F769E9"/>
    <w:rsid w:val="00F76A45"/>
    <w:rsid w:val="00F8043D"/>
    <w:rsid w:val="00F81704"/>
    <w:rsid w:val="00F83C64"/>
    <w:rsid w:val="00F83D73"/>
    <w:rsid w:val="00F842A6"/>
    <w:rsid w:val="00F850EC"/>
    <w:rsid w:val="00F8593A"/>
    <w:rsid w:val="00F85E9C"/>
    <w:rsid w:val="00F8739F"/>
    <w:rsid w:val="00F90208"/>
    <w:rsid w:val="00F90465"/>
    <w:rsid w:val="00F90490"/>
    <w:rsid w:val="00F9055C"/>
    <w:rsid w:val="00F909B0"/>
    <w:rsid w:val="00F9149E"/>
    <w:rsid w:val="00F91B0C"/>
    <w:rsid w:val="00F93514"/>
    <w:rsid w:val="00F93E68"/>
    <w:rsid w:val="00F95463"/>
    <w:rsid w:val="00F9572B"/>
    <w:rsid w:val="00F95841"/>
    <w:rsid w:val="00F95B2B"/>
    <w:rsid w:val="00F960E2"/>
    <w:rsid w:val="00F97BCC"/>
    <w:rsid w:val="00FA0588"/>
    <w:rsid w:val="00FA1E71"/>
    <w:rsid w:val="00FA1F2A"/>
    <w:rsid w:val="00FA2138"/>
    <w:rsid w:val="00FA21C9"/>
    <w:rsid w:val="00FA2D53"/>
    <w:rsid w:val="00FA3179"/>
    <w:rsid w:val="00FA568C"/>
    <w:rsid w:val="00FA6585"/>
    <w:rsid w:val="00FA7621"/>
    <w:rsid w:val="00FA783D"/>
    <w:rsid w:val="00FA79C8"/>
    <w:rsid w:val="00FB09C1"/>
    <w:rsid w:val="00FB0E6E"/>
    <w:rsid w:val="00FB1307"/>
    <w:rsid w:val="00FB3D2C"/>
    <w:rsid w:val="00FB3EB3"/>
    <w:rsid w:val="00FB47CE"/>
    <w:rsid w:val="00FB50F9"/>
    <w:rsid w:val="00FB6F46"/>
    <w:rsid w:val="00FB735C"/>
    <w:rsid w:val="00FC05A4"/>
    <w:rsid w:val="00FC0D1D"/>
    <w:rsid w:val="00FC1609"/>
    <w:rsid w:val="00FC1A4C"/>
    <w:rsid w:val="00FC27E1"/>
    <w:rsid w:val="00FC4573"/>
    <w:rsid w:val="00FC4862"/>
    <w:rsid w:val="00FC505C"/>
    <w:rsid w:val="00FC66F6"/>
    <w:rsid w:val="00FC6B41"/>
    <w:rsid w:val="00FC756B"/>
    <w:rsid w:val="00FC7CE0"/>
    <w:rsid w:val="00FD0B67"/>
    <w:rsid w:val="00FD0F14"/>
    <w:rsid w:val="00FD19E5"/>
    <w:rsid w:val="00FD23E3"/>
    <w:rsid w:val="00FD25F6"/>
    <w:rsid w:val="00FD3282"/>
    <w:rsid w:val="00FD4414"/>
    <w:rsid w:val="00FD4736"/>
    <w:rsid w:val="00FD50AC"/>
    <w:rsid w:val="00FD60C1"/>
    <w:rsid w:val="00FD79E2"/>
    <w:rsid w:val="00FE05CC"/>
    <w:rsid w:val="00FE0A4C"/>
    <w:rsid w:val="00FE1CFC"/>
    <w:rsid w:val="00FE2820"/>
    <w:rsid w:val="00FE3F38"/>
    <w:rsid w:val="00FE40C8"/>
    <w:rsid w:val="00FE4123"/>
    <w:rsid w:val="00FE4390"/>
    <w:rsid w:val="00FE534B"/>
    <w:rsid w:val="00FE6A31"/>
    <w:rsid w:val="00FE6A3B"/>
    <w:rsid w:val="00FE6E32"/>
    <w:rsid w:val="00FE76F7"/>
    <w:rsid w:val="00FE7985"/>
    <w:rsid w:val="00FF066F"/>
    <w:rsid w:val="00FF0726"/>
    <w:rsid w:val="00FF14C9"/>
    <w:rsid w:val="00FF267C"/>
    <w:rsid w:val="00FF2831"/>
    <w:rsid w:val="00FF3E5F"/>
    <w:rsid w:val="00FF5353"/>
    <w:rsid w:val="00FF5E77"/>
    <w:rsid w:val="00FF7952"/>
    <w:rsid w:val="06FA10FC"/>
    <w:rsid w:val="36FA1760"/>
    <w:rsid w:val="5799B923"/>
    <w:rsid w:val="6CD501B2"/>
    <w:rsid w:val="6DF72BFF"/>
    <w:rsid w:val="6FE96511"/>
    <w:rsid w:val="77DB2548"/>
    <w:rsid w:val="7A5D0FC7"/>
    <w:rsid w:val="7FFBF06F"/>
    <w:rsid w:val="B7E38A6A"/>
    <w:rsid w:val="D4EF125D"/>
    <w:rsid w:val="DC178FC7"/>
    <w:rsid w:val="EFDFD0E1"/>
    <w:rsid w:val="FEBB4DA4"/>
    <w:rsid w:val="FFDFFDED"/>
    <w:rsid w:val="FFF7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3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semiHidden/>
    <w:unhideWhenUsed/>
    <w:qFormat/>
    <w:uiPriority w:val="99"/>
    <w:pPr>
      <w:ind w:left="1400" w:leftChars="1400"/>
    </w:pPr>
  </w:style>
  <w:style w:type="paragraph" w:styleId="8">
    <w:name w:val="Body Text"/>
    <w:basedOn w:val="1"/>
    <w:link w:val="33"/>
    <w:semiHidden/>
    <w:unhideWhenUsed/>
    <w:qFormat/>
    <w:uiPriority w:val="99"/>
    <w:pPr>
      <w:spacing w:after="120"/>
    </w:pPr>
  </w:style>
  <w:style w:type="paragraph" w:styleId="9">
    <w:name w:val="toc 3"/>
    <w:basedOn w:val="1"/>
    <w:next w:val="1"/>
    <w:unhideWhenUsed/>
    <w:qFormat/>
    <w:uiPriority w:val="39"/>
    <w:pPr>
      <w:spacing w:after="100" w:line="259" w:lineRule="auto"/>
      <w:ind w:left="440"/>
    </w:pPr>
    <w:rPr>
      <w:rFonts w:asciiTheme="minorHAnsi" w:hAnsiTheme="minorHAnsi" w:eastAsiaTheme="minorEastAsia"/>
      <w:sz w:val="22"/>
      <w:szCs w:val="22"/>
    </w:rPr>
  </w:style>
  <w:style w:type="paragraph" w:styleId="10">
    <w:name w:val="Plain Text"/>
    <w:basedOn w:val="1"/>
    <w:next w:val="7"/>
    <w:link w:val="32"/>
    <w:unhideWhenUsed/>
    <w:qFormat/>
    <w:uiPriority w:val="99"/>
    <w:pPr>
      <w:widowControl w:val="0"/>
      <w:jc w:val="both"/>
    </w:pPr>
    <w:rPr>
      <w:rFonts w:ascii="宋体" w:hAnsi="Courier New" w:cs="Courier New" w:eastAsiaTheme="minorEastAsia"/>
      <w:kern w:val="2"/>
      <w:sz w:val="21"/>
      <w:szCs w:val="24"/>
    </w:rPr>
  </w:style>
  <w:style w:type="paragraph" w:styleId="11">
    <w:name w:val="footer"/>
    <w:basedOn w:val="1"/>
    <w:link w:val="26"/>
    <w:unhideWhenUsed/>
    <w:qFormat/>
    <w:uiPriority w:val="99"/>
    <w:pPr>
      <w:tabs>
        <w:tab w:val="center" w:pos="4153"/>
        <w:tab w:val="right" w:pos="8306"/>
      </w:tabs>
      <w:snapToGrid w:val="0"/>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val="0"/>
      <w:tabs>
        <w:tab w:val="right" w:leader="dot" w:pos="8296"/>
      </w:tabs>
      <w:snapToGrid w:val="0"/>
      <w:spacing w:before="156" w:beforeLines="50" w:line="560" w:lineRule="exact"/>
      <w:jc w:val="both"/>
    </w:pPr>
    <w:rPr>
      <w:rFonts w:ascii="方正小标宋简体" w:hAnsi="方正小标宋简体" w:eastAsia="方正小标宋简体" w:cs="宋体"/>
      <w:sz w:val="32"/>
      <w:szCs w:val="32"/>
    </w:rPr>
  </w:style>
  <w:style w:type="paragraph" w:styleId="14">
    <w:name w:val="toc 2"/>
    <w:basedOn w:val="1"/>
    <w:next w:val="1"/>
    <w:unhideWhenUsed/>
    <w:qFormat/>
    <w:uiPriority w:val="39"/>
    <w:pPr>
      <w:widowControl w:val="0"/>
      <w:tabs>
        <w:tab w:val="right" w:leader="dot" w:pos="8296"/>
      </w:tabs>
      <w:snapToGrid w:val="0"/>
      <w:spacing w:before="312" w:beforeLines="100" w:line="560" w:lineRule="exact"/>
      <w:jc w:val="both"/>
    </w:pPr>
    <w:rPr>
      <w:rFonts w:ascii="楷体_GB2312" w:hAnsi="方正小标宋简体" w:eastAsia="楷体_GB2312" w:cs="宋体"/>
      <w:sz w:val="28"/>
      <w:szCs w:val="28"/>
    </w:rPr>
  </w:style>
  <w:style w:type="paragraph" w:styleId="15">
    <w:name w:val="Normal (Web)"/>
    <w:basedOn w:val="1"/>
    <w:unhideWhenUsed/>
    <w:qFormat/>
    <w:uiPriority w:val="99"/>
    <w:pPr>
      <w:spacing w:before="100" w:beforeAutospacing="1" w:after="100" w:afterAutospacing="1"/>
    </w:pPr>
    <w:rPr>
      <w:rFonts w:ascii="宋体" w:hAnsi="宋体" w:cs="宋体"/>
      <w:sz w:val="24"/>
      <w:szCs w:val="24"/>
    </w:rPr>
  </w:style>
  <w:style w:type="paragraph" w:styleId="16">
    <w:name w:val="Body Text First Indent"/>
    <w:basedOn w:val="8"/>
    <w:link w:val="34"/>
    <w:unhideWhenUsed/>
    <w:qFormat/>
    <w:uiPriority w:val="0"/>
    <w:pPr>
      <w:widowControl w:val="0"/>
      <w:ind w:firstLine="420" w:firstLineChars="100"/>
      <w:jc w:val="both"/>
    </w:pPr>
    <w:rPr>
      <w:rFonts w:asciiTheme="minorHAnsi" w:hAnsiTheme="minorHAnsi" w:eastAsiaTheme="minorEastAsia" w:cstheme="minorBidi"/>
      <w:kern w:val="2"/>
      <w:sz w:val="21"/>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mphasis"/>
    <w:basedOn w:val="19"/>
    <w:qFormat/>
    <w:uiPriority w:val="0"/>
    <w:rPr>
      <w:i/>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customStyle="1" w:styleId="23">
    <w:name w:val="标题 1 字符"/>
    <w:basedOn w:val="19"/>
    <w:link w:val="2"/>
    <w:qFormat/>
    <w:uiPriority w:val="9"/>
    <w:rPr>
      <w:rFonts w:ascii="Times New Roman" w:hAnsi="Times New Roman" w:eastAsia="宋体" w:cs="Times New Roman"/>
      <w:b/>
      <w:bCs/>
      <w:kern w:val="44"/>
      <w:sz w:val="44"/>
      <w:szCs w:val="44"/>
    </w:rPr>
  </w:style>
  <w:style w:type="paragraph" w:customStyle="1" w:styleId="24">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
    <w:name w:val="页眉 字符"/>
    <w:basedOn w:val="19"/>
    <w:link w:val="12"/>
    <w:qFormat/>
    <w:uiPriority w:val="99"/>
    <w:rPr>
      <w:rFonts w:ascii="Times New Roman" w:hAnsi="Times New Roman" w:eastAsia="宋体" w:cs="Times New Roman"/>
      <w:kern w:val="0"/>
      <w:sz w:val="18"/>
      <w:szCs w:val="18"/>
    </w:rPr>
  </w:style>
  <w:style w:type="character" w:customStyle="1" w:styleId="26">
    <w:name w:val="页脚 字符"/>
    <w:basedOn w:val="19"/>
    <w:link w:val="11"/>
    <w:qFormat/>
    <w:uiPriority w:val="99"/>
    <w:rPr>
      <w:rFonts w:ascii="Times New Roman" w:hAnsi="Times New Roman" w:eastAsia="宋体" w:cs="Times New Roman"/>
      <w:kern w:val="0"/>
      <w:sz w:val="18"/>
      <w:szCs w:val="18"/>
    </w:rPr>
  </w:style>
  <w:style w:type="paragraph" w:styleId="27">
    <w:name w:val="List Paragraph"/>
    <w:basedOn w:val="1"/>
    <w:qFormat/>
    <w:uiPriority w:val="34"/>
    <w:pPr>
      <w:ind w:firstLine="420" w:firstLineChars="200"/>
    </w:pPr>
  </w:style>
  <w:style w:type="character" w:customStyle="1" w:styleId="28">
    <w:name w:val="标题 2 字符"/>
    <w:basedOn w:val="19"/>
    <w:link w:val="3"/>
    <w:semiHidden/>
    <w:qFormat/>
    <w:uiPriority w:val="9"/>
    <w:rPr>
      <w:rFonts w:asciiTheme="majorHAnsi" w:hAnsiTheme="majorHAnsi" w:eastAsiaTheme="majorEastAsia" w:cstheme="majorBidi"/>
      <w:b/>
      <w:bCs/>
      <w:kern w:val="0"/>
      <w:sz w:val="32"/>
      <w:szCs w:val="32"/>
    </w:rPr>
  </w:style>
  <w:style w:type="character" w:customStyle="1" w:styleId="29">
    <w:name w:val="标题 3 字符"/>
    <w:basedOn w:val="19"/>
    <w:link w:val="4"/>
    <w:semiHidden/>
    <w:qFormat/>
    <w:uiPriority w:val="9"/>
    <w:rPr>
      <w:rFonts w:ascii="Times New Roman" w:hAnsi="Times New Roman" w:eastAsia="宋体" w:cs="Times New Roman"/>
      <w:b/>
      <w:bCs/>
      <w:kern w:val="0"/>
      <w:sz w:val="32"/>
      <w:szCs w:val="32"/>
    </w:rPr>
  </w:style>
  <w:style w:type="table" w:customStyle="1" w:styleId="30">
    <w:name w:val="TableGrid"/>
    <w:qFormat/>
    <w:uiPriority w:val="0"/>
    <w:rPr>
      <w:szCs w:val="24"/>
    </w:rPr>
    <w:tblPr>
      <w:tblCellMar>
        <w:top w:w="0" w:type="dxa"/>
        <w:left w:w="0" w:type="dxa"/>
        <w:bottom w:w="0" w:type="dxa"/>
        <w:right w:w="0" w:type="dxa"/>
      </w:tblCellMar>
    </w:tblPr>
  </w:style>
  <w:style w:type="character" w:customStyle="1" w:styleId="31">
    <w:name w:val="标题 4 字符"/>
    <w:basedOn w:val="19"/>
    <w:link w:val="5"/>
    <w:semiHidden/>
    <w:qFormat/>
    <w:uiPriority w:val="9"/>
    <w:rPr>
      <w:rFonts w:asciiTheme="majorHAnsi" w:hAnsiTheme="majorHAnsi" w:eastAsiaTheme="majorEastAsia" w:cstheme="majorBidi"/>
      <w:b/>
      <w:bCs/>
      <w:kern w:val="0"/>
      <w:sz w:val="28"/>
      <w:szCs w:val="28"/>
    </w:rPr>
  </w:style>
  <w:style w:type="character" w:customStyle="1" w:styleId="32">
    <w:name w:val="纯文本 字符"/>
    <w:basedOn w:val="19"/>
    <w:link w:val="10"/>
    <w:qFormat/>
    <w:uiPriority w:val="99"/>
    <w:rPr>
      <w:rFonts w:ascii="宋体" w:hAnsi="Courier New" w:cs="Courier New"/>
      <w:szCs w:val="24"/>
    </w:rPr>
  </w:style>
  <w:style w:type="character" w:customStyle="1" w:styleId="33">
    <w:name w:val="正文文本 字符"/>
    <w:basedOn w:val="19"/>
    <w:link w:val="8"/>
    <w:semiHidden/>
    <w:qFormat/>
    <w:uiPriority w:val="99"/>
    <w:rPr>
      <w:rFonts w:ascii="Times New Roman" w:hAnsi="Times New Roman" w:eastAsia="宋体" w:cs="Times New Roman"/>
      <w:kern w:val="0"/>
      <w:sz w:val="20"/>
      <w:szCs w:val="20"/>
    </w:rPr>
  </w:style>
  <w:style w:type="character" w:customStyle="1" w:styleId="34">
    <w:name w:val="正文文本首行缩进 字符"/>
    <w:basedOn w:val="33"/>
    <w:link w:val="16"/>
    <w:qFormat/>
    <w:uiPriority w:val="0"/>
    <w:rPr>
      <w:rFonts w:ascii="Times New Roman" w:hAnsi="Times New Roman" w:eastAsia="宋体" w:cs="Times New Roman"/>
      <w:kern w:val="0"/>
      <w:sz w:val="20"/>
      <w:szCs w:val="24"/>
    </w:rPr>
  </w:style>
  <w:style w:type="paragraph" w:customStyle="1" w:styleId="35">
    <w:name w:val="标书正文1"/>
    <w:basedOn w:val="1"/>
    <w:qFormat/>
    <w:uiPriority w:val="0"/>
    <w:pPr>
      <w:widowControl w:val="0"/>
      <w:spacing w:line="520" w:lineRule="exact"/>
      <w:ind w:firstLine="640" w:firstLineChars="200"/>
      <w:jc w:val="both"/>
    </w:pPr>
    <w:rPr>
      <w:rFonts w:cstheme="minorBidi"/>
      <w:kern w:val="2"/>
      <w:sz w:val="21"/>
      <w:szCs w:val="22"/>
    </w:rPr>
  </w:style>
  <w:style w:type="paragraph" w:customStyle="1" w:styleId="36">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character" w:customStyle="1" w:styleId="37">
    <w:name w:val="标题 6 字符"/>
    <w:basedOn w:val="19"/>
    <w:link w:val="6"/>
    <w:semiHidden/>
    <w:qFormat/>
    <w:uiPriority w:val="9"/>
    <w:rPr>
      <w:rFonts w:asciiTheme="majorHAnsi" w:hAnsiTheme="majorHAnsi" w:eastAsiaTheme="majorEastAsia" w:cstheme="majorBidi"/>
      <w:b/>
      <w:bCs/>
      <w:kern w:val="0"/>
      <w:sz w:val="24"/>
      <w:szCs w:val="24"/>
    </w:rPr>
  </w:style>
  <w:style w:type="character" w:styleId="38">
    <w:name w:val="Placeholder Text"/>
    <w:basedOn w:val="19"/>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1892</Words>
  <Characters>10786</Characters>
  <Lines>89</Lines>
  <Paragraphs>25</Paragraphs>
  <TotalTime>33</TotalTime>
  <ScaleCrop>false</ScaleCrop>
  <LinksUpToDate>false</LinksUpToDate>
  <CharactersWithSpaces>12653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2021-08-07T02:30:00Z</dcterms:created>
  <dc:creator>Mac</dc:creator>
  <cp:lastModifiedBy>黄耀辉</cp:lastModifiedBy>
  <cp:lastPrinted>2024-06-24T20:18:27Z</cp:lastPrinted>
  <dcterms:modified xsi:type="dcterms:W3CDTF">2024-06-25T09:04:22Z</dcterms:modified>
  <cp:revision>1294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