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560" w:lineRule="exact"/>
        <w:jc w:val="center"/>
        <w:rPr>
          <w:rFonts w:ascii="方正小标宋_GBK" w:hAnsi="Segoe UI" w:eastAsia="方正小标宋_GBK" w:cs="Segoe UI"/>
          <w:kern w:val="0"/>
          <w:sz w:val="44"/>
          <w:szCs w:val="44"/>
        </w:rPr>
      </w:pPr>
      <w:r>
        <w:rPr>
          <w:rFonts w:hint="eastAsia" w:ascii="方正小标宋_GBK" w:hAnsi="Segoe UI" w:eastAsia="方正小标宋_GBK" w:cs="Segoe UI"/>
          <w:kern w:val="0"/>
          <w:sz w:val="44"/>
          <w:szCs w:val="44"/>
          <w:lang w:eastAsia="zh-CN"/>
        </w:rPr>
        <w:t>关于</w:t>
      </w:r>
      <w:r>
        <w:rPr>
          <w:rFonts w:hint="eastAsia" w:ascii="方正小标宋_GBK" w:hAnsi="Segoe UI" w:eastAsia="方正小标宋_GBK" w:cs="Segoe UI"/>
          <w:kern w:val="0"/>
          <w:sz w:val="44"/>
          <w:szCs w:val="44"/>
        </w:rPr>
        <w:t>《</w:t>
      </w:r>
      <w:r>
        <w:rPr>
          <w:rFonts w:hint="eastAsia" w:ascii="方正小标宋_GBK" w:hAnsi="Segoe UI" w:eastAsia="方正小标宋_GBK" w:cs="Segoe UI"/>
          <w:kern w:val="0"/>
          <w:sz w:val="44"/>
          <w:szCs w:val="44"/>
          <w:lang w:eastAsia="zh-CN"/>
        </w:rPr>
        <w:t>深圳市</w:t>
      </w:r>
      <w:r>
        <w:rPr>
          <w:rFonts w:ascii="方正小标宋_GBK" w:hAnsi="Segoe UI" w:eastAsia="方正小标宋_GBK" w:cs="Segoe UI"/>
          <w:kern w:val="0"/>
          <w:sz w:val="44"/>
          <w:szCs w:val="44"/>
        </w:rPr>
        <w:t>光明区推动总部经济高质量</w:t>
      </w:r>
    </w:p>
    <w:p>
      <w:pPr>
        <w:shd w:val="clear" w:color="auto" w:fill="FFFFFF"/>
        <w:snapToGrid w:val="0"/>
        <w:spacing w:line="560" w:lineRule="exact"/>
        <w:jc w:val="center"/>
        <w:rPr>
          <w:rFonts w:hint="eastAsia" w:ascii="方正小标宋_GBK" w:hAnsi="Segoe UI" w:eastAsia="方正小标宋_GBK" w:cs="Segoe UI"/>
          <w:kern w:val="0"/>
          <w:sz w:val="44"/>
          <w:szCs w:val="44"/>
        </w:rPr>
      </w:pPr>
      <w:r>
        <w:rPr>
          <w:rFonts w:ascii="方正小标宋_GBK" w:hAnsi="Segoe UI" w:eastAsia="方正小标宋_GBK" w:cs="Segoe UI"/>
          <w:kern w:val="0"/>
          <w:sz w:val="44"/>
          <w:szCs w:val="44"/>
        </w:rPr>
        <w:t>发展实施办法（</w:t>
      </w:r>
      <w:r>
        <w:rPr>
          <w:rFonts w:hint="eastAsia" w:ascii="方正小标宋_GBK" w:hAnsi="Segoe UI" w:eastAsia="方正小标宋_GBK" w:cs="Segoe UI"/>
          <w:kern w:val="0"/>
          <w:sz w:val="44"/>
          <w:szCs w:val="44"/>
          <w:lang w:eastAsia="zh-CN"/>
        </w:rPr>
        <w:t>征求意见</w:t>
      </w:r>
      <w:r>
        <w:rPr>
          <w:rFonts w:ascii="方正小标宋_GBK" w:hAnsi="Segoe UI" w:eastAsia="方正小标宋_GBK" w:cs="Segoe UI"/>
          <w:kern w:val="0"/>
          <w:sz w:val="44"/>
          <w:szCs w:val="44"/>
        </w:rPr>
        <w:t>稿）</w:t>
      </w:r>
      <w:r>
        <w:rPr>
          <w:rFonts w:hint="eastAsia" w:ascii="方正小标宋_GBK" w:hAnsi="Segoe UI" w:eastAsia="方正小标宋_GBK" w:cs="Segoe UI"/>
          <w:kern w:val="0"/>
          <w:sz w:val="44"/>
          <w:szCs w:val="44"/>
        </w:rPr>
        <w:t>》</w:t>
      </w:r>
    </w:p>
    <w:p>
      <w:pPr>
        <w:shd w:val="clear" w:color="auto" w:fill="FFFFFF"/>
        <w:snapToGrid w:val="0"/>
        <w:spacing w:line="560" w:lineRule="exact"/>
        <w:jc w:val="center"/>
        <w:rPr>
          <w:rFonts w:ascii="方正小标宋_GBK" w:hAnsi="Segoe UI" w:eastAsia="方正小标宋_GBK" w:cs="Segoe UI"/>
          <w:kern w:val="0"/>
          <w:sz w:val="44"/>
          <w:szCs w:val="44"/>
        </w:rPr>
      </w:pPr>
      <w:r>
        <w:rPr>
          <w:rFonts w:hint="eastAsia" w:ascii="方正小标宋_GBK" w:hAnsi="Segoe UI" w:eastAsia="方正小标宋_GBK" w:cs="Segoe UI"/>
          <w:kern w:val="0"/>
          <w:sz w:val="44"/>
          <w:szCs w:val="44"/>
        </w:rPr>
        <w:t>起草说明</w:t>
      </w:r>
    </w:p>
    <w:p>
      <w:pPr>
        <w:shd w:val="clear" w:color="auto" w:fill="FFFFFF"/>
        <w:snapToGrid w:val="0"/>
        <w:spacing w:line="560" w:lineRule="exact"/>
        <w:ind w:firstLine="640" w:firstLineChars="200"/>
        <w:rPr>
          <w:rFonts w:ascii="仿宋_GB2312" w:hAnsi="Segoe UI" w:eastAsia="仿宋_GB2312" w:cs="Segoe UI"/>
          <w:kern w:val="0"/>
          <w:sz w:val="32"/>
          <w:szCs w:val="32"/>
        </w:rPr>
      </w:pPr>
    </w:p>
    <w:p>
      <w:pPr>
        <w:shd w:val="clear" w:color="auto" w:fill="FFFFFF"/>
        <w:snapToGrid w:val="0"/>
        <w:spacing w:line="560" w:lineRule="exact"/>
        <w:ind w:firstLine="640" w:firstLineChars="200"/>
        <w:outlineLvl w:val="1"/>
        <w:rPr>
          <w:rFonts w:ascii="黑体" w:hAnsi="黑体" w:eastAsia="黑体" w:cs="Segoe UI"/>
          <w:kern w:val="0"/>
          <w:sz w:val="32"/>
          <w:szCs w:val="32"/>
        </w:rPr>
      </w:pPr>
      <w:r>
        <w:rPr>
          <w:rFonts w:hint="eastAsia" w:ascii="黑体" w:hAnsi="黑体" w:eastAsia="黑体" w:cs="Segoe UI"/>
          <w:kern w:val="0"/>
          <w:sz w:val="32"/>
          <w:szCs w:val="32"/>
        </w:rPr>
        <w:t>一、工作背景</w:t>
      </w:r>
    </w:p>
    <w:p>
      <w:pPr>
        <w:pStyle w:val="30"/>
        <w:snapToGrid w:val="0"/>
        <w:ind w:firstLine="645"/>
        <w:rPr>
          <w:color w:val="000000" w:themeColor="text1"/>
          <w14:textFill>
            <w14:solidFill>
              <w14:schemeClr w14:val="tx1"/>
            </w14:solidFill>
          </w14:textFill>
        </w:rPr>
      </w:pPr>
      <w:r>
        <w:rPr>
          <w:rFonts w:hint="eastAsia" w:ascii="楷体_GB2312" w:eastAsia="楷体_GB2312"/>
          <w:b/>
          <w:bCs/>
        </w:rPr>
        <w:t>（一）我市高度重视发展总部经济。</w:t>
      </w:r>
      <w:r>
        <w:rPr>
          <w:rFonts w:hint="eastAsia"/>
          <w:color w:val="000000" w:themeColor="text1"/>
          <w14:textFill>
            <w14:solidFill>
              <w14:schemeClr w14:val="tx1"/>
            </w14:solidFill>
          </w14:textFill>
        </w:rPr>
        <w:t>深圳</w:t>
      </w:r>
      <w:r>
        <w:rPr>
          <w:color w:val="000000" w:themeColor="text1"/>
          <w14:textFill>
            <w14:solidFill>
              <w14:schemeClr w14:val="tx1"/>
            </w14:solidFill>
          </w14:textFill>
        </w:rPr>
        <w:t>市委市政府</w:t>
      </w:r>
      <w:r>
        <w:rPr>
          <w:rFonts w:hint="eastAsia"/>
          <w:color w:val="000000" w:themeColor="text1"/>
          <w14:textFill>
            <w14:solidFill>
              <w14:schemeClr w14:val="tx1"/>
            </w14:solidFill>
          </w14:textFill>
        </w:rPr>
        <w:t>一直</w:t>
      </w:r>
      <w:r>
        <w:rPr>
          <w:color w:val="000000" w:themeColor="text1"/>
          <w14:textFill>
            <w14:solidFill>
              <w14:schemeClr w14:val="tx1"/>
            </w14:solidFill>
          </w14:textFill>
        </w:rPr>
        <w:t>高度重视总部经济发展工作</w:t>
      </w:r>
      <w:r>
        <w:rPr>
          <w:rFonts w:hint="eastAsia"/>
          <w:color w:val="000000" w:themeColor="text1"/>
          <w14:textFill>
            <w14:solidFill>
              <w14:schemeClr w14:val="tx1"/>
            </w14:solidFill>
          </w14:textFill>
        </w:rPr>
        <w:t>，早在2</w:t>
      </w:r>
      <w:r>
        <w:rPr>
          <w:color w:val="000000" w:themeColor="text1"/>
          <w14:textFill>
            <w14:solidFill>
              <w14:schemeClr w14:val="tx1"/>
            </w14:solidFill>
          </w14:textFill>
        </w:rPr>
        <w:t>008</w:t>
      </w:r>
      <w:r>
        <w:rPr>
          <w:rFonts w:hint="eastAsia"/>
          <w:color w:val="000000" w:themeColor="text1"/>
          <w14:textFill>
            <w14:solidFill>
              <w14:schemeClr w14:val="tx1"/>
            </w14:solidFill>
          </w14:textFill>
        </w:rPr>
        <w:t>年市政府就以1号文件印发了《</w:t>
      </w:r>
      <w:r>
        <w:rPr>
          <w:color w:val="000000" w:themeColor="text1"/>
          <w14:textFill>
            <w14:solidFill>
              <w14:schemeClr w14:val="tx1"/>
            </w14:solidFill>
          </w14:textFill>
        </w:rPr>
        <w:t>深圳市人民政府关于加快总部经济发展的若干意见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深府〔2008〕1号</w:t>
      </w:r>
      <w:r>
        <w:rPr>
          <w:rFonts w:hint="eastAsia"/>
          <w:color w:val="000000" w:themeColor="text1"/>
          <w14:textFill>
            <w14:solidFill>
              <w14:schemeClr w14:val="tx1"/>
            </w14:solidFill>
          </w14:textFill>
        </w:rPr>
        <w:t>），并出台了</w:t>
      </w:r>
      <w:r>
        <w:rPr>
          <w:color w:val="000000" w:themeColor="text1"/>
          <w14:textFill>
            <w14:solidFill>
              <w14:schemeClr w14:val="tx1"/>
            </w14:solidFill>
          </w14:textFill>
        </w:rPr>
        <w:t>《关于印发加快总部经济发展若干意见实施细则（试行）的通知》（深府办〔2008〕96号）、《关于印发深圳市总部企业认定办法（试行）的通知》（深府办〔2008〕95号）。</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012</w:t>
      </w:r>
      <w:r>
        <w:rPr>
          <w:rFonts w:hint="eastAsia"/>
          <w:color w:val="000000" w:themeColor="text1"/>
          <w14:textFill>
            <w14:solidFill>
              <w14:schemeClr w14:val="tx1"/>
            </w14:solidFill>
          </w14:textFill>
        </w:rPr>
        <w:t>年至2</w:t>
      </w:r>
      <w:r>
        <w:rPr>
          <w:color w:val="000000" w:themeColor="text1"/>
          <w14:textFill>
            <w14:solidFill>
              <w14:schemeClr w14:val="tx1"/>
            </w14:solidFill>
          </w14:textFill>
        </w:rPr>
        <w:t>021</w:t>
      </w:r>
      <w:r>
        <w:rPr>
          <w:rFonts w:hint="eastAsia"/>
          <w:color w:val="000000" w:themeColor="text1"/>
          <w14:textFill>
            <w14:solidFill>
              <w14:schemeClr w14:val="tx1"/>
            </w14:solidFill>
          </w14:textFill>
        </w:rPr>
        <w:t>年十年间，我市先后三次修订完善总部经济发展政策，于2</w:t>
      </w:r>
      <w:r>
        <w:rPr>
          <w:color w:val="000000" w:themeColor="text1"/>
          <w14:textFill>
            <w14:solidFill>
              <w14:schemeClr w14:val="tx1"/>
            </w14:solidFill>
          </w14:textFill>
        </w:rPr>
        <w:t>012</w:t>
      </w:r>
      <w:r>
        <w:rPr>
          <w:rFonts w:hint="eastAsia"/>
          <w:color w:val="000000" w:themeColor="text1"/>
          <w14:textFill>
            <w14:solidFill>
              <w14:schemeClr w14:val="tx1"/>
            </w14:solidFill>
          </w14:textFill>
        </w:rPr>
        <w:t>年印发了《</w:t>
      </w:r>
      <w:r>
        <w:rPr>
          <w:color w:val="000000" w:themeColor="text1"/>
          <w14:textFill>
            <w14:solidFill>
              <w14:schemeClr w14:val="tx1"/>
            </w14:solidFill>
          </w14:textFill>
        </w:rPr>
        <w:t>深圳市鼓励总部企业发展暂行办法》（深府〔2012〕104号）</w:t>
      </w:r>
      <w:r>
        <w:rPr>
          <w:rFonts w:hint="eastAsia"/>
          <w:color w:val="000000" w:themeColor="text1"/>
          <w14:textFill>
            <w14:solidFill>
              <w14:schemeClr w14:val="tx1"/>
            </w14:solidFill>
          </w14:textFill>
        </w:rPr>
        <w:t>；于2</w:t>
      </w:r>
      <w:r>
        <w:rPr>
          <w:color w:val="000000" w:themeColor="text1"/>
          <w14:textFill>
            <w14:solidFill>
              <w14:schemeClr w14:val="tx1"/>
            </w14:solidFill>
          </w14:textFill>
        </w:rPr>
        <w:t>017</w:t>
      </w:r>
      <w:r>
        <w:rPr>
          <w:rFonts w:hint="eastAsia"/>
          <w:color w:val="000000" w:themeColor="text1"/>
          <w14:textFill>
            <w14:solidFill>
              <w14:schemeClr w14:val="tx1"/>
            </w14:solidFill>
          </w14:textFill>
        </w:rPr>
        <w:t>年印发了</w:t>
      </w:r>
      <w:r>
        <w:rPr>
          <w:color w:val="000000" w:themeColor="text1"/>
          <w14:textFill>
            <w14:solidFill>
              <w14:schemeClr w14:val="tx1"/>
            </w14:solidFill>
          </w14:textFill>
        </w:rPr>
        <w:t>《深圳市鼓励总部企业发展实施办法》（深府规〔2017〕7号）</w:t>
      </w:r>
      <w:r>
        <w:rPr>
          <w:rFonts w:hint="eastAsia"/>
          <w:color w:val="000000" w:themeColor="text1"/>
          <w14:textFill>
            <w14:solidFill>
              <w14:schemeClr w14:val="tx1"/>
            </w14:solidFill>
          </w14:textFill>
        </w:rPr>
        <w:t>；于2</w:t>
      </w:r>
      <w:r>
        <w:rPr>
          <w:color w:val="000000" w:themeColor="text1"/>
          <w14:textFill>
            <w14:solidFill>
              <w14:schemeClr w14:val="tx1"/>
            </w14:solidFill>
          </w14:textFill>
        </w:rPr>
        <w:t>021</w:t>
      </w:r>
      <w:r>
        <w:rPr>
          <w:rFonts w:hint="eastAsia"/>
          <w:color w:val="000000" w:themeColor="text1"/>
          <w14:textFill>
            <w14:solidFill>
              <w14:schemeClr w14:val="tx1"/>
            </w14:solidFill>
          </w14:textFill>
        </w:rPr>
        <w:t>年印发了</w:t>
      </w:r>
      <w:r>
        <w:rPr>
          <w:color w:val="000000" w:themeColor="text1"/>
          <w14:textFill>
            <w14:solidFill>
              <w14:schemeClr w14:val="tx1"/>
            </w14:solidFill>
          </w14:textFill>
        </w:rPr>
        <w:t>《深圳市鼓励总部企业高质量发展实施办法》（深府规〔2021〕5号）</w:t>
      </w:r>
      <w:r>
        <w:rPr>
          <w:rFonts w:hint="eastAsia"/>
          <w:color w:val="000000" w:themeColor="text1"/>
          <w14:textFill>
            <w14:solidFill>
              <w14:schemeClr w14:val="tx1"/>
            </w14:solidFill>
          </w14:textFill>
        </w:rPr>
        <w:t>。</w:t>
      </w:r>
    </w:p>
    <w:p>
      <w:pPr>
        <w:pStyle w:val="30"/>
        <w:snapToGrid w:val="0"/>
        <w:ind w:firstLine="64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年，我市再次开展总部经济发展政策修订工作，于</w:t>
      </w:r>
      <w:r>
        <w:rPr>
          <w:rFonts w:hint="eastAsia"/>
          <w:color w:val="000000" w:themeColor="text1"/>
          <w:lang w:val="en-US" w:eastAsia="zh-CN"/>
          <w14:textFill>
            <w14:solidFill>
              <w14:schemeClr w14:val="tx1"/>
            </w14:solidFill>
          </w14:textFill>
        </w:rPr>
        <w:t>11</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30</w:t>
      </w:r>
      <w:r>
        <w:rPr>
          <w:color w:val="000000" w:themeColor="text1"/>
          <w14:textFill>
            <w14:solidFill>
              <w14:schemeClr w14:val="tx1"/>
            </w14:solidFill>
          </w14:textFill>
        </w:rPr>
        <w:t>日</w:t>
      </w:r>
      <w:r>
        <w:rPr>
          <w:rFonts w:hint="eastAsia"/>
          <w:color w:val="000000" w:themeColor="text1"/>
          <w14:textFill>
            <w14:solidFill>
              <w14:schemeClr w14:val="tx1"/>
            </w14:solidFill>
          </w14:textFill>
        </w:rPr>
        <w:t>发布了</w:t>
      </w:r>
      <w:r>
        <w:rPr>
          <w:color w:val="000000" w:themeColor="text1"/>
          <w14:textFill>
            <w14:solidFill>
              <w14:schemeClr w14:val="tx1"/>
            </w14:solidFill>
          </w14:textFill>
        </w:rPr>
        <w:t>《深圳市推动总部经济高质量发展的实施意见》。</w:t>
      </w:r>
      <w:r>
        <w:rPr>
          <w:rFonts w:hint="eastAsia"/>
          <w:color w:val="000000" w:themeColor="text1"/>
          <w14:textFill>
            <w14:solidFill>
              <w14:schemeClr w14:val="tx1"/>
            </w14:solidFill>
          </w14:textFill>
        </w:rPr>
        <w:t>该《实施意见》提出，</w:t>
      </w:r>
      <w:r>
        <w:rPr>
          <w:color w:val="000000" w:themeColor="text1"/>
          <w14:textFill>
            <w14:solidFill>
              <w14:schemeClr w14:val="tx1"/>
            </w14:solidFill>
          </w14:textFill>
        </w:rPr>
        <w:t>突出高端化、现代化、国际化发展方向，坚持重点培育、做优存量和大力引进、扩大增量相结合，构建灵活精准的总部经济政策体系，为加快打造更具全球影响力的经济中心城市和现代化国际大都市提供重要支撑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到2025年，全市总部经济政策支持和服务管理体系更加完善，总部企业数量稳步增加、总部功能更为多元</w:t>
      </w:r>
      <w:r>
        <w:rPr>
          <w:rFonts w:hint="eastAsia"/>
          <w:color w:val="000000" w:themeColor="text1"/>
          <w:lang w:eastAsia="zh-CN"/>
          <w14:textFill>
            <w14:solidFill>
              <w14:schemeClr w14:val="tx1"/>
            </w14:solidFill>
          </w14:textFill>
        </w:rPr>
        <w:t>，新增总部企业</w:t>
      </w:r>
      <w:r>
        <w:rPr>
          <w:rFonts w:hint="eastAsia"/>
          <w:color w:val="000000" w:themeColor="text1"/>
          <w:lang w:val="en-US" w:eastAsia="zh-CN"/>
          <w14:textFill>
            <w14:solidFill>
              <w14:schemeClr w14:val="tx1"/>
            </w14:solidFill>
          </w14:textFill>
        </w:rPr>
        <w:t>100家以上，千亿级总部企业达10家，百亿级总部企业突破100家。</w:t>
      </w:r>
      <w:r>
        <w:rPr>
          <w:color w:val="000000" w:themeColor="text1"/>
          <w14:textFill>
            <w14:solidFill>
              <w14:schemeClr w14:val="tx1"/>
            </w14:solidFill>
          </w14:textFill>
        </w:rPr>
        <w:t>到2030年，总部高端要素集聚能力、运筹能力、辐射能力显著跃升，成为全球一流的总部集聚地。</w:t>
      </w:r>
    </w:p>
    <w:p>
      <w:pPr>
        <w:pStyle w:val="30"/>
        <w:snapToGrid w:val="0"/>
        <w:ind w:firstLine="645"/>
        <w:rPr>
          <w:rFonts w:hint="eastAsia"/>
          <w:lang w:eastAsia="zh-CN"/>
        </w:rPr>
      </w:pPr>
      <w:r>
        <w:rPr>
          <w:rFonts w:hint="eastAsia" w:ascii="楷体_GB2312" w:eastAsia="楷体_GB2312"/>
          <w:b/>
          <w:bCs/>
        </w:rPr>
        <w:t>（二）各兄弟区大力支持总部经济发展。</w:t>
      </w:r>
      <w:r>
        <w:rPr>
          <w:rFonts w:hint="eastAsia"/>
        </w:rPr>
        <w:t>福田、南山、龙岗、龙华等兄弟区高度重视发展总部经济，不断迭代升级总部经济支持政策，南山区于2</w:t>
      </w:r>
      <w:r>
        <w:t>022</w:t>
      </w:r>
      <w:r>
        <w:rPr>
          <w:rFonts w:hint="eastAsia"/>
        </w:rPr>
        <w:t>年1</w:t>
      </w:r>
      <w:r>
        <w:t>1</w:t>
      </w:r>
      <w:r>
        <w:rPr>
          <w:rFonts w:hint="eastAsia"/>
        </w:rPr>
        <w:t>月实施最新版《</w:t>
      </w:r>
      <w:r>
        <w:t>南山区促进总部企业发展专项扶持措施</w:t>
      </w:r>
      <w:r>
        <w:rPr>
          <w:rFonts w:hint="eastAsia"/>
        </w:rPr>
        <w:t>》，福田区于2</w:t>
      </w:r>
      <w:r>
        <w:t>023</w:t>
      </w:r>
      <w:r>
        <w:rPr>
          <w:rFonts w:hint="eastAsia"/>
        </w:rPr>
        <w:t>年5月实施最新版《</w:t>
      </w:r>
      <w:r>
        <w:t>福田区支持总部经济高质量发展若干政策</w:t>
      </w:r>
      <w:r>
        <w:rPr>
          <w:rFonts w:hint="eastAsia"/>
        </w:rPr>
        <w:t>》</w:t>
      </w:r>
      <w:r>
        <w:rPr>
          <w:rFonts w:hint="eastAsia"/>
          <w:lang w:eastAsia="zh-CN"/>
        </w:rPr>
        <w:t>，龙华区于2024年5月实施最新版《龙华区加快发展总部经济实施办法》，</w:t>
      </w:r>
      <w:r>
        <w:t>前海</w:t>
      </w:r>
      <w:r>
        <w:rPr>
          <w:rFonts w:hint="eastAsia"/>
        </w:rPr>
        <w:t>于2</w:t>
      </w:r>
      <w:r>
        <w:t>022</w:t>
      </w:r>
      <w:r>
        <w:rPr>
          <w:rFonts w:hint="eastAsia"/>
        </w:rPr>
        <w:t>年1</w:t>
      </w:r>
      <w:r>
        <w:t>2</w:t>
      </w:r>
      <w:r>
        <w:rPr>
          <w:rFonts w:hint="eastAsia"/>
        </w:rPr>
        <w:t>月</w:t>
      </w:r>
      <w:r>
        <w:t>印发</w:t>
      </w:r>
      <w:r>
        <w:rPr>
          <w:rFonts w:hint="eastAsia"/>
        </w:rPr>
        <w:t>实施</w:t>
      </w:r>
      <w:r>
        <w:t>《深圳市前海深港现代服务业合作区管理局关于服务深港合作鼓励总部企业发展的实施办法》</w:t>
      </w:r>
      <w:r>
        <w:rPr>
          <w:rFonts w:hint="eastAsia"/>
          <w:lang w:eastAsia="zh-CN"/>
        </w:rPr>
        <w:t>，</w:t>
      </w:r>
      <w:r>
        <w:rPr>
          <w:rFonts w:hint="eastAsia"/>
        </w:rPr>
        <w:t>龙岗区</w:t>
      </w:r>
      <w:r>
        <w:rPr>
          <w:rFonts w:hint="eastAsia"/>
          <w:lang w:eastAsia="zh-CN"/>
        </w:rPr>
        <w:t>正在修订</w:t>
      </w:r>
      <w:r>
        <w:rPr>
          <w:rFonts w:hint="eastAsia"/>
        </w:rPr>
        <w:t>《龙岗区鼓励总部企业高质量发展若干措施》</w:t>
      </w:r>
      <w:r>
        <w:rPr>
          <w:rFonts w:hint="eastAsia"/>
          <w:lang w:eastAsia="zh-CN"/>
        </w:rPr>
        <w:t>。</w:t>
      </w:r>
    </w:p>
    <w:p>
      <w:pPr>
        <w:pStyle w:val="30"/>
        <w:snapToGrid w:val="0"/>
        <w:ind w:firstLine="645"/>
      </w:pPr>
      <w:r>
        <w:rPr>
          <w:rFonts w:hint="eastAsia" w:ascii="楷体_GB2312" w:eastAsia="楷体_GB2312"/>
          <w:b/>
          <w:bCs/>
        </w:rPr>
        <w:t>（三）我区缺失总部经济扶持政策。</w:t>
      </w:r>
      <w:r>
        <w:t>目前，我区</w:t>
      </w:r>
      <w:r>
        <w:rPr>
          <w:rFonts w:hint="eastAsia"/>
        </w:rPr>
        <w:t>部分产业政策文件涉及少量与</w:t>
      </w:r>
      <w:r>
        <w:t>总部企业</w:t>
      </w:r>
      <w:r>
        <w:rPr>
          <w:rFonts w:hint="eastAsia"/>
        </w:rPr>
        <w:t>相关的支持措施</w:t>
      </w:r>
      <w:r>
        <w:t>，主要侧重于对某一具体行业的</w:t>
      </w:r>
      <w:r>
        <w:rPr>
          <w:rFonts w:hint="eastAsia"/>
        </w:rPr>
        <w:t>总部企业引进落地的支持</w:t>
      </w:r>
      <w:r>
        <w:rPr>
          <w:rFonts w:hint="eastAsia"/>
          <w:lang w:eastAsia="zh-CN"/>
        </w:rPr>
        <w:t>，如《光明区关于推动制造业高质量发展的若干措施》（深光府规〔2023〕11号）第三条“对经区产业部门认定的制造业总部企业最高奖励3000万元，并优先解决工业用地需求和优质产业空间需求”。</w:t>
      </w:r>
      <w:r>
        <w:t>相较于深圳市及其他</w:t>
      </w:r>
      <w:r>
        <w:rPr>
          <w:rFonts w:hint="eastAsia"/>
        </w:rPr>
        <w:t>兄弟</w:t>
      </w:r>
      <w:r>
        <w:t>区，</w:t>
      </w:r>
      <w:r>
        <w:rPr>
          <w:rFonts w:hint="eastAsia"/>
        </w:rPr>
        <w:t>我区</w:t>
      </w:r>
      <w:r>
        <w:t>尚未形成一套围绕总部经济发展</w:t>
      </w:r>
      <w:r>
        <w:rPr>
          <w:rFonts w:hint="eastAsia"/>
        </w:rPr>
        <w:t>、</w:t>
      </w:r>
      <w:r>
        <w:t>覆盖全行业</w:t>
      </w:r>
      <w:r>
        <w:rPr>
          <w:rFonts w:hint="eastAsia"/>
        </w:rPr>
        <w:t>、认定方式和标准规范、支持措施完善有力</w:t>
      </w:r>
      <w:r>
        <w:t>的总部</w:t>
      </w:r>
      <w:r>
        <w:rPr>
          <w:rFonts w:hint="eastAsia"/>
        </w:rPr>
        <w:t>经济</w:t>
      </w:r>
      <w:r>
        <w:t>政策</w:t>
      </w:r>
      <w:r>
        <w:rPr>
          <w:rFonts w:hint="eastAsia"/>
        </w:rPr>
        <w:t>文件，</w:t>
      </w:r>
      <w:r>
        <w:t>亟需补齐我区总部经济</w:t>
      </w:r>
      <w:r>
        <w:rPr>
          <w:rFonts w:hint="eastAsia"/>
        </w:rPr>
        <w:t>政策</w:t>
      </w:r>
      <w:r>
        <w:t>短板。</w:t>
      </w:r>
    </w:p>
    <w:p>
      <w:pPr>
        <w:pStyle w:val="30"/>
        <w:snapToGrid w:val="0"/>
        <w:ind w:firstLine="645"/>
      </w:pPr>
      <w:r>
        <w:rPr>
          <w:rFonts w:hint="eastAsia" w:ascii="楷体_GB2312" w:eastAsia="楷体_GB2312"/>
          <w:b/>
          <w:bCs/>
        </w:rPr>
        <w:t>（四）我区发展总部经济的条件日趋成熟。</w:t>
      </w:r>
      <w:r>
        <w:rPr>
          <w:rFonts w:hint="eastAsia"/>
        </w:rPr>
        <w:t>总部经济是推进高质量发展的重要抓手，总部企业在构建现代化产业体系</w:t>
      </w:r>
      <w:bookmarkStart w:id="0" w:name="_GoBack"/>
      <w:bookmarkEnd w:id="0"/>
      <w:r>
        <w:rPr>
          <w:rFonts w:hint="eastAsia"/>
        </w:rPr>
        <w:t>、引领创新发展、融入全球产业链和供应链中发挥着龙头作用。发展总部经济也是打造中心城区的必然选择。当前，我区正举全区之力建设世界一流科学城和深圳北部中心，发展定位跃升，城市核心功能加快完善，发展能级快速提升，发展总部经济的条件日益成熟。可见，我区发展总部经济势在必行，及时出台总部经济支持政策有利于引导和推动我区总部经济高端化、集聚化、高质量发展。</w:t>
      </w:r>
    </w:p>
    <w:p>
      <w:pPr>
        <w:shd w:val="clear" w:color="auto" w:fill="FFFFFF"/>
        <w:snapToGrid w:val="0"/>
        <w:spacing w:line="560" w:lineRule="exact"/>
        <w:ind w:firstLine="640" w:firstLineChars="200"/>
        <w:outlineLvl w:val="1"/>
        <w:rPr>
          <w:rFonts w:ascii="黑体" w:hAnsi="黑体" w:eastAsia="黑体" w:cs="Segoe UI"/>
          <w:kern w:val="0"/>
          <w:sz w:val="32"/>
          <w:szCs w:val="32"/>
        </w:rPr>
      </w:pPr>
      <w:r>
        <w:rPr>
          <w:rFonts w:hint="eastAsia" w:ascii="黑体" w:hAnsi="黑体" w:eastAsia="黑体" w:cs="Segoe UI"/>
          <w:kern w:val="0"/>
          <w:sz w:val="32"/>
          <w:szCs w:val="32"/>
        </w:rPr>
        <w:t>二、必要性及重要意义</w:t>
      </w:r>
    </w:p>
    <w:p>
      <w:pPr>
        <w:pStyle w:val="30"/>
        <w:snapToGrid w:val="0"/>
        <w:ind w:firstLine="645"/>
      </w:pPr>
      <w:r>
        <w:rPr>
          <w:rFonts w:hint="eastAsia" w:ascii="楷体_GB2312" w:eastAsia="楷体_GB2312"/>
          <w:b/>
          <w:bCs/>
        </w:rPr>
        <w:t>（一）贯彻落实我市总部经济发展规划与政策。</w:t>
      </w:r>
      <w:r>
        <w:rPr>
          <w:rFonts w:hint="eastAsia"/>
        </w:rPr>
        <w:t>2023年</w:t>
      </w:r>
      <w:r>
        <w:rPr>
          <w:rFonts w:hint="eastAsia"/>
          <w:lang w:val="en-US" w:eastAsia="zh-CN"/>
        </w:rPr>
        <w:t>11</w:t>
      </w:r>
      <w:r>
        <w:rPr>
          <w:rFonts w:hint="eastAsia"/>
        </w:rPr>
        <w:t>月，市发展改革委</w:t>
      </w:r>
      <w:r>
        <w:rPr>
          <w:rFonts w:hint="eastAsia"/>
          <w:lang w:eastAsia="zh-CN"/>
        </w:rPr>
        <w:t>联合市工业和信息化局、市科技创新委、市商务局、市地方金融监督管理局、市人力资源和社会保障局、市规划和自然资源局、市财政局、市教育局发</w:t>
      </w:r>
      <w:r>
        <w:rPr>
          <w:rFonts w:hint="eastAsia"/>
        </w:rPr>
        <w:t>布《深圳市推动总部经济高质量发展的实施意见》（以下简称《市实施意见》），进一步优化完善总部企业定义、认定方式和标准、支持政策及服务保障等。</w:t>
      </w:r>
      <w:r>
        <w:rPr>
          <w:rFonts w:hint="eastAsia"/>
          <w:lang w:val="en-US" w:eastAsia="zh-CN"/>
        </w:rPr>
        <w:t>2023年</w:t>
      </w:r>
      <w:r>
        <w:t>4月18日，市政府办公厅印发《深圳市总部经济集聚区布局规划》（深府办〔2023〕3号）。</w:t>
      </w:r>
      <w:r>
        <w:rPr>
          <w:rFonts w:hint="eastAsia"/>
          <w:lang w:val="en-US" w:eastAsia="zh-CN"/>
        </w:rPr>
        <w:t>2024年1月9日</w:t>
      </w:r>
      <w:r>
        <w:t>，市商务局</w:t>
      </w:r>
      <w:r>
        <w:rPr>
          <w:rFonts w:hint="eastAsia"/>
        </w:rPr>
        <w:t>也</w:t>
      </w:r>
      <w:r>
        <w:t>发布了《深圳市鼓励跨国公司设立总部企业办法（修订版）》</w:t>
      </w:r>
      <w:r>
        <w:rPr>
          <w:rFonts w:hint="eastAsia"/>
          <w:lang w:eastAsia="zh-CN"/>
        </w:rPr>
        <w:t>，</w:t>
      </w:r>
      <w:r>
        <w:t>在资金奖励上进一步降低门槛、加大支持力度。</w:t>
      </w:r>
      <w:r>
        <w:rPr>
          <w:rFonts w:hint="eastAsia"/>
        </w:rPr>
        <w:t>为衔接并落实好</w:t>
      </w:r>
      <w:r>
        <w:t>市级</w:t>
      </w:r>
      <w:r>
        <w:rPr>
          <w:rFonts w:hint="eastAsia"/>
        </w:rPr>
        <w:t>总部经济</w:t>
      </w:r>
      <w:r>
        <w:t>政策</w:t>
      </w:r>
      <w:r>
        <w:rPr>
          <w:rFonts w:hint="eastAsia"/>
        </w:rPr>
        <w:t>与规划布局要求</w:t>
      </w:r>
      <w:r>
        <w:t>，</w:t>
      </w:r>
      <w:r>
        <w:rPr>
          <w:rFonts w:hint="eastAsia"/>
        </w:rPr>
        <w:t>促进我区总部经济加快发展，有必要出台本《实施办法》。</w:t>
      </w:r>
    </w:p>
    <w:p>
      <w:pPr>
        <w:pStyle w:val="30"/>
        <w:snapToGrid w:val="0"/>
        <w:ind w:firstLine="645"/>
      </w:pPr>
      <w:r>
        <w:rPr>
          <w:rFonts w:hint="eastAsia" w:ascii="楷体_GB2312" w:eastAsia="楷体_GB2312"/>
          <w:b/>
          <w:bCs/>
        </w:rPr>
        <w:t>（二）有利于顺应和把握产业转型转移新形势。</w:t>
      </w:r>
      <w:r>
        <w:rPr>
          <w:rFonts w:hint="eastAsia"/>
        </w:rPr>
        <w:t>过去相当长一段时期及当前，我市及我区土地资源紧缺问题突出，尤其是工业用地用房的增量空间非常有限，存量空间的二次开发及供应周期较长，难以满足工业持续发展的空间需求。且随着用房用地成本、人力资源成本的较快上升，工业企业将生产制造环节外迁甚至将公司整体外迁的趋势明显。支持发展总部经济，把企业的“根”留住，符合我市产业转型转移新形势，也有利于减缓企业外迁对经济发展的压力。</w:t>
      </w:r>
    </w:p>
    <w:p>
      <w:pPr>
        <w:pStyle w:val="30"/>
        <w:snapToGrid w:val="0"/>
        <w:ind w:firstLine="645"/>
      </w:pPr>
      <w:r>
        <w:rPr>
          <w:rFonts w:hint="eastAsia" w:ascii="楷体_GB2312" w:eastAsia="楷体_GB2312"/>
          <w:b/>
          <w:bCs/>
        </w:rPr>
        <w:t>（三）有利于世界一流科学城和深圳北部中心建设。</w:t>
      </w:r>
      <w:r>
        <w:rPr>
          <w:rFonts w:hint="eastAsia"/>
        </w:rPr>
        <w:t>随着被市委市政府赋予建设世界一流科学城和深圳北部中心的新使命，我区在全市乃至全国的战略定位实现跨越式上升。近几年来，我区城市核心功能加快完善，发展能级快速提升，作为北部中心城区的显示度快速上升，对总部企业的吸引力大幅增强。发展总部经济也是打造中心城区的必然选择。</w:t>
      </w:r>
      <w:r>
        <w:t>总部经济伴随着经济全球化而来，经济全球化要求“最经济原则”，即成本最小化、利益最大化。在交通、通讯、金融、物流等系统高度发达</w:t>
      </w:r>
      <w:r>
        <w:rPr>
          <w:rFonts w:hint="eastAsia"/>
        </w:rPr>
        <w:t>地区</w:t>
      </w:r>
      <w:r>
        <w:t>，</w:t>
      </w:r>
      <w:r>
        <w:rPr>
          <w:rFonts w:hint="eastAsia"/>
        </w:rPr>
        <w:t>成为</w:t>
      </w:r>
      <w:r>
        <w:t>许多公司的</w:t>
      </w:r>
      <w:r>
        <w:rPr>
          <w:rFonts w:hint="eastAsia"/>
        </w:rPr>
        <w:t>总部</w:t>
      </w:r>
      <w:r>
        <w:t>办公场所</w:t>
      </w:r>
      <w:r>
        <w:rPr>
          <w:rFonts w:hint="eastAsia"/>
        </w:rPr>
        <w:t>之选</w:t>
      </w:r>
      <w:r>
        <w:t>，总部经济</w:t>
      </w:r>
      <w:r>
        <w:rPr>
          <w:rFonts w:hint="eastAsia"/>
        </w:rPr>
        <w:t>加速集聚发展。发展总部经济，可以为世界一流科学城披上“金色”本底。发展</w:t>
      </w:r>
      <w:r>
        <w:t>总部经济</w:t>
      </w:r>
      <w:r>
        <w:rPr>
          <w:rFonts w:hint="eastAsia"/>
        </w:rPr>
        <w:t>，可以</w:t>
      </w:r>
      <w:r>
        <w:t>给</w:t>
      </w:r>
      <w:r>
        <w:rPr>
          <w:rFonts w:hint="eastAsia"/>
        </w:rPr>
        <w:t>我区</w:t>
      </w:r>
      <w:r>
        <w:t>经济发展带来</w:t>
      </w:r>
      <w:r>
        <w:rPr>
          <w:rFonts w:hint="eastAsia"/>
          <w:lang w:eastAsia="zh-CN"/>
        </w:rPr>
        <w:t>经济</w:t>
      </w:r>
      <w:r>
        <w:t>效应、产业聚集效应、产业关联效应、消费带动效应、就业乘数效应、资本放大效应等明诸多外溢效应</w:t>
      </w:r>
      <w:r>
        <w:rPr>
          <w:rFonts w:hint="eastAsia"/>
        </w:rPr>
        <w:t>，加快提升深圳北部中心的辐射带动作用。</w:t>
      </w:r>
    </w:p>
    <w:p>
      <w:pPr>
        <w:pStyle w:val="30"/>
        <w:snapToGrid w:val="0"/>
        <w:ind w:firstLine="645"/>
      </w:pPr>
      <w:r>
        <w:rPr>
          <w:rFonts w:hint="eastAsia" w:ascii="楷体_GB2312" w:eastAsia="楷体_GB2312"/>
          <w:b/>
          <w:bCs/>
        </w:rPr>
        <w:t>（四）有利于激活我区楼宇经济发展潜力。</w:t>
      </w:r>
      <w:r>
        <w:rPr>
          <w:rFonts w:hint="eastAsia"/>
        </w:rPr>
        <w:t>近几年来，我区一大批高端研发办公楼宇和商业办公楼宇相继建成投用。但以生产制造环节为主要产业形态的地区普遍存在对研发办公楼宇和商业楼宇需求不足的问题，目前我区研发办公楼宇和商业楼宇的空置现象也较为突出。高端研发办公楼宇和商业办公楼宇，</w:t>
      </w:r>
      <w:r>
        <w:t>不是单纯的建筑物，</w:t>
      </w:r>
      <w:r>
        <w:rPr>
          <w:rFonts w:hint="eastAsia"/>
        </w:rPr>
        <w:t>而是可以</w:t>
      </w:r>
      <w:r>
        <w:t>形成一个新的经济平台</w:t>
      </w:r>
      <w:r>
        <w:rPr>
          <w:rFonts w:hint="eastAsia"/>
        </w:rPr>
        <w:t>，是发展总部经济的理想载体。加快发展总部经济，有利于解决我区楼宇空间空置问题，激活楼宇经济发展潜力，促进研发办公楼宇和商业楼宇空间的高效利用。</w:t>
      </w:r>
    </w:p>
    <w:p>
      <w:pPr>
        <w:shd w:val="clear" w:color="auto" w:fill="FFFFFF"/>
        <w:snapToGrid w:val="0"/>
        <w:spacing w:line="560" w:lineRule="exact"/>
        <w:ind w:firstLine="640" w:firstLineChars="200"/>
        <w:outlineLvl w:val="1"/>
        <w:rPr>
          <w:rFonts w:ascii="黑体" w:hAnsi="黑体" w:eastAsia="黑体" w:cs="Segoe UI"/>
          <w:kern w:val="0"/>
          <w:sz w:val="32"/>
          <w:szCs w:val="32"/>
        </w:rPr>
      </w:pPr>
      <w:r>
        <w:rPr>
          <w:rFonts w:hint="eastAsia" w:ascii="黑体" w:hAnsi="黑体" w:eastAsia="黑体" w:cs="Segoe UI"/>
          <w:kern w:val="0"/>
          <w:sz w:val="32"/>
          <w:szCs w:val="32"/>
        </w:rPr>
        <w:t>三、起草依据</w:t>
      </w:r>
    </w:p>
    <w:p>
      <w:pPr>
        <w:snapToGrid w:val="0"/>
        <w:spacing w:line="560" w:lineRule="exact"/>
        <w:ind w:firstLine="642" w:firstLineChars="200"/>
        <w:rPr>
          <w:rFonts w:ascii="仿宋_GB2312" w:hAnsi="仿宋" w:eastAsia="仿宋_GB2312" w:cs="宋体"/>
          <w:sz w:val="32"/>
          <w:szCs w:val="32"/>
        </w:rPr>
      </w:pPr>
      <w:r>
        <w:rPr>
          <w:rFonts w:hint="eastAsia" w:ascii="楷体_GB2312" w:hAnsi="黑体" w:eastAsia="楷体_GB2312"/>
          <w:b/>
          <w:sz w:val="32"/>
          <w:szCs w:val="32"/>
        </w:rPr>
        <w:t>（一）上位政策文件依据。</w:t>
      </w:r>
      <w:r>
        <w:rPr>
          <w:rFonts w:hint="eastAsia" w:ascii="仿宋_GB2312" w:hAnsi="仿宋" w:eastAsia="仿宋_GB2312" w:cs="宋体"/>
          <w:sz w:val="32"/>
          <w:szCs w:val="32"/>
        </w:rPr>
        <w:t>本措施起草主要以</w:t>
      </w:r>
      <w:r>
        <w:rPr>
          <w:rFonts w:ascii="仿宋_GB2312" w:hAnsi="仿宋" w:eastAsia="仿宋_GB2312" w:cs="宋体"/>
          <w:sz w:val="32"/>
          <w:szCs w:val="32"/>
        </w:rPr>
        <w:t>《深圳市推动总部经济高质量发展的实施意见》</w:t>
      </w:r>
      <w:r>
        <w:rPr>
          <w:rFonts w:hint="eastAsia" w:ascii="仿宋_GB2312" w:hAnsi="仿宋" w:eastAsia="仿宋_GB2312" w:cs="宋体"/>
          <w:sz w:val="32"/>
          <w:szCs w:val="32"/>
        </w:rPr>
        <w:t>、</w:t>
      </w:r>
      <w:r>
        <w:rPr>
          <w:rFonts w:ascii="仿宋_GB2312" w:hAnsi="仿宋" w:eastAsia="仿宋_GB2312" w:cs="宋体"/>
          <w:sz w:val="32"/>
          <w:szCs w:val="32"/>
        </w:rPr>
        <w:t>《深圳市鼓励跨国公司设立总部企业办法（修订版）》</w:t>
      </w:r>
      <w:r>
        <w:rPr>
          <w:rFonts w:hint="eastAsia" w:ascii="仿宋_GB2312" w:hAnsi="仿宋" w:eastAsia="仿宋_GB2312" w:cs="宋体"/>
          <w:sz w:val="32"/>
          <w:szCs w:val="32"/>
        </w:rPr>
        <w:t>、</w:t>
      </w:r>
      <w:r>
        <w:rPr>
          <w:rFonts w:ascii="仿宋_GB2312" w:hAnsi="仿宋" w:eastAsia="仿宋_GB2312" w:cs="宋体"/>
          <w:sz w:val="32"/>
          <w:szCs w:val="32"/>
        </w:rPr>
        <w:t>《深圳市总部经济集聚区布局规划》</w:t>
      </w:r>
      <w:r>
        <w:rPr>
          <w:rFonts w:hint="eastAsia" w:ascii="仿宋_GB2312" w:hAnsi="仿宋" w:eastAsia="仿宋_GB2312" w:cs="宋体"/>
          <w:sz w:val="32"/>
          <w:szCs w:val="32"/>
        </w:rPr>
        <w:t>等上位政策文件为依据。</w:t>
      </w:r>
    </w:p>
    <w:p>
      <w:pPr>
        <w:snapToGrid w:val="0"/>
        <w:spacing w:line="560" w:lineRule="exact"/>
        <w:ind w:firstLine="642" w:firstLineChars="200"/>
        <w:rPr>
          <w:rFonts w:ascii="仿宋_GB2312" w:hAnsi="仿宋" w:eastAsia="仿宋_GB2312" w:cs="宋体"/>
          <w:sz w:val="32"/>
          <w:szCs w:val="32"/>
        </w:rPr>
      </w:pPr>
      <w:r>
        <w:rPr>
          <w:rFonts w:hint="eastAsia" w:ascii="楷体_GB2312" w:hAnsi="黑体" w:eastAsia="楷体_GB2312"/>
          <w:b/>
          <w:sz w:val="32"/>
          <w:szCs w:val="32"/>
        </w:rPr>
        <w:t>（二）参考其他地区总部经济政策。</w:t>
      </w:r>
      <w:r>
        <w:rPr>
          <w:rFonts w:hint="eastAsia" w:ascii="仿宋_GB2312" w:hAnsi="仿宋" w:eastAsia="仿宋_GB2312" w:cs="宋体"/>
          <w:sz w:val="32"/>
          <w:szCs w:val="32"/>
        </w:rPr>
        <w:t>主要</w:t>
      </w:r>
      <w:r>
        <w:rPr>
          <w:rFonts w:ascii="仿宋_GB2312" w:hAnsi="仿宋" w:eastAsia="仿宋_GB2312" w:cs="宋体"/>
          <w:sz w:val="32"/>
          <w:szCs w:val="32"/>
        </w:rPr>
        <w:t>参</w:t>
      </w:r>
      <w:r>
        <w:rPr>
          <w:rFonts w:hint="eastAsia" w:ascii="仿宋_GB2312" w:hAnsi="仿宋" w:eastAsia="仿宋_GB2312" w:cs="宋体"/>
          <w:sz w:val="32"/>
          <w:szCs w:val="32"/>
        </w:rPr>
        <w:t>考南山、福田、宝安、龙华、龙岗、前海等区（合作区）的总部经济支持政策，包括《南山区促进总部企业发展专项扶持措施》《福田区支持总部经济高质量发展若干政策》《前海关于服务深港合作鼓励总部企业发展的实施办法》《龙华区加快发展总部经济实施办法》《龙岗区鼓励总部企业高质量发展若干措施征求意见稿》等。</w:t>
      </w:r>
    </w:p>
    <w:p>
      <w:pPr>
        <w:shd w:val="clear" w:color="auto" w:fill="FFFFFF"/>
        <w:snapToGrid w:val="0"/>
        <w:spacing w:line="560" w:lineRule="exact"/>
        <w:ind w:firstLine="640" w:firstLineChars="200"/>
        <w:outlineLvl w:val="1"/>
        <w:rPr>
          <w:rFonts w:ascii="黑体" w:hAnsi="黑体" w:eastAsia="黑体" w:cs="Segoe UI"/>
          <w:kern w:val="0"/>
          <w:sz w:val="32"/>
          <w:szCs w:val="32"/>
        </w:rPr>
      </w:pPr>
      <w:r>
        <w:rPr>
          <w:rFonts w:hint="eastAsia" w:ascii="黑体" w:hAnsi="黑体" w:eastAsia="黑体" w:cs="Segoe UI"/>
          <w:kern w:val="0"/>
          <w:sz w:val="32"/>
          <w:szCs w:val="32"/>
          <w:lang w:eastAsia="zh-CN"/>
        </w:rPr>
        <w:t>四</w:t>
      </w:r>
      <w:r>
        <w:rPr>
          <w:rFonts w:hint="eastAsia" w:ascii="黑体" w:hAnsi="黑体" w:eastAsia="黑体" w:cs="Segoe UI"/>
          <w:kern w:val="0"/>
          <w:sz w:val="32"/>
          <w:szCs w:val="32"/>
        </w:rPr>
        <w:t>、起草思路</w:t>
      </w:r>
    </w:p>
    <w:p>
      <w:pPr>
        <w:shd w:val="clear" w:color="auto" w:fill="FFFFFF"/>
        <w:snapToGrid w:val="0"/>
        <w:spacing w:line="560" w:lineRule="exact"/>
        <w:ind w:firstLine="640" w:firstLineChars="200"/>
        <w:rPr>
          <w:rFonts w:ascii="仿宋_GB2312" w:hAnsi="Segoe UI" w:eastAsia="仿宋_GB2312" w:cs="Segoe UI"/>
          <w:color w:val="000000" w:themeColor="text1"/>
          <w:kern w:val="0"/>
          <w:sz w:val="32"/>
          <w:szCs w:val="32"/>
          <w14:textFill>
            <w14:solidFill>
              <w14:schemeClr w14:val="tx1"/>
            </w14:solidFill>
          </w14:textFill>
        </w:rPr>
      </w:pPr>
      <w:r>
        <w:rPr>
          <w:rFonts w:hint="eastAsia" w:ascii="仿宋_GB2312" w:hAnsi="Segoe UI" w:eastAsia="仿宋_GB2312" w:cs="Segoe UI"/>
          <w:color w:val="000000" w:themeColor="text1"/>
          <w:kern w:val="0"/>
          <w:sz w:val="32"/>
          <w:szCs w:val="32"/>
          <w14:textFill>
            <w14:solidFill>
              <w14:schemeClr w14:val="tx1"/>
            </w14:solidFill>
          </w14:textFill>
        </w:rPr>
        <w:t>本</w:t>
      </w:r>
      <w:r>
        <w:rPr>
          <w:rFonts w:ascii="仿宋_GB2312" w:hAnsi="Segoe UI" w:eastAsia="仿宋_GB2312" w:cs="Segoe UI"/>
          <w:color w:val="000000" w:themeColor="text1"/>
          <w:kern w:val="0"/>
          <w:sz w:val="32"/>
          <w:szCs w:val="32"/>
          <w14:textFill>
            <w14:solidFill>
              <w14:schemeClr w14:val="tx1"/>
            </w14:solidFill>
          </w14:textFill>
        </w:rPr>
        <w:t>《实施办法》</w:t>
      </w:r>
      <w:r>
        <w:rPr>
          <w:rFonts w:hint="eastAsia" w:ascii="仿宋_GB2312" w:hAnsi="Segoe UI" w:eastAsia="仿宋_GB2312" w:cs="Segoe UI"/>
          <w:color w:val="000000" w:themeColor="text1"/>
          <w:kern w:val="0"/>
          <w:sz w:val="32"/>
          <w:szCs w:val="32"/>
          <w14:textFill>
            <w14:solidFill>
              <w14:schemeClr w14:val="tx1"/>
            </w14:solidFill>
          </w14:textFill>
        </w:rPr>
        <w:t>起草</w:t>
      </w:r>
      <w:r>
        <w:rPr>
          <w:rFonts w:ascii="仿宋_GB2312" w:hAnsi="Segoe UI" w:eastAsia="仿宋_GB2312" w:cs="Segoe UI"/>
          <w:color w:val="000000" w:themeColor="text1"/>
          <w:kern w:val="0"/>
          <w:sz w:val="32"/>
          <w:szCs w:val="32"/>
          <w14:textFill>
            <w14:solidFill>
              <w14:schemeClr w14:val="tx1"/>
            </w14:solidFill>
          </w14:textFill>
        </w:rPr>
        <w:t>总体思路：</w:t>
      </w:r>
      <w:r>
        <w:rPr>
          <w:rFonts w:ascii="仿宋_GB2312" w:hAnsi="Segoe UI" w:eastAsia="仿宋_GB2312" w:cs="Segoe UI"/>
          <w:b/>
          <w:bCs/>
          <w:color w:val="000000" w:themeColor="text1"/>
          <w:kern w:val="0"/>
          <w:sz w:val="32"/>
          <w:szCs w:val="32"/>
          <w14:textFill>
            <w14:solidFill>
              <w14:schemeClr w14:val="tx1"/>
            </w14:solidFill>
          </w14:textFill>
        </w:rPr>
        <w:t>一是</w:t>
      </w:r>
      <w:r>
        <w:rPr>
          <w:rFonts w:hint="eastAsia" w:ascii="仿宋_GB2312" w:hAnsi="Segoe UI" w:eastAsia="仿宋_GB2312" w:cs="Segoe UI"/>
          <w:b w:val="0"/>
          <w:bCs w:val="0"/>
          <w:color w:val="000000" w:themeColor="text1"/>
          <w:kern w:val="0"/>
          <w:sz w:val="32"/>
          <w:szCs w:val="32"/>
          <w14:textFill>
            <w14:solidFill>
              <w14:schemeClr w14:val="tx1"/>
            </w14:solidFill>
          </w14:textFill>
        </w:rPr>
        <w:t>贯</w:t>
      </w:r>
      <w:r>
        <w:rPr>
          <w:rFonts w:hint="eastAsia" w:ascii="仿宋_GB2312" w:hAnsi="Segoe UI" w:eastAsia="仿宋_GB2312" w:cs="Segoe UI"/>
          <w:color w:val="000000" w:themeColor="text1"/>
          <w:kern w:val="0"/>
          <w:sz w:val="32"/>
          <w:szCs w:val="32"/>
          <w14:textFill>
            <w14:solidFill>
              <w14:schemeClr w14:val="tx1"/>
            </w14:solidFill>
          </w14:textFill>
        </w:rPr>
        <w:t>彻</w:t>
      </w:r>
      <w:r>
        <w:rPr>
          <w:rFonts w:ascii="仿宋_GB2312" w:hAnsi="Segoe UI" w:eastAsia="仿宋_GB2312" w:cs="Segoe UI"/>
          <w:color w:val="000000" w:themeColor="text1"/>
          <w:kern w:val="0"/>
          <w:sz w:val="32"/>
          <w:szCs w:val="32"/>
          <w14:textFill>
            <w14:solidFill>
              <w14:schemeClr w14:val="tx1"/>
            </w14:solidFill>
          </w14:textFill>
        </w:rPr>
        <w:t>落实上位政策</w:t>
      </w:r>
      <w:r>
        <w:rPr>
          <w:rFonts w:hint="eastAsia" w:ascii="仿宋_GB2312" w:hAnsi="Segoe UI" w:eastAsia="仿宋_GB2312" w:cs="Segoe UI"/>
          <w:color w:val="000000" w:themeColor="text1"/>
          <w:kern w:val="0"/>
          <w:sz w:val="32"/>
          <w:szCs w:val="32"/>
          <w14:textFill>
            <w14:solidFill>
              <w14:schemeClr w14:val="tx1"/>
            </w14:solidFill>
          </w14:textFill>
        </w:rPr>
        <w:t>要求</w:t>
      </w:r>
      <w:r>
        <w:rPr>
          <w:rFonts w:ascii="仿宋_GB2312" w:hAnsi="Segoe UI" w:eastAsia="仿宋_GB2312" w:cs="Segoe UI"/>
          <w:color w:val="000000" w:themeColor="text1"/>
          <w:kern w:val="0"/>
          <w:sz w:val="32"/>
          <w:szCs w:val="32"/>
          <w14:textFill>
            <w14:solidFill>
              <w14:schemeClr w14:val="tx1"/>
            </w14:solidFill>
          </w14:textFill>
        </w:rPr>
        <w:t>。依据</w:t>
      </w:r>
      <w:r>
        <w:rPr>
          <w:rFonts w:ascii="仿宋_GB2312" w:hAnsi="仿宋" w:eastAsia="仿宋_GB2312" w:cs="宋体"/>
          <w:sz w:val="32"/>
          <w:szCs w:val="32"/>
        </w:rPr>
        <w:t>《深圳市推动总部经济高质量发展的实施意见》</w:t>
      </w:r>
      <w:r>
        <w:rPr>
          <w:rFonts w:ascii="仿宋_GB2312" w:hAnsi="Segoe UI" w:eastAsia="仿宋_GB2312" w:cs="Segoe UI"/>
          <w:color w:val="000000" w:themeColor="text1"/>
          <w:kern w:val="0"/>
          <w:sz w:val="32"/>
          <w:szCs w:val="32"/>
          <w14:textFill>
            <w14:solidFill>
              <w14:schemeClr w14:val="tx1"/>
            </w14:solidFill>
          </w14:textFill>
        </w:rPr>
        <w:t>，对</w:t>
      </w:r>
      <w:r>
        <w:rPr>
          <w:rFonts w:hint="eastAsia" w:ascii="仿宋_GB2312" w:hAnsi="Segoe UI" w:eastAsia="仿宋_GB2312" w:cs="Segoe UI"/>
          <w:color w:val="000000" w:themeColor="text1"/>
          <w:kern w:val="0"/>
          <w:sz w:val="32"/>
          <w:szCs w:val="32"/>
          <w14:textFill>
            <w14:solidFill>
              <w14:schemeClr w14:val="tx1"/>
            </w14:solidFill>
          </w14:textFill>
        </w:rPr>
        <w:t>上位政策</w:t>
      </w:r>
      <w:r>
        <w:rPr>
          <w:rFonts w:ascii="仿宋_GB2312" w:hAnsi="Segoe UI" w:eastAsia="仿宋_GB2312" w:cs="Segoe UI"/>
          <w:color w:val="000000" w:themeColor="text1"/>
          <w:kern w:val="0"/>
          <w:sz w:val="32"/>
          <w:szCs w:val="32"/>
          <w14:textFill>
            <w14:solidFill>
              <w14:schemeClr w14:val="tx1"/>
            </w14:solidFill>
          </w14:textFill>
        </w:rPr>
        <w:t>主要内容进行衔接</w:t>
      </w:r>
      <w:r>
        <w:rPr>
          <w:rFonts w:hint="eastAsia" w:ascii="仿宋_GB2312" w:hAnsi="Segoe UI" w:eastAsia="仿宋_GB2312" w:cs="Segoe UI"/>
          <w:color w:val="000000" w:themeColor="text1"/>
          <w:kern w:val="0"/>
          <w:sz w:val="32"/>
          <w:szCs w:val="32"/>
          <w14:textFill>
            <w14:solidFill>
              <w14:schemeClr w14:val="tx1"/>
            </w14:solidFill>
          </w14:textFill>
        </w:rPr>
        <w:t>。</w:t>
      </w:r>
      <w:r>
        <w:rPr>
          <w:rFonts w:ascii="仿宋_GB2312" w:hAnsi="Segoe UI" w:eastAsia="仿宋_GB2312" w:cs="Segoe UI"/>
          <w:b/>
          <w:bCs/>
          <w:color w:val="000000" w:themeColor="text1"/>
          <w:kern w:val="0"/>
          <w:sz w:val="32"/>
          <w:szCs w:val="32"/>
          <w14:textFill>
            <w14:solidFill>
              <w14:schemeClr w14:val="tx1"/>
            </w14:solidFill>
          </w14:textFill>
        </w:rPr>
        <w:t>二是</w:t>
      </w:r>
      <w:r>
        <w:rPr>
          <w:rFonts w:hint="eastAsia" w:ascii="仿宋_GB2312" w:hAnsi="Segoe UI" w:eastAsia="仿宋_GB2312" w:cs="Segoe UI"/>
          <w:color w:val="000000" w:themeColor="text1"/>
          <w:kern w:val="0"/>
          <w:sz w:val="32"/>
          <w:szCs w:val="32"/>
          <w14:textFill>
            <w14:solidFill>
              <w14:schemeClr w14:val="tx1"/>
            </w14:solidFill>
          </w14:textFill>
        </w:rPr>
        <w:t>结合我区实际。在认定条件、支持措施等方面与</w:t>
      </w:r>
      <w:r>
        <w:rPr>
          <w:rFonts w:ascii="仿宋_GB2312" w:hAnsi="Segoe UI" w:eastAsia="仿宋_GB2312" w:cs="Segoe UI"/>
          <w:color w:val="000000" w:themeColor="text1"/>
          <w:kern w:val="0"/>
          <w:sz w:val="32"/>
          <w:szCs w:val="32"/>
          <w14:textFill>
            <w14:solidFill>
              <w14:schemeClr w14:val="tx1"/>
            </w14:solidFill>
          </w14:textFill>
        </w:rPr>
        <w:t>《市实施意见》</w:t>
      </w:r>
      <w:r>
        <w:rPr>
          <w:rFonts w:hint="eastAsia" w:ascii="仿宋_GB2312" w:hAnsi="Segoe UI" w:eastAsia="仿宋_GB2312" w:cs="Segoe UI"/>
          <w:color w:val="000000" w:themeColor="text1"/>
          <w:kern w:val="0"/>
          <w:sz w:val="32"/>
          <w:szCs w:val="32"/>
          <w14:textFill>
            <w14:solidFill>
              <w14:schemeClr w14:val="tx1"/>
            </w14:solidFill>
          </w14:textFill>
        </w:rPr>
        <w:t>合理区分，使之更符合我区发展总部经济实际情况与需要。</w:t>
      </w:r>
      <w:r>
        <w:rPr>
          <w:rFonts w:hint="eastAsia" w:ascii="仿宋_GB2312" w:hAnsi="Segoe UI" w:eastAsia="仿宋_GB2312" w:cs="Segoe UI"/>
          <w:b/>
          <w:bCs/>
          <w:color w:val="000000" w:themeColor="text1"/>
          <w:kern w:val="0"/>
          <w:sz w:val="32"/>
          <w:szCs w:val="32"/>
          <w14:textFill>
            <w14:solidFill>
              <w14:schemeClr w14:val="tx1"/>
            </w14:solidFill>
          </w14:textFill>
        </w:rPr>
        <w:t>三是</w:t>
      </w:r>
      <w:r>
        <w:rPr>
          <w:rFonts w:hint="eastAsia" w:ascii="仿宋_GB2312" w:hAnsi="Segoe UI" w:eastAsia="仿宋_GB2312" w:cs="Segoe UI"/>
          <w:color w:val="000000" w:themeColor="text1"/>
          <w:kern w:val="0"/>
          <w:sz w:val="32"/>
          <w:szCs w:val="32"/>
          <w14:textFill>
            <w14:solidFill>
              <w14:schemeClr w14:val="tx1"/>
            </w14:solidFill>
          </w14:textFill>
        </w:rPr>
        <w:t>健全总部企业扶持，加大支持力度，提升我区发展总部经济的政策优势，吸引总部企业落户光明，鼓励总部企业扎根光明发展。</w:t>
      </w:r>
      <w:r>
        <w:rPr>
          <w:rFonts w:hint="eastAsia" w:ascii="仿宋_GB2312" w:hAnsi="Segoe UI" w:eastAsia="仿宋_GB2312" w:cs="Segoe UI"/>
          <w:b/>
          <w:bCs/>
          <w:color w:val="000000" w:themeColor="text1"/>
          <w:kern w:val="0"/>
          <w:sz w:val="32"/>
          <w:szCs w:val="32"/>
          <w14:textFill>
            <w14:solidFill>
              <w14:schemeClr w14:val="tx1"/>
            </w14:solidFill>
          </w14:textFill>
        </w:rPr>
        <w:t>四是</w:t>
      </w:r>
      <w:r>
        <w:rPr>
          <w:rFonts w:ascii="仿宋_GB2312" w:hAnsi="Segoe UI" w:eastAsia="仿宋_GB2312" w:cs="Segoe UI"/>
          <w:color w:val="000000" w:themeColor="text1"/>
          <w:kern w:val="0"/>
          <w:sz w:val="32"/>
          <w:szCs w:val="32"/>
          <w14:textFill>
            <w14:solidFill>
              <w14:schemeClr w14:val="tx1"/>
            </w14:solidFill>
          </w14:textFill>
        </w:rPr>
        <w:t>做好与</w:t>
      </w:r>
      <w:r>
        <w:rPr>
          <w:rFonts w:hint="eastAsia" w:ascii="仿宋_GB2312" w:hAnsi="Segoe UI" w:eastAsia="仿宋_GB2312" w:cs="Segoe UI"/>
          <w:color w:val="000000" w:themeColor="text1"/>
          <w:kern w:val="0"/>
          <w:sz w:val="32"/>
          <w:szCs w:val="32"/>
          <w14:textFill>
            <w14:solidFill>
              <w14:schemeClr w14:val="tx1"/>
            </w14:solidFill>
          </w14:textFill>
        </w:rPr>
        <w:t>我区其他产业</w:t>
      </w:r>
      <w:r>
        <w:rPr>
          <w:rFonts w:ascii="仿宋_GB2312" w:hAnsi="Segoe UI" w:eastAsia="仿宋_GB2312" w:cs="Segoe UI"/>
          <w:color w:val="000000" w:themeColor="text1"/>
          <w:kern w:val="0"/>
          <w:sz w:val="32"/>
          <w:szCs w:val="32"/>
          <w14:textFill>
            <w14:solidFill>
              <w14:schemeClr w14:val="tx1"/>
            </w14:solidFill>
          </w14:textFill>
        </w:rPr>
        <w:t>政策的衔接。充分考虑区总部</w:t>
      </w:r>
      <w:r>
        <w:rPr>
          <w:rFonts w:hint="eastAsia" w:ascii="仿宋_GB2312" w:hAnsi="Segoe UI" w:eastAsia="仿宋_GB2312" w:cs="Segoe UI"/>
          <w:color w:val="000000" w:themeColor="text1"/>
          <w:kern w:val="0"/>
          <w:sz w:val="32"/>
          <w:szCs w:val="32"/>
          <w14:textFill>
            <w14:solidFill>
              <w14:schemeClr w14:val="tx1"/>
            </w14:solidFill>
          </w14:textFill>
        </w:rPr>
        <w:t>经济</w:t>
      </w:r>
      <w:r>
        <w:rPr>
          <w:rFonts w:ascii="仿宋_GB2312" w:hAnsi="Segoe UI" w:eastAsia="仿宋_GB2312" w:cs="Segoe UI"/>
          <w:color w:val="000000" w:themeColor="text1"/>
          <w:kern w:val="0"/>
          <w:sz w:val="32"/>
          <w:szCs w:val="32"/>
          <w14:textFill>
            <w14:solidFill>
              <w14:schemeClr w14:val="tx1"/>
            </w14:solidFill>
          </w14:textFill>
        </w:rPr>
        <w:t>政策</w:t>
      </w:r>
      <w:r>
        <w:rPr>
          <w:rFonts w:hint="eastAsia" w:ascii="仿宋_GB2312" w:hAnsi="Segoe UI" w:eastAsia="仿宋_GB2312" w:cs="Segoe UI"/>
          <w:color w:val="000000" w:themeColor="text1"/>
          <w:kern w:val="0"/>
          <w:sz w:val="32"/>
          <w:szCs w:val="32"/>
          <w14:textFill>
            <w14:solidFill>
              <w14:schemeClr w14:val="tx1"/>
            </w14:solidFill>
          </w14:textFill>
        </w:rPr>
        <w:t>与产业空间政策、制造业政策等</w:t>
      </w:r>
      <w:r>
        <w:rPr>
          <w:rFonts w:ascii="仿宋_GB2312" w:hAnsi="Segoe UI" w:eastAsia="仿宋_GB2312" w:cs="Segoe UI"/>
          <w:color w:val="000000" w:themeColor="text1"/>
          <w:kern w:val="0"/>
          <w:sz w:val="32"/>
          <w:szCs w:val="32"/>
          <w14:textFill>
            <w14:solidFill>
              <w14:schemeClr w14:val="tx1"/>
            </w14:solidFill>
          </w14:textFill>
        </w:rPr>
        <w:t>其他产业政策</w:t>
      </w:r>
      <w:r>
        <w:rPr>
          <w:rFonts w:hint="eastAsia" w:ascii="仿宋_GB2312" w:hAnsi="Segoe UI" w:eastAsia="仿宋_GB2312" w:cs="Segoe UI"/>
          <w:color w:val="000000" w:themeColor="text1"/>
          <w:kern w:val="0"/>
          <w:sz w:val="32"/>
          <w:szCs w:val="32"/>
          <w14:textFill>
            <w14:solidFill>
              <w14:schemeClr w14:val="tx1"/>
            </w14:solidFill>
          </w14:textFill>
        </w:rPr>
        <w:t>协调衔接。</w:t>
      </w:r>
    </w:p>
    <w:p>
      <w:pPr>
        <w:shd w:val="clear" w:color="auto" w:fill="FFFFFF"/>
        <w:snapToGrid w:val="0"/>
        <w:spacing w:line="560" w:lineRule="exact"/>
        <w:ind w:firstLine="640" w:firstLineChars="200"/>
        <w:outlineLvl w:val="1"/>
        <w:rPr>
          <w:rFonts w:ascii="楷体_GB2312" w:hAnsi="Segoe UI" w:eastAsia="楷体_GB2312" w:cs="Segoe UI"/>
          <w:b/>
          <w:kern w:val="0"/>
          <w:sz w:val="32"/>
          <w:szCs w:val="32"/>
        </w:rPr>
      </w:pPr>
      <w:r>
        <w:rPr>
          <w:rFonts w:hint="eastAsia" w:ascii="黑体" w:hAnsi="黑体" w:eastAsia="黑体" w:cs="Segoe UI"/>
          <w:kern w:val="0"/>
          <w:sz w:val="32"/>
          <w:szCs w:val="32"/>
          <w:lang w:eastAsia="zh-CN"/>
        </w:rPr>
        <w:t>五</w:t>
      </w:r>
      <w:r>
        <w:rPr>
          <w:rFonts w:hint="eastAsia" w:ascii="黑体" w:hAnsi="黑体" w:eastAsia="黑体" w:cs="Segoe UI"/>
          <w:kern w:val="0"/>
          <w:sz w:val="32"/>
          <w:szCs w:val="32"/>
        </w:rPr>
        <w:t>、主要内容</w:t>
      </w:r>
    </w:p>
    <w:p>
      <w:pPr>
        <w:shd w:val="clear" w:color="auto" w:fill="FFFFFF"/>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Segoe UI"/>
          <w:kern w:val="0"/>
          <w:sz w:val="32"/>
          <w:szCs w:val="32"/>
        </w:rPr>
        <w:t>本《实施办法》包括</w:t>
      </w:r>
      <w:r>
        <w:rPr>
          <w:rFonts w:ascii="仿宋_GB2312" w:hAnsi="仿宋_GB2312" w:eastAsia="仿宋_GB2312" w:cs="Times New Roman"/>
          <w:sz w:val="32"/>
          <w:szCs w:val="32"/>
        </w:rPr>
        <w:t>总则、</w:t>
      </w:r>
      <w:r>
        <w:rPr>
          <w:rFonts w:hint="eastAsia" w:ascii="仿宋_GB2312" w:hAnsi="仿宋_GB2312" w:eastAsia="仿宋_GB2312" w:cs="Times New Roman"/>
          <w:sz w:val="32"/>
          <w:szCs w:val="32"/>
        </w:rPr>
        <w:t>认定条件、认定程序、支持政策、管</w:t>
      </w:r>
      <w:r>
        <w:rPr>
          <w:rFonts w:ascii="仿宋_GB2312" w:hAnsi="仿宋_GB2312" w:eastAsia="仿宋_GB2312" w:cs="Times New Roman"/>
          <w:sz w:val="32"/>
          <w:szCs w:val="32"/>
        </w:rPr>
        <w:t>理</w:t>
      </w:r>
      <w:r>
        <w:rPr>
          <w:rFonts w:hint="eastAsia" w:ascii="仿宋_GB2312" w:hAnsi="仿宋_GB2312" w:eastAsia="仿宋_GB2312" w:cs="Times New Roman"/>
          <w:sz w:val="32"/>
          <w:szCs w:val="32"/>
        </w:rPr>
        <w:t>与</w:t>
      </w:r>
      <w:r>
        <w:rPr>
          <w:rFonts w:ascii="仿宋_GB2312" w:hAnsi="仿宋_GB2312" w:eastAsia="仿宋_GB2312" w:cs="Times New Roman"/>
          <w:sz w:val="32"/>
          <w:szCs w:val="32"/>
        </w:rPr>
        <w:t>监督、附则等</w:t>
      </w:r>
      <w:r>
        <w:rPr>
          <w:rFonts w:hint="eastAsia" w:ascii="仿宋_GB2312" w:hAnsi="仿宋_GB2312" w:eastAsia="仿宋_GB2312" w:cs="Times New Roman"/>
          <w:sz w:val="32"/>
          <w:szCs w:val="32"/>
        </w:rPr>
        <w:t>六</w:t>
      </w:r>
      <w:r>
        <w:rPr>
          <w:rFonts w:ascii="仿宋_GB2312" w:hAnsi="仿宋_GB2312" w:eastAsia="仿宋_GB2312" w:cs="Times New Roman"/>
          <w:sz w:val="32"/>
          <w:szCs w:val="32"/>
        </w:rPr>
        <w:t>章，共</w:t>
      </w:r>
      <w:r>
        <w:rPr>
          <w:rFonts w:hint="eastAsia" w:ascii="仿宋_GB2312" w:hAnsi="仿宋_GB2312" w:eastAsia="仿宋_GB2312" w:cs="Times New Roman"/>
          <w:sz w:val="32"/>
          <w:szCs w:val="32"/>
          <w:lang w:val="en-US" w:eastAsia="zh-CN"/>
        </w:rPr>
        <w:t>30</w:t>
      </w:r>
      <w:r>
        <w:rPr>
          <w:rFonts w:ascii="仿宋_GB2312" w:hAnsi="仿宋_GB2312" w:eastAsia="仿宋_GB2312" w:cs="Times New Roman"/>
          <w:sz w:val="32"/>
          <w:szCs w:val="32"/>
        </w:rPr>
        <w:t>条。</w:t>
      </w:r>
      <w:r>
        <w:rPr>
          <w:rFonts w:hint="eastAsia" w:ascii="仿宋_GB2312" w:hAnsi="仿宋_GB2312" w:eastAsia="仿宋_GB2312" w:cs="Segoe UI"/>
          <w:kern w:val="0"/>
          <w:sz w:val="32"/>
          <w:szCs w:val="32"/>
        </w:rPr>
        <w:t>具体如下：</w:t>
      </w:r>
    </w:p>
    <w:p>
      <w:pPr>
        <w:shd w:val="clear" w:color="auto" w:fill="FFFFFF"/>
        <w:snapToGrid w:val="0"/>
        <w:spacing w:line="560" w:lineRule="exact"/>
        <w:ind w:firstLine="642" w:firstLineChars="200"/>
        <w:rPr>
          <w:rFonts w:ascii="仿宋_GB2312" w:hAnsi="仿宋_GB2312" w:eastAsia="仿宋_GB2312" w:cs="Segoe UI"/>
          <w:color w:val="000000" w:themeColor="text1"/>
          <w:kern w:val="0"/>
          <w:sz w:val="32"/>
          <w:szCs w:val="32"/>
          <w14:textFill>
            <w14:solidFill>
              <w14:schemeClr w14:val="tx1"/>
            </w14:solidFill>
          </w14:textFill>
        </w:rPr>
      </w:pPr>
      <w:r>
        <w:rPr>
          <w:rFonts w:hint="eastAsia" w:ascii="楷体_GB2312" w:hAnsi="Segoe UI" w:eastAsia="楷体_GB2312" w:cs="Segoe UI"/>
          <w:b/>
          <w:color w:val="000000" w:themeColor="text1"/>
          <w:kern w:val="0"/>
          <w:sz w:val="32"/>
          <w:szCs w:val="32"/>
          <w14:textFill>
            <w14:solidFill>
              <w14:schemeClr w14:val="tx1"/>
            </w14:solidFill>
          </w14:textFill>
        </w:rPr>
        <w:t>（一）</w:t>
      </w:r>
      <w:r>
        <w:rPr>
          <w:rFonts w:ascii="楷体_GB2312" w:hAnsi="Segoe UI" w:eastAsia="楷体_GB2312" w:cs="Segoe UI"/>
          <w:b/>
          <w:color w:val="000000" w:themeColor="text1"/>
          <w:kern w:val="0"/>
          <w:sz w:val="32"/>
          <w:szCs w:val="32"/>
          <w14:textFill>
            <w14:solidFill>
              <w14:schemeClr w14:val="tx1"/>
            </w14:solidFill>
          </w14:textFill>
        </w:rPr>
        <w:t>第一章 总则</w:t>
      </w:r>
      <w:r>
        <w:rPr>
          <w:rFonts w:hint="eastAsia" w:ascii="楷体_GB2312" w:hAnsi="Segoe UI" w:eastAsia="楷体_GB2312" w:cs="Segoe UI"/>
          <w:b/>
          <w:color w:val="000000" w:themeColor="text1"/>
          <w:kern w:val="0"/>
          <w:sz w:val="32"/>
          <w:szCs w:val="32"/>
          <w14:textFill>
            <w14:solidFill>
              <w14:schemeClr w14:val="tx1"/>
            </w14:solidFill>
          </w14:textFill>
        </w:rPr>
        <w:t>。</w:t>
      </w:r>
      <w:r>
        <w:rPr>
          <w:rFonts w:hint="eastAsia" w:ascii="仿宋_GB2312" w:hAnsi="仿宋_GB2312" w:eastAsia="仿宋_GB2312" w:cs="Segoe UI"/>
          <w:color w:val="000000" w:themeColor="text1"/>
          <w:kern w:val="0"/>
          <w:sz w:val="32"/>
          <w:szCs w:val="32"/>
          <w14:textFill>
            <w14:solidFill>
              <w14:schemeClr w14:val="tx1"/>
            </w14:solidFill>
          </w14:textFill>
        </w:rPr>
        <w:t>本章包括目的和依据、总体原则、定义等</w:t>
      </w:r>
      <w:r>
        <w:rPr>
          <w:rFonts w:hint="eastAsia" w:ascii="仿宋_GB2312" w:hAnsi="仿宋_GB2312" w:eastAsia="仿宋_GB2312" w:cs="Segoe UI"/>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Segoe UI"/>
          <w:color w:val="000000" w:themeColor="text1"/>
          <w:kern w:val="0"/>
          <w:sz w:val="32"/>
          <w:szCs w:val="32"/>
          <w14:textFill>
            <w14:solidFill>
              <w14:schemeClr w14:val="tx1"/>
            </w14:solidFill>
          </w14:textFill>
        </w:rPr>
        <w:t>条。</w:t>
      </w:r>
    </w:p>
    <w:p>
      <w:pPr>
        <w:shd w:val="clear" w:color="auto" w:fill="FFFFFF"/>
        <w:snapToGrid w:val="0"/>
        <w:spacing w:line="560" w:lineRule="exact"/>
        <w:ind w:firstLine="642"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Segoe UI"/>
          <w:b/>
          <w:color w:val="000000" w:themeColor="text1"/>
          <w:kern w:val="0"/>
          <w:sz w:val="32"/>
          <w:szCs w:val="32"/>
          <w14:textFill>
            <w14:solidFill>
              <w14:schemeClr w14:val="tx1"/>
            </w14:solidFill>
          </w14:textFill>
        </w:rPr>
        <w:t>说明：</w:t>
      </w:r>
      <w:r>
        <w:rPr>
          <w:rFonts w:ascii="仿宋_GB2312" w:hAnsi="仿宋_GB2312" w:eastAsia="仿宋_GB2312" w:cs="Times New Roman"/>
          <w:color w:val="000000" w:themeColor="text1"/>
          <w:sz w:val="32"/>
          <w:szCs w:val="32"/>
          <w14:textFill>
            <w14:solidFill>
              <w14:schemeClr w14:val="tx1"/>
            </w14:solidFill>
          </w14:textFill>
        </w:rPr>
        <w:t>本办法所称光明区总部企业，是指经光明区按照规定条件和程序认定，企业商事登记、税务登记和统计关系均在光明区，</w:t>
      </w:r>
      <w:r>
        <w:rPr>
          <w:rFonts w:hint="eastAsia" w:ascii="仿宋_GB2312" w:hAnsi="宋体" w:eastAsia="仿宋_GB2312" w:cs="宋体"/>
          <w:color w:val="000000" w:themeColor="text1"/>
          <w:kern w:val="2"/>
          <w:sz w:val="32"/>
          <w:szCs w:val="32"/>
          <w14:textFill>
            <w14:solidFill>
              <w14:schemeClr w14:val="tx1"/>
            </w14:solidFill>
          </w14:textFill>
        </w:rPr>
        <w:t>对一定区域内的控股企业或分支机构行使</w:t>
      </w:r>
      <w:r>
        <w:rPr>
          <w:rFonts w:hint="eastAsia" w:ascii="仿宋_GB2312" w:hAnsi="仿宋_GB2312" w:eastAsia="仿宋_GB2312" w:cs="仿宋_GB2312"/>
          <w:sz w:val="32"/>
          <w:szCs w:val="32"/>
          <w:lang w:val="en-US" w:eastAsia="zh-CN"/>
        </w:rPr>
        <w:t>总部职能</w:t>
      </w:r>
      <w:r>
        <w:rPr>
          <w:rFonts w:hint="eastAsia" w:ascii="仿宋_GB2312" w:hAnsi="宋体" w:eastAsia="仿宋_GB2312" w:cs="宋体"/>
          <w:color w:val="000000" w:themeColor="text1"/>
          <w:kern w:val="2"/>
          <w:sz w:val="32"/>
          <w:szCs w:val="32"/>
          <w14:textFill>
            <w14:solidFill>
              <w14:schemeClr w14:val="tx1"/>
            </w14:solidFill>
          </w14:textFill>
        </w:rPr>
        <w:t>的独立法人企业、合伙企业及银行分支机构和专营机构</w:t>
      </w:r>
      <w:r>
        <w:rPr>
          <w:rFonts w:ascii="仿宋_GB2312" w:hAnsi="仿宋_GB2312" w:eastAsia="仿宋_GB2312" w:cs="Times New Roman"/>
          <w:color w:val="000000" w:themeColor="text1"/>
          <w:sz w:val="32"/>
          <w:szCs w:val="32"/>
          <w14:textFill>
            <w14:solidFill>
              <w14:schemeClr w14:val="tx1"/>
            </w14:solidFill>
          </w14:textFill>
        </w:rPr>
        <w:t>。</w:t>
      </w:r>
    </w:p>
    <w:p>
      <w:pPr>
        <w:shd w:val="clear" w:color="auto" w:fill="FFFFFF"/>
        <w:snapToGrid w:val="0"/>
        <w:spacing w:line="560" w:lineRule="exact"/>
        <w:ind w:firstLine="642" w:firstLineChars="200"/>
        <w:rPr>
          <w:rFonts w:ascii="仿宋_GB2312" w:hAnsi="仿宋_GB2312" w:eastAsia="仿宋_GB2312" w:cs="Segoe UI"/>
          <w:color w:val="000000" w:themeColor="text1"/>
          <w:kern w:val="0"/>
          <w:sz w:val="32"/>
          <w:szCs w:val="32"/>
          <w14:textFill>
            <w14:solidFill>
              <w14:schemeClr w14:val="tx1"/>
            </w14:solidFill>
          </w14:textFill>
        </w:rPr>
      </w:pPr>
      <w:r>
        <w:rPr>
          <w:rFonts w:hint="eastAsia" w:ascii="楷体_GB2312" w:hAnsi="Segoe UI" w:eastAsia="楷体_GB2312" w:cs="Segoe UI"/>
          <w:b/>
          <w:color w:val="000000" w:themeColor="text1"/>
          <w:kern w:val="0"/>
          <w:sz w:val="32"/>
          <w:szCs w:val="32"/>
          <w14:textFill>
            <w14:solidFill>
              <w14:schemeClr w14:val="tx1"/>
            </w14:solidFill>
          </w14:textFill>
        </w:rPr>
        <w:t>（二）</w:t>
      </w:r>
      <w:r>
        <w:rPr>
          <w:rFonts w:ascii="楷体_GB2312" w:hAnsi="Segoe UI" w:eastAsia="楷体_GB2312" w:cs="Segoe UI"/>
          <w:b/>
          <w:color w:val="000000" w:themeColor="text1"/>
          <w:kern w:val="0"/>
          <w:sz w:val="32"/>
          <w:szCs w:val="32"/>
          <w14:textFill>
            <w14:solidFill>
              <w14:schemeClr w14:val="tx1"/>
            </w14:solidFill>
          </w14:textFill>
        </w:rPr>
        <w:t>第</w:t>
      </w:r>
      <w:r>
        <w:rPr>
          <w:rFonts w:hint="eastAsia" w:ascii="楷体_GB2312" w:hAnsi="Segoe UI" w:eastAsia="楷体_GB2312" w:cs="Segoe UI"/>
          <w:b/>
          <w:color w:val="000000" w:themeColor="text1"/>
          <w:kern w:val="0"/>
          <w:sz w:val="32"/>
          <w:szCs w:val="32"/>
          <w14:textFill>
            <w14:solidFill>
              <w14:schemeClr w14:val="tx1"/>
            </w14:solidFill>
          </w14:textFill>
        </w:rPr>
        <w:t>二</w:t>
      </w:r>
      <w:r>
        <w:rPr>
          <w:rFonts w:ascii="楷体_GB2312" w:hAnsi="Segoe UI" w:eastAsia="楷体_GB2312" w:cs="Segoe UI"/>
          <w:b/>
          <w:color w:val="000000" w:themeColor="text1"/>
          <w:kern w:val="0"/>
          <w:sz w:val="32"/>
          <w:szCs w:val="32"/>
          <w14:textFill>
            <w14:solidFill>
              <w14:schemeClr w14:val="tx1"/>
            </w14:solidFill>
          </w14:textFill>
        </w:rPr>
        <w:t xml:space="preserve">章 </w:t>
      </w:r>
      <w:r>
        <w:rPr>
          <w:rFonts w:hint="eastAsia" w:ascii="楷体_GB2312" w:hAnsi="Segoe UI" w:eastAsia="楷体_GB2312" w:cs="Segoe UI"/>
          <w:b/>
          <w:color w:val="000000" w:themeColor="text1"/>
          <w:kern w:val="0"/>
          <w:sz w:val="32"/>
          <w:szCs w:val="32"/>
          <w14:textFill>
            <w14:solidFill>
              <w14:schemeClr w14:val="tx1"/>
            </w14:solidFill>
          </w14:textFill>
        </w:rPr>
        <w:t>认定条件。</w:t>
      </w:r>
      <w:r>
        <w:rPr>
          <w:rFonts w:hint="eastAsia" w:ascii="仿宋_GB2312" w:hAnsi="仿宋_GB2312" w:eastAsia="仿宋_GB2312" w:cs="Segoe UI"/>
          <w:color w:val="000000" w:themeColor="text1"/>
          <w:kern w:val="0"/>
          <w:sz w:val="32"/>
          <w:szCs w:val="32"/>
          <w14:textFill>
            <w14:solidFill>
              <w14:schemeClr w14:val="tx1"/>
            </w14:solidFill>
          </w14:textFill>
        </w:rPr>
        <w:t>本章包括基本条件、具体</w:t>
      </w:r>
      <w:r>
        <w:rPr>
          <w:rFonts w:hint="eastAsia" w:ascii="仿宋_GB2312" w:hAnsi="仿宋_GB2312" w:eastAsia="仿宋_GB2312" w:cs="Segoe UI"/>
          <w:color w:val="000000" w:themeColor="text1"/>
          <w:kern w:val="0"/>
          <w:sz w:val="32"/>
          <w:szCs w:val="32"/>
          <w:lang w:eastAsia="zh-CN"/>
          <w14:textFill>
            <w14:solidFill>
              <w14:schemeClr w14:val="tx1"/>
            </w14:solidFill>
          </w14:textFill>
        </w:rPr>
        <w:t>条件</w:t>
      </w:r>
      <w:r>
        <w:rPr>
          <w:rFonts w:hint="eastAsia" w:ascii="仿宋_GB2312" w:hAnsi="仿宋_GB2312" w:eastAsia="仿宋_GB2312" w:cs="Segoe UI"/>
          <w:color w:val="000000" w:themeColor="text1"/>
          <w:kern w:val="0"/>
          <w:sz w:val="32"/>
          <w:szCs w:val="32"/>
          <w14:textFill>
            <w14:solidFill>
              <w14:schemeClr w14:val="tx1"/>
            </w14:solidFill>
          </w14:textFill>
        </w:rPr>
        <w:t>等</w:t>
      </w:r>
      <w:r>
        <w:rPr>
          <w:rFonts w:hint="eastAsia" w:ascii="仿宋_GB2312" w:hAnsi="仿宋_GB2312" w:eastAsia="仿宋_GB2312" w:cs="Times New Roman"/>
          <w:sz w:val="32"/>
          <w:szCs w:val="32"/>
          <w:lang w:val="en-US" w:eastAsia="zh-CN"/>
        </w:rPr>
        <w:t>3条</w:t>
      </w:r>
      <w:r>
        <w:rPr>
          <w:rFonts w:hint="eastAsia" w:ascii="仿宋_GB2312" w:hAnsi="仿宋_GB2312" w:eastAsia="仿宋_GB2312" w:cs="Segoe UI"/>
          <w:color w:val="000000" w:themeColor="text1"/>
          <w:kern w:val="0"/>
          <w:sz w:val="32"/>
          <w:szCs w:val="32"/>
          <w14:textFill>
            <w14:solidFill>
              <w14:schemeClr w14:val="tx1"/>
            </w14:solidFill>
          </w14:textFill>
        </w:rPr>
        <w:t>。</w:t>
      </w:r>
    </w:p>
    <w:p>
      <w:pPr>
        <w:shd w:val="clear" w:color="auto" w:fill="FFFFFF"/>
        <w:snapToGrid w:val="0"/>
        <w:spacing w:line="560" w:lineRule="exact"/>
        <w:ind w:firstLine="642" w:firstLineChars="200"/>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
          <w:color w:val="000000" w:themeColor="text1"/>
          <w:kern w:val="0"/>
          <w:sz w:val="32"/>
          <w:szCs w:val="32"/>
          <w14:textFill>
            <w14:solidFill>
              <w14:schemeClr w14:val="tx1"/>
            </w14:solidFill>
          </w14:textFill>
        </w:rPr>
        <w:t>说明：</w:t>
      </w:r>
      <w:r>
        <w:rPr>
          <w:rFonts w:hint="eastAsia" w:ascii="仿宋_GB2312" w:hAnsi="仿宋_GB2312" w:eastAsia="仿宋_GB2312" w:cs="Segoe UI"/>
          <w:bCs/>
          <w:color w:val="000000" w:themeColor="text1"/>
          <w:kern w:val="0"/>
          <w:sz w:val="32"/>
          <w:szCs w:val="32"/>
          <w14:textFill>
            <w14:solidFill>
              <w14:schemeClr w14:val="tx1"/>
            </w14:solidFill>
          </w14:textFill>
        </w:rPr>
        <w:t>关于认定条件，区总部企业具体标准与</w:t>
      </w:r>
      <w:r>
        <w:rPr>
          <w:rFonts w:ascii="仿宋_GB2312" w:hAnsi="仿宋_GB2312" w:eastAsia="仿宋_GB2312" w:cs="Segoe UI"/>
          <w:bCs/>
          <w:color w:val="000000" w:themeColor="text1"/>
          <w:kern w:val="0"/>
          <w:sz w:val="32"/>
          <w:szCs w:val="32"/>
          <w14:textFill>
            <w14:solidFill>
              <w14:schemeClr w14:val="tx1"/>
            </w14:solidFill>
          </w14:textFill>
        </w:rPr>
        <w:t>《市实施意见》</w:t>
      </w:r>
      <w:r>
        <w:rPr>
          <w:rFonts w:hint="eastAsia" w:ascii="仿宋_GB2312" w:hAnsi="仿宋_GB2312" w:eastAsia="仿宋_GB2312" w:cs="Segoe UI"/>
          <w:bCs/>
          <w:color w:val="000000" w:themeColor="text1"/>
          <w:kern w:val="0"/>
          <w:sz w:val="32"/>
          <w:szCs w:val="32"/>
          <w14:textFill>
            <w14:solidFill>
              <w14:schemeClr w14:val="tx1"/>
            </w14:solidFill>
          </w14:textFill>
        </w:rPr>
        <w:t>标准既衔接又有所区别，以更符合我区发展总部经济的实际情况。</w:t>
      </w:r>
    </w:p>
    <w:p>
      <w:pPr>
        <w:shd w:val="clear" w:color="auto" w:fill="FFFFFF"/>
        <w:snapToGrid w:val="0"/>
        <w:spacing w:line="560" w:lineRule="exact"/>
        <w:ind w:firstLine="642" w:firstLineChars="200"/>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
          <w:color w:val="000000" w:themeColor="text1"/>
          <w:kern w:val="0"/>
          <w:sz w:val="32"/>
          <w:szCs w:val="32"/>
          <w14:textFill>
            <w14:solidFill>
              <w14:schemeClr w14:val="tx1"/>
            </w14:solidFill>
          </w14:textFill>
        </w:rPr>
        <w:t>——基本条件。</w:t>
      </w:r>
      <w:r>
        <w:rPr>
          <w:rFonts w:hint="eastAsia" w:ascii="仿宋_GB2312" w:hAnsi="仿宋_GB2312" w:eastAsia="仿宋_GB2312" w:cs="Segoe UI"/>
          <w:bCs/>
          <w:color w:val="000000" w:themeColor="text1"/>
          <w:kern w:val="0"/>
          <w:sz w:val="32"/>
          <w:szCs w:val="32"/>
          <w14:textFill>
            <w14:solidFill>
              <w14:schemeClr w14:val="tx1"/>
            </w14:solidFill>
          </w14:textFill>
        </w:rPr>
        <w:t>包括以</w:t>
      </w:r>
      <w:r>
        <w:rPr>
          <w:rFonts w:hint="eastAsia" w:ascii="仿宋_GB2312" w:hAnsi="仿宋_GB2312" w:eastAsia="仿宋_GB2312" w:cs="Times New Roman"/>
          <w:sz w:val="32"/>
          <w:szCs w:val="32"/>
          <w:lang w:val="en-US" w:eastAsia="zh-CN"/>
        </w:rPr>
        <w:t>下4条</w:t>
      </w:r>
      <w:r>
        <w:rPr>
          <w:rFonts w:hint="eastAsia" w:ascii="仿宋_GB2312" w:hAnsi="仿宋_GB2312" w:eastAsia="仿宋_GB2312" w:cs="Segoe UI"/>
          <w:bCs/>
          <w:color w:val="000000" w:themeColor="text1"/>
          <w:kern w:val="0"/>
          <w:sz w:val="32"/>
          <w:szCs w:val="32"/>
          <w14:textFill>
            <w14:solidFill>
              <w14:schemeClr w14:val="tx1"/>
            </w14:solidFill>
          </w14:textFill>
        </w:rPr>
        <w:t>：</w:t>
      </w:r>
    </w:p>
    <w:p>
      <w:pPr>
        <w:shd w:val="clear" w:color="auto" w:fill="FFFFFF"/>
        <w:snapToGrid w:val="0"/>
        <w:spacing w:line="560" w:lineRule="exact"/>
        <w:ind w:firstLine="640" w:firstLineChars="200"/>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Cs/>
          <w:color w:val="000000" w:themeColor="text1"/>
          <w:kern w:val="0"/>
          <w:sz w:val="32"/>
          <w:szCs w:val="32"/>
          <w14:textFill>
            <w14:solidFill>
              <w14:schemeClr w14:val="tx1"/>
            </w14:solidFill>
          </w14:textFill>
        </w:rPr>
        <w:t>1、</w:t>
      </w:r>
      <w:r>
        <w:rPr>
          <w:rFonts w:ascii="仿宋_GB2312" w:hAnsi="仿宋_GB2312" w:eastAsia="仿宋_GB2312" w:cs="Segoe UI"/>
          <w:bCs/>
          <w:color w:val="000000" w:themeColor="text1"/>
          <w:kern w:val="0"/>
          <w:sz w:val="32"/>
          <w:szCs w:val="32"/>
          <w14:textFill>
            <w14:solidFill>
              <w14:schemeClr w14:val="tx1"/>
            </w14:solidFill>
          </w14:textFill>
        </w:rPr>
        <w:t>符合深圳市和光明区的产业发展战略定位和导向；</w:t>
      </w:r>
    </w:p>
    <w:p>
      <w:pPr>
        <w:shd w:val="clear" w:color="auto" w:fill="FFFFFF"/>
        <w:snapToGrid w:val="0"/>
        <w:spacing w:line="560" w:lineRule="exact"/>
        <w:ind w:firstLine="640" w:firstLineChars="200"/>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Cs/>
          <w:color w:val="000000" w:themeColor="text1"/>
          <w:kern w:val="0"/>
          <w:sz w:val="32"/>
          <w:szCs w:val="32"/>
          <w14:textFill>
            <w14:solidFill>
              <w14:schemeClr w14:val="tx1"/>
            </w14:solidFill>
          </w14:textFill>
        </w:rPr>
        <w:t>2、</w:t>
      </w:r>
      <w:r>
        <w:rPr>
          <w:rFonts w:ascii="仿宋_GB2312" w:hAnsi="仿宋_GB2312" w:eastAsia="仿宋_GB2312" w:cs="Segoe UI"/>
          <w:bCs/>
          <w:color w:val="000000" w:themeColor="text1"/>
          <w:kern w:val="0"/>
          <w:sz w:val="32"/>
          <w:szCs w:val="32"/>
          <w14:textFill>
            <w14:solidFill>
              <w14:schemeClr w14:val="tx1"/>
            </w14:solidFill>
          </w14:textFill>
        </w:rPr>
        <w:t>商事登记、税务登记和统计关系均在光明区；</w:t>
      </w:r>
    </w:p>
    <w:p>
      <w:pPr>
        <w:shd w:val="clear" w:color="auto" w:fill="FFFFFF"/>
        <w:snapToGrid w:val="0"/>
        <w:spacing w:line="560" w:lineRule="exact"/>
        <w:ind w:firstLine="640" w:firstLineChars="200"/>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Cs/>
          <w:color w:val="000000" w:themeColor="text1"/>
          <w:kern w:val="0"/>
          <w:sz w:val="32"/>
          <w:szCs w:val="32"/>
          <w14:textFill>
            <w14:solidFill>
              <w14:schemeClr w14:val="tx1"/>
            </w14:solidFill>
          </w14:textFill>
        </w:rPr>
        <w:t>3、</w:t>
      </w:r>
      <w:r>
        <w:rPr>
          <w:rFonts w:ascii="仿宋_GB2312" w:hAnsi="仿宋_GB2312" w:eastAsia="仿宋_GB2312" w:cs="Segoe UI"/>
          <w:bCs/>
          <w:color w:val="000000" w:themeColor="text1"/>
          <w:kern w:val="0"/>
          <w:sz w:val="32"/>
          <w:szCs w:val="32"/>
          <w14:textFill>
            <w14:solidFill>
              <w14:schemeClr w14:val="tx1"/>
            </w14:solidFill>
          </w14:textFill>
        </w:rPr>
        <w:t>对一定区域内的控股企业或分支机构行使投资控股、经营决策、组织管理等总部管理职能；</w:t>
      </w:r>
    </w:p>
    <w:p>
      <w:pPr>
        <w:widowControl w:val="0"/>
        <w:adjustRightInd w:val="0"/>
        <w:snapToGrid w:val="0"/>
        <w:spacing w:line="560" w:lineRule="exact"/>
        <w:ind w:firstLine="640" w:firstLineChars="200"/>
        <w:jc w:val="both"/>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Segoe UI"/>
          <w:bCs/>
          <w:color w:val="000000" w:themeColor="text1"/>
          <w:kern w:val="0"/>
          <w:sz w:val="32"/>
          <w:szCs w:val="32"/>
          <w14:textFill>
            <w14:solidFill>
              <w14:schemeClr w14:val="tx1"/>
            </w14:solidFill>
          </w14:textFill>
        </w:rPr>
        <w:t>、</w:t>
      </w:r>
      <w:r>
        <w:rPr>
          <w:rFonts w:ascii="仿宋_GB2312" w:hAnsi="仿宋_GB2312" w:eastAsia="仿宋_GB2312" w:cs="Segoe UI"/>
          <w:bCs/>
          <w:color w:val="000000" w:themeColor="text1"/>
          <w:kern w:val="0"/>
          <w:sz w:val="32"/>
          <w:szCs w:val="32"/>
          <w14:textFill>
            <w14:solidFill>
              <w14:schemeClr w14:val="tx1"/>
            </w14:solidFill>
          </w14:textFill>
        </w:rPr>
        <w:t>未被列入严重失信主体名单</w:t>
      </w:r>
      <w:r>
        <w:rPr>
          <w:rFonts w:hint="eastAsia" w:ascii="仿宋_GB2312" w:eastAsia="仿宋_GB2312"/>
          <w:color w:val="000000" w:themeColor="text1"/>
          <w:sz w:val="32"/>
          <w:szCs w:val="32"/>
          <w14:textFill>
            <w14:solidFill>
              <w14:schemeClr w14:val="tx1"/>
            </w14:solidFill>
          </w14:textFill>
        </w:rPr>
        <w:t>，不存在违反失信惩戒措施基础清单相关规定的情形</w:t>
      </w:r>
      <w:r>
        <w:rPr>
          <w:rFonts w:ascii="仿宋_GB2312" w:hAnsi="仿宋_GB2312" w:eastAsia="仿宋_GB2312" w:cs="Segoe UI"/>
          <w:bCs/>
          <w:color w:val="000000" w:themeColor="text1"/>
          <w:kern w:val="0"/>
          <w:sz w:val="32"/>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2" w:firstLineChars="200"/>
        <w:textAlignment w:val="auto"/>
        <w:rPr>
          <w:rFonts w:ascii="仿宋_GB2312" w:hAnsi="仿宋_GB2312" w:eastAsia="仿宋_GB2312" w:cs="Segoe UI"/>
          <w:bCs/>
          <w:color w:val="000000" w:themeColor="text1"/>
          <w:kern w:val="0"/>
          <w:sz w:val="32"/>
          <w:szCs w:val="32"/>
          <w14:textFill>
            <w14:solidFill>
              <w14:schemeClr w14:val="tx1"/>
            </w14:solidFill>
          </w14:textFill>
        </w:rPr>
      </w:pPr>
      <w:r>
        <w:rPr>
          <w:rFonts w:hint="eastAsia" w:ascii="仿宋_GB2312" w:hAnsi="仿宋_GB2312" w:eastAsia="仿宋_GB2312" w:cs="Segoe UI"/>
          <w:b/>
          <w:color w:val="000000" w:themeColor="text1"/>
          <w:kern w:val="0"/>
          <w:sz w:val="32"/>
          <w:szCs w:val="32"/>
          <w14:textFill>
            <w14:solidFill>
              <w14:schemeClr w14:val="tx1"/>
            </w14:solidFill>
          </w14:textFill>
        </w:rPr>
        <w:t>——具体</w:t>
      </w:r>
      <w:r>
        <w:rPr>
          <w:rFonts w:hint="eastAsia" w:ascii="仿宋_GB2312" w:hAnsi="仿宋_GB2312" w:eastAsia="仿宋_GB2312" w:cs="Segoe UI"/>
          <w:b/>
          <w:color w:val="000000" w:themeColor="text1"/>
          <w:kern w:val="0"/>
          <w:sz w:val="32"/>
          <w:szCs w:val="32"/>
          <w:lang w:eastAsia="zh-CN"/>
          <w14:textFill>
            <w14:solidFill>
              <w14:schemeClr w14:val="tx1"/>
            </w14:solidFill>
          </w14:textFill>
        </w:rPr>
        <w:t>条件</w:t>
      </w:r>
      <w:r>
        <w:rPr>
          <w:rFonts w:hint="eastAsia" w:ascii="仿宋_GB2312" w:hAnsi="仿宋_GB2312" w:eastAsia="仿宋_GB2312" w:cs="Segoe UI"/>
          <w:b/>
          <w:color w:val="000000" w:themeColor="text1"/>
          <w:kern w:val="0"/>
          <w:sz w:val="32"/>
          <w:szCs w:val="32"/>
          <w14:textFill>
            <w14:solidFill>
              <w14:schemeClr w14:val="tx1"/>
            </w14:solidFill>
          </w14:textFill>
        </w:rPr>
        <w:t>。</w:t>
      </w:r>
      <w:r>
        <w:rPr>
          <w:rFonts w:hint="eastAsia" w:ascii="仿宋_GB2312" w:hAnsi="仿宋_GB2312" w:eastAsia="仿宋_GB2312" w:cs="Segoe UI"/>
          <w:b w:val="0"/>
          <w:bCs/>
          <w:color w:val="000000" w:themeColor="text1"/>
          <w:kern w:val="0"/>
          <w:sz w:val="32"/>
          <w:szCs w:val="32"/>
          <w:lang w:eastAsia="zh-CN"/>
          <w14:textFill>
            <w14:solidFill>
              <w14:schemeClr w14:val="tx1"/>
            </w14:solidFill>
          </w14:textFill>
        </w:rPr>
        <w:t>分为直接认定和申请认定两类。</w:t>
      </w:r>
      <w:r>
        <w:rPr>
          <w:rFonts w:hint="eastAsia" w:ascii="仿宋_GB2312" w:hAnsi="仿宋_GB2312" w:eastAsia="仿宋_GB2312" w:cs="Segoe UI"/>
          <w:b/>
          <w:bCs w:val="0"/>
          <w:color w:val="000000" w:themeColor="text1"/>
          <w:kern w:val="0"/>
          <w:sz w:val="32"/>
          <w:szCs w:val="32"/>
          <w:lang w:eastAsia="zh-CN"/>
          <w14:textFill>
            <w14:solidFill>
              <w14:schemeClr w14:val="tx1"/>
            </w14:solidFill>
          </w14:textFill>
        </w:rPr>
        <w:t>直接认定：</w:t>
      </w:r>
      <w:r>
        <w:rPr>
          <w:rFonts w:hint="eastAsia" w:ascii="仿宋_GB2312" w:hAnsi="仿宋_GB2312" w:eastAsia="仿宋_GB2312" w:cs="Segoe UI"/>
          <w:b w:val="0"/>
          <w:bCs/>
          <w:color w:val="000000" w:themeColor="text1"/>
          <w:kern w:val="0"/>
          <w:sz w:val="32"/>
          <w:szCs w:val="32"/>
          <w:lang w:eastAsia="zh-CN"/>
          <w14:textFill>
            <w14:solidFill>
              <w14:schemeClr w14:val="tx1"/>
            </w14:solidFill>
          </w14:textFill>
        </w:rPr>
        <w:t>针对深圳市总部企业、世界500强、中国500强、软件百强、上市公司、“独角兽”企业、专精特新“小巨人”等企业，因其已纳入有关权威榜单或经上级有关部门严格审核认定，区里直接认定其为区总部企业。</w:t>
      </w:r>
      <w:r>
        <w:rPr>
          <w:rFonts w:hint="eastAsia" w:ascii="仿宋_GB2312" w:hAnsi="仿宋_GB2312" w:eastAsia="仿宋_GB2312" w:cs="Segoe UI"/>
          <w:b/>
          <w:bCs w:val="0"/>
          <w:color w:val="000000" w:themeColor="text1"/>
          <w:kern w:val="0"/>
          <w:sz w:val="32"/>
          <w:szCs w:val="32"/>
          <w:lang w:eastAsia="zh-CN"/>
          <w14:textFill>
            <w14:solidFill>
              <w14:schemeClr w14:val="tx1"/>
            </w14:solidFill>
          </w14:textFill>
        </w:rPr>
        <w:t>申请认定：</w:t>
      </w:r>
      <w:r>
        <w:rPr>
          <w:rFonts w:hint="eastAsia" w:ascii="仿宋_GB2312" w:hAnsi="仿宋_GB2312" w:eastAsia="仿宋_GB2312" w:cs="Segoe UI"/>
          <w:bCs/>
          <w:color w:val="000000" w:themeColor="text1"/>
          <w:kern w:val="0"/>
          <w:sz w:val="32"/>
          <w:szCs w:val="32"/>
          <w14:textFill>
            <w14:solidFill>
              <w14:schemeClr w14:val="tx1"/>
            </w14:solidFill>
          </w14:textFill>
        </w:rPr>
        <w:t>按行业分为</w:t>
      </w:r>
      <w:r>
        <w:rPr>
          <w:rFonts w:hint="eastAsia" w:ascii="仿宋_GB2312" w:hAnsi="仿宋_GB2312" w:eastAsia="仿宋_GB2312" w:cs="Segoe UI"/>
          <w:bCs/>
          <w:color w:val="000000" w:themeColor="text1"/>
          <w:kern w:val="0"/>
          <w:sz w:val="32"/>
          <w:szCs w:val="32"/>
          <w:lang w:eastAsia="zh-CN"/>
          <w14:textFill>
            <w14:solidFill>
              <w14:schemeClr w14:val="tx1"/>
            </w14:solidFill>
          </w14:textFill>
        </w:rPr>
        <w:t>制造业、建筑业、软件业、金融业等</w:t>
      </w:r>
      <w:r>
        <w:rPr>
          <w:rFonts w:hint="eastAsia" w:ascii="仿宋_GB2312" w:hAnsi="仿宋_GB2312" w:eastAsia="仿宋_GB2312" w:cs="Segoe UI"/>
          <w:bCs/>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Segoe UI"/>
          <w:bCs/>
          <w:color w:val="000000" w:themeColor="text1"/>
          <w:kern w:val="0"/>
          <w:sz w:val="32"/>
          <w:szCs w:val="32"/>
          <w14:textFill>
            <w14:solidFill>
              <w14:schemeClr w14:val="tx1"/>
            </w14:solidFill>
          </w14:textFill>
        </w:rPr>
        <w:t>类，</w:t>
      </w:r>
      <w:r>
        <w:rPr>
          <w:rFonts w:hint="eastAsia" w:ascii="仿宋_GB2312" w:hAnsi="仿宋_GB2312" w:eastAsia="仿宋_GB2312" w:cs="Segoe UI"/>
          <w:bCs/>
          <w:color w:val="000000" w:themeColor="text1"/>
          <w:kern w:val="0"/>
          <w:sz w:val="32"/>
          <w:szCs w:val="32"/>
          <w:lang w:eastAsia="zh-CN"/>
          <w14:textFill>
            <w14:solidFill>
              <w14:schemeClr w14:val="tx1"/>
            </w14:solidFill>
          </w14:textFill>
        </w:rPr>
        <w:t>认定标准均与纳统产值</w:t>
      </w:r>
      <w:r>
        <w:rPr>
          <w:rFonts w:hint="eastAsia" w:ascii="仿宋_GB2312" w:hAnsi="仿宋_GB2312" w:eastAsia="仿宋_GB2312" w:cs="Segoe UI"/>
          <w:bCs/>
          <w:color w:val="000000" w:themeColor="text1"/>
          <w:kern w:val="0"/>
          <w:sz w:val="32"/>
          <w:szCs w:val="32"/>
          <w:lang w:val="en-US" w:eastAsia="zh-CN"/>
          <w14:textFill>
            <w14:solidFill>
              <w14:schemeClr w14:val="tx1"/>
            </w14:solidFill>
          </w14:textFill>
        </w:rPr>
        <w:t>/营收关联。</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2" w:firstLineChars="200"/>
        <w:textAlignment w:val="auto"/>
        <w:rPr>
          <w:rFonts w:ascii="仿宋_GB2312" w:hAnsi="仿宋_GB2312" w:eastAsia="仿宋_GB2312" w:cs="Segoe UI"/>
          <w:color w:val="000000" w:themeColor="text1"/>
          <w:kern w:val="0"/>
          <w:sz w:val="32"/>
          <w:szCs w:val="32"/>
          <w14:textFill>
            <w14:solidFill>
              <w14:schemeClr w14:val="tx1"/>
            </w14:solidFill>
          </w14:textFill>
        </w:rPr>
      </w:pPr>
      <w:r>
        <w:rPr>
          <w:rFonts w:hint="eastAsia" w:ascii="楷体_GB2312" w:hAnsi="楷体_GB2312" w:eastAsia="楷体_GB2312"/>
          <w:b/>
          <w:bCs/>
          <w:sz w:val="32"/>
          <w:szCs w:val="32"/>
        </w:rPr>
        <w:t>（三）</w:t>
      </w:r>
      <w:r>
        <w:rPr>
          <w:rFonts w:ascii="楷体_GB2312" w:hAnsi="楷体_GB2312" w:eastAsia="楷体_GB2312"/>
          <w:b/>
          <w:bCs/>
          <w:sz w:val="32"/>
          <w:szCs w:val="32"/>
        </w:rPr>
        <w:t>第</w:t>
      </w:r>
      <w:r>
        <w:rPr>
          <w:rFonts w:hint="eastAsia" w:ascii="楷体_GB2312" w:hAnsi="楷体_GB2312" w:eastAsia="楷体_GB2312"/>
          <w:b/>
          <w:bCs/>
          <w:sz w:val="32"/>
          <w:szCs w:val="32"/>
        </w:rPr>
        <w:t>三</w:t>
      </w:r>
      <w:r>
        <w:rPr>
          <w:rFonts w:ascii="楷体_GB2312" w:hAnsi="楷体_GB2312" w:eastAsia="楷体_GB2312"/>
          <w:b/>
          <w:bCs/>
          <w:sz w:val="32"/>
          <w:szCs w:val="32"/>
        </w:rPr>
        <w:t xml:space="preserve">章 </w:t>
      </w:r>
      <w:r>
        <w:rPr>
          <w:rFonts w:hint="eastAsia" w:ascii="楷体_GB2312" w:hAnsi="楷体_GB2312" w:eastAsia="楷体_GB2312"/>
          <w:b/>
          <w:bCs/>
          <w:sz w:val="32"/>
          <w:szCs w:val="32"/>
        </w:rPr>
        <w:t>认定程序。</w:t>
      </w:r>
      <w:r>
        <w:rPr>
          <w:rFonts w:hint="eastAsia" w:ascii="仿宋_GB2312" w:hAnsi="仿宋_GB2312" w:eastAsia="仿宋_GB2312" w:cs="Segoe UI"/>
          <w:color w:val="000000" w:themeColor="text1"/>
          <w:kern w:val="0"/>
          <w:sz w:val="32"/>
          <w:szCs w:val="32"/>
          <w14:textFill>
            <w14:solidFill>
              <w14:schemeClr w14:val="tx1"/>
            </w14:solidFill>
          </w14:textFill>
        </w:rPr>
        <w:t>本章包括</w:t>
      </w:r>
      <w:r>
        <w:rPr>
          <w:rFonts w:hint="eastAsia" w:ascii="仿宋_GB2312" w:hAnsi="仿宋_GB2312" w:eastAsia="仿宋_GB2312" w:cs="Segoe UI"/>
          <w:color w:val="000000" w:themeColor="text1"/>
          <w:kern w:val="0"/>
          <w:sz w:val="32"/>
          <w:szCs w:val="32"/>
          <w:lang w:eastAsia="zh-CN"/>
          <w14:textFill>
            <w14:solidFill>
              <w14:schemeClr w14:val="tx1"/>
            </w14:solidFill>
          </w14:textFill>
        </w:rPr>
        <w:t>直接认定程序、申请认定程序、</w:t>
      </w:r>
      <w:r>
        <w:rPr>
          <w:rFonts w:hint="eastAsia" w:ascii="仿宋_GB2312" w:hAnsi="仿宋_GB2312" w:eastAsia="仿宋_GB2312" w:cs="Segoe UI"/>
          <w:color w:val="000000" w:themeColor="text1"/>
          <w:kern w:val="0"/>
          <w:sz w:val="32"/>
          <w:szCs w:val="32"/>
          <w14:textFill>
            <w14:solidFill>
              <w14:schemeClr w14:val="tx1"/>
            </w14:solidFill>
          </w14:textFill>
        </w:rPr>
        <w:t>提出申请、</w:t>
      </w:r>
      <w:r>
        <w:rPr>
          <w:rFonts w:hint="eastAsia" w:ascii="仿宋_GB2312" w:hAnsi="仿宋_GB2312" w:eastAsia="仿宋_GB2312" w:cs="Segoe UI"/>
          <w:color w:val="000000" w:themeColor="text1"/>
          <w:kern w:val="0"/>
          <w:sz w:val="32"/>
          <w:szCs w:val="32"/>
          <w:lang w:eastAsia="zh-CN"/>
          <w14:textFill>
            <w14:solidFill>
              <w14:schemeClr w14:val="tx1"/>
            </w14:solidFill>
          </w14:textFill>
        </w:rPr>
        <w:t>受理申请、</w:t>
      </w:r>
      <w:r>
        <w:rPr>
          <w:rFonts w:hint="eastAsia" w:ascii="仿宋_GB2312" w:hAnsi="仿宋_GB2312" w:eastAsia="仿宋_GB2312" w:cs="Segoe UI"/>
          <w:color w:val="000000" w:themeColor="text1"/>
          <w:kern w:val="0"/>
          <w:sz w:val="32"/>
          <w:szCs w:val="32"/>
          <w14:textFill>
            <w14:solidFill>
              <w14:schemeClr w14:val="tx1"/>
            </w14:solidFill>
          </w14:textFill>
        </w:rPr>
        <w:t>审核审定、公示、纳入名录与授证、驳回</w:t>
      </w:r>
      <w:r>
        <w:rPr>
          <w:rFonts w:hint="eastAsia" w:ascii="仿宋_GB2312" w:hAnsi="仿宋_GB2312" w:eastAsia="仿宋_GB2312" w:cs="Segoe UI"/>
          <w:color w:val="000000" w:themeColor="text1"/>
          <w:kern w:val="0"/>
          <w:sz w:val="32"/>
          <w:szCs w:val="32"/>
          <w:lang w:eastAsia="zh-CN"/>
          <w14:textFill>
            <w14:solidFill>
              <w14:schemeClr w14:val="tx1"/>
            </w14:solidFill>
          </w14:textFill>
        </w:rPr>
        <w:t>认定</w:t>
      </w:r>
      <w:r>
        <w:rPr>
          <w:rFonts w:hint="eastAsia" w:ascii="仿宋_GB2312" w:hAnsi="仿宋_GB2312" w:eastAsia="仿宋_GB2312" w:cs="Segoe UI"/>
          <w:color w:val="000000" w:themeColor="text1"/>
          <w:kern w:val="0"/>
          <w:sz w:val="32"/>
          <w:szCs w:val="32"/>
          <w14:textFill>
            <w14:solidFill>
              <w14:schemeClr w14:val="tx1"/>
            </w14:solidFill>
          </w14:textFill>
        </w:rPr>
        <w:t>、资质复审与动态调整等</w:t>
      </w:r>
      <w:r>
        <w:rPr>
          <w:rFonts w:hint="eastAsia" w:ascii="仿宋_GB2312" w:hAnsi="仿宋_GB2312" w:eastAsia="仿宋_GB2312" w:cs="Segoe UI"/>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Segoe UI"/>
          <w:color w:val="000000" w:themeColor="text1"/>
          <w:kern w:val="0"/>
          <w:sz w:val="32"/>
          <w:szCs w:val="32"/>
          <w14:textFill>
            <w14:solidFill>
              <w14:schemeClr w14:val="tx1"/>
            </w14:solidFill>
          </w14:textFill>
        </w:rPr>
        <w:t>条。</w:t>
      </w:r>
    </w:p>
    <w:p>
      <w:pPr>
        <w:pStyle w:val="6"/>
        <w:snapToGrid w:val="0"/>
        <w:spacing w:line="560" w:lineRule="exact"/>
        <w:ind w:firstLine="642" w:firstLineChars="200"/>
        <w:rPr>
          <w:rFonts w:ascii="仿宋_GB2312" w:hAnsi="仿宋_GB2312" w:eastAsia="仿宋_GB2312" w:cs="Segoe UI"/>
          <w:color w:val="000000" w:themeColor="text1"/>
          <w:kern w:val="0"/>
          <w:sz w:val="32"/>
          <w:szCs w:val="32"/>
          <w14:textFill>
            <w14:solidFill>
              <w14:schemeClr w14:val="tx1"/>
            </w14:solidFill>
          </w14:textFill>
        </w:rPr>
      </w:pPr>
      <w:r>
        <w:rPr>
          <w:rFonts w:hint="eastAsia" w:ascii="仿宋_GB2312" w:hAnsi="仿宋_GB2312" w:eastAsia="仿宋_GB2312" w:cs="Segoe UI"/>
          <w:b/>
          <w:bCs/>
          <w:color w:val="000000" w:themeColor="text1"/>
          <w:kern w:val="0"/>
          <w:sz w:val="32"/>
          <w:szCs w:val="32"/>
          <w14:textFill>
            <w14:solidFill>
              <w14:schemeClr w14:val="tx1"/>
            </w14:solidFill>
          </w14:textFill>
        </w:rPr>
        <w:t>说明：一是</w:t>
      </w:r>
      <w:r>
        <w:rPr>
          <w:rFonts w:ascii="仿宋_GB2312" w:hAnsi="仿宋_GB2312" w:eastAsia="仿宋_GB2312" w:cs="Segoe UI"/>
          <w:color w:val="000000" w:themeColor="text1"/>
          <w:kern w:val="0"/>
          <w:sz w:val="32"/>
          <w:szCs w:val="32"/>
          <w14:textFill>
            <w14:solidFill>
              <w14:schemeClr w14:val="tx1"/>
            </w14:solidFill>
          </w14:textFill>
        </w:rPr>
        <w:t>区总部企业认定采取集中受理、集中评审、集中认定方式，每年组织认定一次。</w:t>
      </w:r>
      <w:r>
        <w:rPr>
          <w:rFonts w:hint="eastAsia" w:ascii="仿宋_GB2312" w:hAnsi="仿宋_GB2312" w:eastAsia="仿宋_GB2312" w:cs="Segoe UI"/>
          <w:b/>
          <w:bCs/>
          <w:color w:val="000000" w:themeColor="text1"/>
          <w:kern w:val="0"/>
          <w:sz w:val="32"/>
          <w:szCs w:val="32"/>
          <w14:textFill>
            <w14:solidFill>
              <w14:schemeClr w14:val="tx1"/>
            </w14:solidFill>
          </w14:textFill>
        </w:rPr>
        <w:t>二是</w:t>
      </w:r>
      <w:r>
        <w:rPr>
          <w:rFonts w:ascii="仿宋_GB2312" w:hAnsi="仿宋_GB2312" w:eastAsia="仿宋_GB2312" w:cs="Segoe UI"/>
          <w:color w:val="000000" w:themeColor="text1"/>
          <w:kern w:val="0"/>
          <w:sz w:val="32"/>
          <w:szCs w:val="32"/>
          <w14:textFill>
            <w14:solidFill>
              <w14:schemeClr w14:val="tx1"/>
            </w14:solidFill>
          </w14:textFill>
        </w:rPr>
        <w:t>实施总部企业复审和动态调整机制。</w:t>
      </w:r>
      <w:r>
        <w:rPr>
          <w:rFonts w:hint="eastAsia" w:ascii="仿宋_GB2312" w:eastAsia="仿宋_GB2312"/>
          <w:color w:val="000000" w:themeColor="text1"/>
          <w:sz w:val="32"/>
          <w:szCs w:val="32"/>
          <w14:textFill>
            <w14:solidFill>
              <w14:schemeClr w14:val="tx1"/>
            </w14:solidFill>
          </w14:textFill>
        </w:rPr>
        <w:t>首次认定满3年后组织开展复审，通过复审的企业，纳入“光明区常青藤总部企业”名录；“光明区常青藤总部企业”每三年复审一次。未通过复审的企业，调出区总部企业名录，</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年内不得申请复审，</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年后符合条件的可再次申请复审</w:t>
      </w:r>
      <w:r>
        <w:rPr>
          <w:rFonts w:ascii="仿宋_GB2312" w:hAnsi="仿宋_GB2312" w:eastAsia="仿宋_GB2312" w:cs="Segoe UI"/>
          <w:color w:val="000000" w:themeColor="text1"/>
          <w:kern w:val="0"/>
          <w:sz w:val="32"/>
          <w:szCs w:val="32"/>
          <w14:textFill>
            <w14:solidFill>
              <w14:schemeClr w14:val="tx1"/>
            </w14:solidFill>
          </w14:textFill>
        </w:rPr>
        <w:t>。</w:t>
      </w:r>
    </w:p>
    <w:p>
      <w:pPr>
        <w:pStyle w:val="6"/>
        <w:snapToGrid w:val="0"/>
        <w:spacing w:line="560" w:lineRule="exact"/>
        <w:ind w:firstLine="642" w:firstLineChars="200"/>
        <w:rPr>
          <w:rFonts w:ascii="仿宋_GB2312" w:hAnsi="仿宋_GB2312" w:eastAsia="仿宋_GB2312" w:cs="Segoe UI"/>
          <w:b/>
          <w:bCs/>
          <w:color w:val="000000" w:themeColor="text1"/>
          <w:kern w:val="0"/>
          <w:sz w:val="32"/>
          <w:szCs w:val="32"/>
          <w14:textFill>
            <w14:solidFill>
              <w14:schemeClr w14:val="tx1"/>
            </w14:solidFill>
          </w14:textFill>
        </w:rPr>
      </w:pPr>
      <w:r>
        <w:rPr>
          <w:rFonts w:hint="eastAsia" w:ascii="楷体_GB2312" w:hAnsi="楷体_GB2312" w:eastAsia="楷体_GB2312"/>
          <w:b/>
          <w:bCs/>
          <w:sz w:val="32"/>
          <w:szCs w:val="32"/>
        </w:rPr>
        <w:t>（四）</w:t>
      </w:r>
      <w:r>
        <w:rPr>
          <w:rFonts w:ascii="楷体_GB2312" w:hAnsi="楷体_GB2312" w:eastAsia="楷体_GB2312"/>
          <w:b/>
          <w:bCs/>
          <w:sz w:val="32"/>
          <w:szCs w:val="32"/>
        </w:rPr>
        <w:t>第</w:t>
      </w:r>
      <w:r>
        <w:rPr>
          <w:rFonts w:hint="eastAsia" w:ascii="楷体_GB2312" w:hAnsi="楷体_GB2312" w:eastAsia="楷体_GB2312"/>
          <w:b/>
          <w:bCs/>
          <w:sz w:val="32"/>
          <w:szCs w:val="32"/>
        </w:rPr>
        <w:t>四</w:t>
      </w:r>
      <w:r>
        <w:rPr>
          <w:rFonts w:ascii="楷体_GB2312" w:hAnsi="楷体_GB2312" w:eastAsia="楷体_GB2312"/>
          <w:b/>
          <w:bCs/>
          <w:sz w:val="32"/>
          <w:szCs w:val="32"/>
        </w:rPr>
        <w:t xml:space="preserve">章 </w:t>
      </w:r>
      <w:r>
        <w:rPr>
          <w:rFonts w:hint="eastAsia" w:ascii="楷体_GB2312" w:hAnsi="楷体_GB2312" w:eastAsia="楷体_GB2312"/>
          <w:b/>
          <w:bCs/>
          <w:sz w:val="32"/>
          <w:szCs w:val="32"/>
        </w:rPr>
        <w:t>支持政策。</w:t>
      </w:r>
      <w:r>
        <w:rPr>
          <w:rFonts w:hint="eastAsia" w:ascii="仿宋_GB2312" w:hAnsi="仿宋_GB2312" w:eastAsia="仿宋_GB2312"/>
          <w:color w:val="040404"/>
          <w:sz w:val="32"/>
          <w:szCs w:val="32"/>
        </w:rPr>
        <w:t>本章包括</w:t>
      </w:r>
      <w:r>
        <w:rPr>
          <w:rFonts w:ascii="仿宋_GB2312" w:hAnsi="仿宋_GB2312" w:eastAsia="仿宋_GB2312"/>
          <w:color w:val="040404"/>
          <w:sz w:val="32"/>
          <w:szCs w:val="32"/>
        </w:rPr>
        <w:t>经济贡献奖励</w:t>
      </w:r>
      <w:r>
        <w:rPr>
          <w:rFonts w:hint="eastAsia" w:ascii="仿宋_GB2312" w:hAnsi="仿宋_GB2312" w:eastAsia="仿宋_GB2312"/>
          <w:color w:val="040404"/>
          <w:sz w:val="32"/>
          <w:szCs w:val="32"/>
        </w:rPr>
        <w:t>、</w:t>
      </w:r>
      <w:r>
        <w:rPr>
          <w:rFonts w:hint="eastAsia" w:ascii="仿宋_GB2312" w:hAnsi="仿宋_GB2312" w:eastAsia="仿宋_GB2312"/>
          <w:color w:val="040404"/>
          <w:sz w:val="32"/>
          <w:szCs w:val="32"/>
          <w:lang w:eastAsia="zh-CN"/>
        </w:rPr>
        <w:t>委外加工支持、</w:t>
      </w:r>
      <w:r>
        <w:rPr>
          <w:rFonts w:ascii="仿宋_GB2312" w:hAnsi="仿宋_GB2312" w:eastAsia="仿宋_GB2312"/>
          <w:color w:val="040404"/>
          <w:sz w:val="32"/>
          <w:szCs w:val="32"/>
        </w:rPr>
        <w:t>常青藤总部企业综合奖励</w:t>
      </w:r>
      <w:r>
        <w:rPr>
          <w:rFonts w:hint="eastAsia" w:ascii="仿宋_GB2312" w:hAnsi="仿宋_GB2312" w:eastAsia="仿宋_GB2312"/>
          <w:color w:val="040404"/>
          <w:sz w:val="32"/>
          <w:szCs w:val="32"/>
        </w:rPr>
        <w:t>、</w:t>
      </w:r>
      <w:r>
        <w:rPr>
          <w:rFonts w:ascii="仿宋_GB2312" w:hAnsi="仿宋_GB2312" w:eastAsia="仿宋_GB2312"/>
          <w:color w:val="040404"/>
          <w:sz w:val="32"/>
          <w:szCs w:val="32"/>
        </w:rPr>
        <w:t>租赁产业用房支持</w:t>
      </w:r>
      <w:r>
        <w:rPr>
          <w:rFonts w:hint="eastAsia" w:ascii="仿宋_GB2312" w:hAnsi="仿宋_GB2312" w:eastAsia="仿宋_GB2312"/>
          <w:color w:val="040404"/>
          <w:sz w:val="32"/>
          <w:szCs w:val="32"/>
        </w:rPr>
        <w:t>、</w:t>
      </w:r>
      <w:r>
        <w:rPr>
          <w:rFonts w:ascii="仿宋_GB2312" w:hAnsi="仿宋_GB2312" w:eastAsia="仿宋_GB2312"/>
          <w:color w:val="040404"/>
          <w:sz w:val="32"/>
          <w:szCs w:val="32"/>
        </w:rPr>
        <w:t>购买办公用房支持</w:t>
      </w:r>
      <w:r>
        <w:rPr>
          <w:rFonts w:hint="eastAsia" w:ascii="仿宋_GB2312" w:hAnsi="仿宋_GB2312" w:eastAsia="仿宋_GB2312"/>
          <w:color w:val="040404"/>
          <w:sz w:val="32"/>
          <w:szCs w:val="32"/>
        </w:rPr>
        <w:t>、</w:t>
      </w:r>
      <w:r>
        <w:rPr>
          <w:rFonts w:ascii="仿宋_GB2312" w:hAnsi="仿宋_GB2312" w:eastAsia="仿宋_GB2312"/>
          <w:color w:val="040404"/>
          <w:sz w:val="32"/>
          <w:szCs w:val="32"/>
        </w:rPr>
        <w:t>用地支持</w:t>
      </w:r>
      <w:r>
        <w:rPr>
          <w:rFonts w:hint="eastAsia" w:ascii="仿宋_GB2312" w:hAnsi="仿宋_GB2312" w:eastAsia="仿宋_GB2312"/>
          <w:color w:val="040404"/>
          <w:sz w:val="32"/>
          <w:szCs w:val="32"/>
        </w:rPr>
        <w:t>、</w:t>
      </w:r>
      <w:r>
        <w:rPr>
          <w:rFonts w:ascii="仿宋_GB2312" w:hAnsi="仿宋_GB2312" w:eastAsia="仿宋_GB2312"/>
          <w:color w:val="040404"/>
          <w:sz w:val="32"/>
          <w:szCs w:val="32"/>
        </w:rPr>
        <w:t>总部企业人才支持</w:t>
      </w:r>
      <w:r>
        <w:rPr>
          <w:rFonts w:hint="eastAsia" w:ascii="仿宋_GB2312" w:hAnsi="仿宋_GB2312" w:eastAsia="仿宋_GB2312"/>
          <w:color w:val="040404"/>
          <w:sz w:val="32"/>
          <w:szCs w:val="32"/>
        </w:rPr>
        <w:t>、</w:t>
      </w:r>
      <w:r>
        <w:rPr>
          <w:rFonts w:ascii="仿宋_GB2312" w:hAnsi="仿宋_GB2312" w:eastAsia="仿宋_GB2312"/>
          <w:color w:val="040404"/>
          <w:sz w:val="32"/>
          <w:szCs w:val="32"/>
        </w:rPr>
        <w:t>限制性情况</w:t>
      </w:r>
      <w:r>
        <w:rPr>
          <w:rFonts w:hint="eastAsia" w:ascii="仿宋_GB2312" w:hAnsi="仿宋_GB2312" w:eastAsia="仿宋_GB2312"/>
          <w:color w:val="040404"/>
          <w:sz w:val="32"/>
          <w:szCs w:val="32"/>
        </w:rPr>
        <w:t>等</w:t>
      </w:r>
      <w:r>
        <w:rPr>
          <w:rFonts w:ascii="仿宋_GB2312" w:hAnsi="仿宋_GB2312" w:eastAsia="仿宋_GB2312"/>
          <w:color w:val="040404"/>
          <w:sz w:val="32"/>
          <w:szCs w:val="32"/>
        </w:rPr>
        <w:t>8</w:t>
      </w:r>
      <w:r>
        <w:rPr>
          <w:rFonts w:hint="eastAsia" w:ascii="仿宋_GB2312" w:hAnsi="仿宋_GB2312" w:eastAsia="仿宋_GB2312"/>
          <w:color w:val="040404"/>
          <w:sz w:val="32"/>
          <w:szCs w:val="32"/>
        </w:rPr>
        <w:t>条。</w:t>
      </w:r>
    </w:p>
    <w:p>
      <w:pPr>
        <w:snapToGrid w:val="0"/>
        <w:spacing w:line="560" w:lineRule="exact"/>
        <w:ind w:firstLine="642" w:firstLineChars="200"/>
        <w:rPr>
          <w:rFonts w:ascii="仿宋_GB2312" w:hAnsi="仿宋_GB2312" w:eastAsia="仿宋_GB2312" w:cs="Segoe UI"/>
          <w:color w:val="000000" w:themeColor="text1"/>
          <w:kern w:val="0"/>
          <w:sz w:val="32"/>
          <w:szCs w:val="32"/>
          <w14:textFill>
            <w14:solidFill>
              <w14:schemeClr w14:val="tx1"/>
            </w14:solidFill>
          </w14:textFill>
        </w:rPr>
      </w:pPr>
      <w:r>
        <w:rPr>
          <w:rFonts w:hint="eastAsia" w:ascii="仿宋_GB2312" w:hAnsi="仿宋_GB2312" w:eastAsia="仿宋_GB2312" w:cs="Segoe UI"/>
          <w:b/>
          <w:bCs/>
          <w:color w:val="000000" w:themeColor="text1"/>
          <w:kern w:val="0"/>
          <w:sz w:val="32"/>
          <w:szCs w:val="32"/>
          <w14:textFill>
            <w14:solidFill>
              <w14:schemeClr w14:val="tx1"/>
            </w14:solidFill>
          </w14:textFill>
        </w:rPr>
        <w:t>说明：一是</w:t>
      </w:r>
      <w:r>
        <w:rPr>
          <w:rFonts w:ascii="仿宋_GB2312" w:hAnsi="仿宋_GB2312" w:eastAsia="仿宋_GB2312" w:cs="Segoe UI"/>
          <w:b/>
          <w:bCs/>
          <w:color w:val="000000" w:themeColor="text1"/>
          <w:kern w:val="0"/>
          <w:sz w:val="32"/>
          <w:szCs w:val="32"/>
          <w14:textFill>
            <w14:solidFill>
              <w14:schemeClr w14:val="tx1"/>
            </w14:solidFill>
          </w14:textFill>
        </w:rPr>
        <w:t>经济贡献奖励</w:t>
      </w:r>
      <w:r>
        <w:rPr>
          <w:rFonts w:hint="eastAsia" w:ascii="仿宋_GB2312" w:hAnsi="仿宋_GB2312" w:eastAsia="仿宋_GB2312" w:cs="Segoe UI"/>
          <w:b/>
          <w:bCs/>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sz w:val="32"/>
          <w:szCs w:val="32"/>
          <w14:textFill>
            <w14:solidFill>
              <w14:schemeClr w14:val="tx1"/>
            </w14:solidFill>
          </w14:textFill>
        </w:rPr>
        <w:t>企业首次认定为区总部企业的后三个年度，年度纳入光明区统计的产值（营业收入）增速高于全区行业产值（营业收入）增速的</w:t>
      </w:r>
      <w:r>
        <w:rPr>
          <w:rFonts w:hint="eastAsia" w:ascii="仿宋_GB2312" w:hAnsi="微软雅黑" w:eastAsia="仿宋_GB2312" w:cs="宋体"/>
          <w:color w:val="000000" w:themeColor="text1"/>
          <w:sz w:val="32"/>
          <w:szCs w:val="32"/>
          <w:lang w:eastAsia="zh-CN"/>
          <w14:textFill>
            <w14:solidFill>
              <w14:schemeClr w14:val="tx1"/>
            </w14:solidFill>
          </w14:textFill>
        </w:rPr>
        <w:t>，</w:t>
      </w:r>
      <w:r>
        <w:rPr>
          <w:rFonts w:hint="eastAsia" w:ascii="仿宋_GB2312" w:hAnsi="微软雅黑" w:eastAsia="仿宋_GB2312" w:cs="宋体"/>
          <w:color w:val="000000" w:themeColor="text1"/>
          <w:sz w:val="32"/>
          <w:szCs w:val="32"/>
          <w14:textFill>
            <w14:solidFill>
              <w14:schemeClr w14:val="tx1"/>
            </w14:solidFill>
          </w14:textFill>
        </w:rPr>
        <w:t>按照产值（营业收入）增量部分的</w:t>
      </w:r>
      <w:r>
        <w:rPr>
          <w:rFonts w:ascii="仿宋_GB2312" w:hAnsi="微软雅黑" w:eastAsia="仿宋_GB2312" w:cs="宋体"/>
          <w:color w:val="000000" w:themeColor="text1"/>
          <w:sz w:val="32"/>
          <w:szCs w:val="32"/>
          <w14:textFill>
            <w14:solidFill>
              <w14:schemeClr w14:val="tx1"/>
            </w14:solidFill>
          </w14:textFill>
        </w:rPr>
        <w:t>1</w:t>
      </w:r>
      <w:r>
        <w:rPr>
          <w:rFonts w:hint="eastAsia" w:ascii="仿宋_GB2312" w:hAnsi="微软雅黑" w:eastAsia="仿宋_GB2312" w:cs="宋体"/>
          <w:color w:val="000000" w:themeColor="text1"/>
          <w:sz w:val="32"/>
          <w:szCs w:val="32"/>
          <w14:textFill>
            <w14:solidFill>
              <w14:schemeClr w14:val="tx1"/>
            </w14:solidFill>
          </w14:textFill>
        </w:rPr>
        <w:t>%、最高</w:t>
      </w:r>
      <w:r>
        <w:rPr>
          <w:rFonts w:hint="eastAsia" w:ascii="仿宋_GB2312" w:hAnsi="微软雅黑" w:eastAsia="仿宋_GB2312" w:cs="宋体"/>
          <w:color w:val="000000" w:themeColor="text1"/>
          <w:sz w:val="32"/>
          <w:szCs w:val="32"/>
          <w:lang w:val="en-US" w:eastAsia="zh-CN"/>
          <w14:textFill>
            <w14:solidFill>
              <w14:schemeClr w14:val="tx1"/>
            </w14:solidFill>
          </w14:textFill>
        </w:rPr>
        <w:t>1000</w:t>
      </w:r>
      <w:r>
        <w:rPr>
          <w:rFonts w:hint="eastAsia" w:ascii="仿宋_GB2312" w:hAnsi="微软雅黑" w:eastAsia="仿宋_GB2312" w:cs="宋体"/>
          <w:color w:val="000000" w:themeColor="text1"/>
          <w:sz w:val="32"/>
          <w:szCs w:val="32"/>
          <w14:textFill>
            <w14:solidFill>
              <w14:schemeClr w14:val="tx1"/>
            </w14:solidFill>
          </w14:textFill>
        </w:rPr>
        <w:t>万元给予奖励</w:t>
      </w:r>
      <w:r>
        <w:rPr>
          <w:rFonts w:ascii="仿宋_GB2312" w:hAnsi="仿宋_GB2312" w:eastAsia="仿宋_GB2312" w:cs="Segoe UI"/>
          <w:color w:val="000000" w:themeColor="text1"/>
          <w:kern w:val="0"/>
          <w:sz w:val="32"/>
          <w:szCs w:val="32"/>
          <w14:textFill>
            <w14:solidFill>
              <w14:schemeClr w14:val="tx1"/>
            </w14:solidFill>
          </w14:textFill>
        </w:rPr>
        <w:t>。</w:t>
      </w:r>
      <w:r>
        <w:rPr>
          <w:rFonts w:hint="eastAsia" w:ascii="仿宋_GB2312" w:hAnsi="仿宋_GB2312" w:eastAsia="仿宋_GB2312" w:cs="Segoe UI"/>
          <w:b/>
          <w:bCs/>
          <w:color w:val="000000" w:themeColor="text1"/>
          <w:kern w:val="0"/>
          <w:sz w:val="32"/>
          <w:szCs w:val="32"/>
          <w:lang w:eastAsia="zh-CN"/>
          <w14:textFill>
            <w14:solidFill>
              <w14:schemeClr w14:val="tx1"/>
            </w14:solidFill>
          </w14:textFill>
        </w:rPr>
        <w:t>二</w:t>
      </w:r>
      <w:r>
        <w:rPr>
          <w:rFonts w:hint="eastAsia" w:ascii="仿宋_GB2312" w:hAnsi="仿宋_GB2312" w:eastAsia="仿宋_GB2312" w:cs="Segoe UI"/>
          <w:b/>
          <w:bCs/>
          <w:color w:val="000000" w:themeColor="text1"/>
          <w:kern w:val="0"/>
          <w:sz w:val="32"/>
          <w:szCs w:val="32"/>
          <w14:textFill>
            <w14:solidFill>
              <w14:schemeClr w14:val="tx1"/>
            </w14:solidFill>
          </w14:textFill>
        </w:rPr>
        <w:t>是</w:t>
      </w:r>
      <w:r>
        <w:rPr>
          <w:rFonts w:ascii="仿宋_GB2312" w:hAnsi="仿宋_GB2312" w:eastAsia="仿宋_GB2312" w:cs="Segoe UI"/>
          <w:b/>
          <w:bCs/>
          <w:color w:val="000000" w:themeColor="text1"/>
          <w:kern w:val="0"/>
          <w:sz w:val="32"/>
          <w:szCs w:val="32"/>
          <w14:textFill>
            <w14:solidFill>
              <w14:schemeClr w14:val="tx1"/>
            </w14:solidFill>
          </w14:textFill>
        </w:rPr>
        <w:t>委外加工支持</w:t>
      </w:r>
      <w:r>
        <w:rPr>
          <w:rFonts w:hint="eastAsia" w:ascii="仿宋_GB2312" w:hAnsi="仿宋_GB2312" w:eastAsia="仿宋_GB2312" w:cs="Segoe UI"/>
          <w:b/>
          <w:bCs/>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鼓励工业总部企业通过委外加工等方式扩大生产和产能回归，按其上年度新增委外加工产值的1</w:t>
      </w:r>
      <w:r>
        <w:rPr>
          <w:rFonts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及存量委外加工产值的1‰给予奖励，年度最高奖励</w:t>
      </w:r>
      <w:r>
        <w:rPr>
          <w:rFonts w:ascii="仿宋_GB2312" w:hAnsi="仿宋" w:eastAsia="仿宋_GB2312" w:cs="宋体"/>
          <w:color w:val="000000" w:themeColor="text1"/>
          <w:sz w:val="32"/>
          <w:szCs w:val="32"/>
          <w14:textFill>
            <w14:solidFill>
              <w14:schemeClr w14:val="tx1"/>
            </w14:solidFill>
          </w14:textFill>
        </w:rPr>
        <w:t>5</w:t>
      </w:r>
      <w:r>
        <w:rPr>
          <w:rFonts w:hint="eastAsia" w:ascii="仿宋_GB2312" w:hAnsi="仿宋" w:eastAsia="仿宋_GB2312" w:cs="宋体"/>
          <w:color w:val="000000" w:themeColor="text1"/>
          <w:sz w:val="32"/>
          <w:szCs w:val="32"/>
          <w14:textFill>
            <w14:solidFill>
              <w14:schemeClr w14:val="tx1"/>
            </w14:solidFill>
          </w14:textFill>
        </w:rPr>
        <w:t>00万元。每家总部企业最多享受3个年度的支持。对获得委外加工支持的企业高管团队，按企业所获委外加工奖励金额的1</w:t>
      </w:r>
      <w:r>
        <w:rPr>
          <w:rFonts w:ascii="仿宋_GB2312" w:hAnsi="仿宋" w:eastAsia="仿宋_GB2312" w:cs="宋体"/>
          <w:color w:val="000000" w:themeColor="text1"/>
          <w:sz w:val="32"/>
          <w:szCs w:val="32"/>
          <w14:textFill>
            <w14:solidFill>
              <w14:schemeClr w14:val="tx1"/>
            </w14:solidFill>
          </w14:textFill>
        </w:rPr>
        <w:t>0%</w:t>
      </w:r>
      <w:r>
        <w:rPr>
          <w:rFonts w:hint="eastAsia" w:ascii="仿宋_GB2312" w:hAnsi="仿宋" w:eastAsia="仿宋_GB2312" w:cs="宋体"/>
          <w:color w:val="000000" w:themeColor="text1"/>
          <w:sz w:val="32"/>
          <w:szCs w:val="32"/>
          <w14:textFill>
            <w14:solidFill>
              <w14:schemeClr w14:val="tx1"/>
            </w14:solidFill>
          </w14:textFill>
        </w:rPr>
        <w:t>，给予其高管团队配套奖励。</w:t>
      </w:r>
      <w:r>
        <w:rPr>
          <w:rFonts w:hint="eastAsia" w:ascii="仿宋_GB2312" w:hAnsi="仿宋_GB2312" w:eastAsia="仿宋_GB2312" w:cs="Segoe UI"/>
          <w:b/>
          <w:color w:val="000000" w:themeColor="text1"/>
          <w:kern w:val="0"/>
          <w:sz w:val="32"/>
          <w:szCs w:val="32"/>
          <w:lang w:eastAsia="zh-CN"/>
          <w14:textFill>
            <w14:solidFill>
              <w14:schemeClr w14:val="tx1"/>
            </w14:solidFill>
          </w14:textFill>
        </w:rPr>
        <w:t>三</w:t>
      </w:r>
      <w:r>
        <w:rPr>
          <w:rFonts w:hint="eastAsia" w:ascii="仿宋_GB2312" w:hAnsi="仿宋_GB2312" w:eastAsia="仿宋_GB2312" w:cs="Segoe UI"/>
          <w:b/>
          <w:color w:val="000000" w:themeColor="text1"/>
          <w:kern w:val="0"/>
          <w:sz w:val="32"/>
          <w:szCs w:val="32"/>
          <w14:textFill>
            <w14:solidFill>
              <w14:schemeClr w14:val="tx1"/>
            </w14:solidFill>
          </w14:textFill>
        </w:rPr>
        <w:t>是</w:t>
      </w:r>
      <w:r>
        <w:rPr>
          <w:rFonts w:ascii="仿宋_GB2312" w:hAnsi="仿宋_GB2312" w:eastAsia="仿宋_GB2312" w:cs="Segoe UI"/>
          <w:b/>
          <w:bCs/>
          <w:color w:val="000000" w:themeColor="text1"/>
          <w:kern w:val="0"/>
          <w:sz w:val="32"/>
          <w:szCs w:val="32"/>
          <w14:textFill>
            <w14:solidFill>
              <w14:schemeClr w14:val="tx1"/>
            </w14:solidFill>
          </w14:textFill>
        </w:rPr>
        <w:t>常青藤总部企业综合奖励</w:t>
      </w:r>
      <w:r>
        <w:rPr>
          <w:rFonts w:hint="eastAsia" w:ascii="仿宋_GB2312" w:hAnsi="仿宋_GB2312" w:eastAsia="仿宋_GB2312" w:cs="Segoe UI"/>
          <w:b/>
          <w:bCs/>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纳入</w:t>
      </w:r>
      <w:r>
        <w:rPr>
          <w:rFonts w:hint="eastAsia" w:ascii="仿宋_GB2312" w:hAnsi="仿宋" w:eastAsia="仿宋_GB2312" w:cs="宋体"/>
          <w:color w:val="000000" w:themeColor="text1"/>
          <w:sz w:val="32"/>
          <w:szCs w:val="32"/>
          <w14:textFill>
            <w14:solidFill>
              <w14:schemeClr w14:val="tx1"/>
            </w14:solidFill>
          </w14:textFill>
        </w:rPr>
        <w:t>“光明区常青藤总部企业”且上年度产值（营业收入）、地方财力贡献均保持正增长的，</w:t>
      </w:r>
      <w:r>
        <w:rPr>
          <w:rFonts w:hint="eastAsia" w:ascii="仿宋_GB2312" w:hAnsi="微软雅黑" w:eastAsia="仿宋_GB2312" w:cs="宋体"/>
          <w:color w:val="000000" w:themeColor="text1"/>
          <w:sz w:val="32"/>
          <w:szCs w:val="32"/>
          <w14:textFill>
            <w14:solidFill>
              <w14:schemeClr w14:val="tx1"/>
            </w14:solidFill>
          </w14:textFill>
        </w:rPr>
        <w:t>按照其</w:t>
      </w:r>
      <w:r>
        <w:rPr>
          <w:rFonts w:hint="eastAsia" w:ascii="仿宋_GB2312" w:hAnsi="仿宋" w:eastAsia="仿宋_GB2312" w:cs="宋体"/>
          <w:color w:val="000000" w:themeColor="text1"/>
          <w:sz w:val="32"/>
          <w:szCs w:val="32"/>
          <w14:textFill>
            <w14:solidFill>
              <w14:schemeClr w14:val="tx1"/>
            </w14:solidFill>
          </w14:textFill>
        </w:rPr>
        <w:t>上年度产值（营业收入）增量</w:t>
      </w:r>
      <w:r>
        <w:rPr>
          <w:rFonts w:hint="eastAsia" w:ascii="仿宋_GB2312" w:hAnsi="微软雅黑" w:eastAsia="仿宋_GB2312" w:cs="宋体"/>
          <w:color w:val="000000" w:themeColor="text1"/>
          <w:sz w:val="32"/>
          <w:szCs w:val="32"/>
          <w14:textFill>
            <w14:solidFill>
              <w14:schemeClr w14:val="tx1"/>
            </w14:solidFill>
          </w14:textFill>
        </w:rPr>
        <w:t>的</w:t>
      </w:r>
      <w:r>
        <w:rPr>
          <w:rFonts w:ascii="仿宋_GB2312" w:hAnsi="微软雅黑" w:eastAsia="仿宋_GB2312" w:cs="宋体"/>
          <w:color w:val="000000" w:themeColor="text1"/>
          <w:sz w:val="32"/>
          <w:szCs w:val="32"/>
          <w14:textFill>
            <w14:solidFill>
              <w14:schemeClr w14:val="tx1"/>
            </w14:solidFill>
          </w14:textFill>
        </w:rPr>
        <w:t>0.5</w:t>
      </w:r>
      <w:r>
        <w:rPr>
          <w:rFonts w:hint="eastAsia" w:ascii="仿宋_GB2312" w:hAnsi="微软雅黑" w:eastAsia="仿宋_GB2312" w:cs="宋体"/>
          <w:color w:val="000000" w:themeColor="text1"/>
          <w:sz w:val="32"/>
          <w:szCs w:val="32"/>
          <w14:textFill>
            <w14:solidFill>
              <w14:schemeClr w14:val="tx1"/>
            </w14:solidFill>
          </w14:textFill>
        </w:rPr>
        <w:t>%、最高</w:t>
      </w:r>
      <w:r>
        <w:rPr>
          <w:rFonts w:ascii="仿宋_GB2312" w:hAnsi="微软雅黑" w:eastAsia="仿宋_GB2312" w:cs="宋体"/>
          <w:color w:val="000000" w:themeColor="text1"/>
          <w:sz w:val="32"/>
          <w:szCs w:val="32"/>
          <w14:textFill>
            <w14:solidFill>
              <w14:schemeClr w14:val="tx1"/>
            </w14:solidFill>
          </w14:textFill>
        </w:rPr>
        <w:t>200</w:t>
      </w:r>
      <w:r>
        <w:rPr>
          <w:rFonts w:hint="eastAsia" w:ascii="仿宋_GB2312" w:hAnsi="微软雅黑" w:eastAsia="仿宋_GB2312" w:cs="宋体"/>
          <w:color w:val="000000" w:themeColor="text1"/>
          <w:sz w:val="32"/>
          <w:szCs w:val="32"/>
          <w14:textFill>
            <w14:solidFill>
              <w14:schemeClr w14:val="tx1"/>
            </w14:solidFill>
          </w14:textFill>
        </w:rPr>
        <w:t>万元给予奖励</w:t>
      </w:r>
      <w:r>
        <w:rPr>
          <w:rFonts w:hint="eastAsia" w:ascii="仿宋_GB2312" w:hAnsi="仿宋_GB2312" w:eastAsia="仿宋_GB2312" w:cs="Segoe UI"/>
          <w:color w:val="000000" w:themeColor="text1"/>
          <w:kern w:val="0"/>
          <w:sz w:val="32"/>
          <w:szCs w:val="32"/>
          <w14:textFill>
            <w14:solidFill>
              <w14:schemeClr w14:val="tx1"/>
            </w14:solidFill>
          </w14:textFill>
        </w:rPr>
        <w:t>。</w:t>
      </w:r>
      <w:r>
        <w:rPr>
          <w:rFonts w:hint="eastAsia" w:ascii="仿宋_GB2312" w:hAnsi="仿宋_GB2312" w:eastAsia="仿宋_GB2312" w:cs="Segoe UI"/>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Segoe UI"/>
          <w:b/>
          <w:bCs/>
          <w:color w:val="000000" w:themeColor="text1"/>
          <w:kern w:val="0"/>
          <w:sz w:val="32"/>
          <w:szCs w:val="32"/>
          <w14:textFill>
            <w14:solidFill>
              <w14:schemeClr w14:val="tx1"/>
            </w14:solidFill>
          </w14:textFill>
        </w:rPr>
        <w:t>是</w:t>
      </w:r>
      <w:r>
        <w:rPr>
          <w:rFonts w:ascii="仿宋_GB2312" w:hAnsi="仿宋_GB2312" w:eastAsia="仿宋_GB2312" w:cs="Segoe UI"/>
          <w:b/>
          <w:bCs/>
          <w:color w:val="000000" w:themeColor="text1"/>
          <w:kern w:val="0"/>
          <w:sz w:val="32"/>
          <w:szCs w:val="32"/>
          <w14:textFill>
            <w14:solidFill>
              <w14:schemeClr w14:val="tx1"/>
            </w14:solidFill>
          </w14:textFill>
        </w:rPr>
        <w:t>租赁产业用房支持</w:t>
      </w:r>
      <w:r>
        <w:rPr>
          <w:rFonts w:hint="eastAsia" w:ascii="仿宋_GB2312" w:hAnsi="仿宋_GB2312" w:eastAsia="仿宋_GB2312" w:cs="Segoe UI"/>
          <w:b/>
          <w:bCs/>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在光明区无自有产业用地的区总部企业，在区内租赁自用产业用房（含厂房、研发办公用房、仓储物流用房、商业办公用房，不包括政策性优惠用房），从首次认定为区总部企业的次年起，连续</w:t>
      </w:r>
      <w:r>
        <w:rPr>
          <w:rFonts w:ascii="仿宋_GB2312" w:hAnsi="宋体" w:eastAsia="仿宋_GB2312" w:cs="宋体"/>
          <w:color w:val="000000" w:themeColor="text1"/>
          <w:sz w:val="32"/>
          <w:szCs w:val="32"/>
          <w14:textFill>
            <w14:solidFill>
              <w14:schemeClr w14:val="tx1"/>
            </w14:solidFill>
          </w14:textFill>
        </w:rPr>
        <w:t>3</w:t>
      </w:r>
      <w:r>
        <w:rPr>
          <w:rFonts w:hint="eastAsia" w:ascii="仿宋_GB2312" w:hAnsi="宋体" w:eastAsia="仿宋_GB2312" w:cs="宋体"/>
          <w:color w:val="000000" w:themeColor="text1"/>
          <w:sz w:val="32"/>
          <w:szCs w:val="32"/>
          <w14:textFill>
            <w14:solidFill>
              <w14:schemeClr w14:val="tx1"/>
            </w14:solidFill>
          </w14:textFill>
        </w:rPr>
        <w:t>年给予租赁产业用房租金补贴。补贴标准为</w:t>
      </w:r>
      <w:r>
        <w:rPr>
          <w:rFonts w:ascii="仿宋_GB2312" w:hAnsi="宋体" w:eastAsia="仿宋_GB2312" w:cs="宋体"/>
          <w:color w:val="000000" w:themeColor="text1"/>
          <w:sz w:val="32"/>
          <w:szCs w:val="32"/>
          <w14:textFill>
            <w14:solidFill>
              <w14:schemeClr w14:val="tx1"/>
            </w14:solidFill>
          </w14:textFill>
        </w:rPr>
        <w:t>20</w:t>
      </w:r>
      <w:r>
        <w:rPr>
          <w:rFonts w:hint="eastAsia" w:ascii="仿宋_GB2312" w:hAnsi="宋体" w:eastAsia="仿宋_GB2312" w:cs="宋体"/>
          <w:color w:val="000000" w:themeColor="text1"/>
          <w:sz w:val="32"/>
          <w:szCs w:val="32"/>
          <w14:textFill>
            <w14:solidFill>
              <w14:schemeClr w14:val="tx1"/>
            </w14:solidFill>
          </w14:textFill>
        </w:rPr>
        <w:t>元/平方米/月，单家企业年度最高资助</w:t>
      </w:r>
      <w:r>
        <w:rPr>
          <w:rFonts w:ascii="仿宋_GB2312" w:hAnsi="宋体" w:eastAsia="仿宋_GB2312" w:cs="宋体"/>
          <w:color w:val="000000" w:themeColor="text1"/>
          <w:sz w:val="32"/>
          <w:szCs w:val="32"/>
          <w14:textFill>
            <w14:solidFill>
              <w14:schemeClr w14:val="tx1"/>
            </w14:solidFill>
          </w14:textFill>
        </w:rPr>
        <w:t>500</w:t>
      </w:r>
      <w:r>
        <w:rPr>
          <w:rFonts w:hint="eastAsia" w:ascii="仿宋_GB2312" w:hAnsi="宋体" w:eastAsia="仿宋_GB2312" w:cs="宋体"/>
          <w:color w:val="000000" w:themeColor="text1"/>
          <w:sz w:val="32"/>
          <w:szCs w:val="32"/>
          <w14:textFill>
            <w14:solidFill>
              <w14:schemeClr w14:val="tx1"/>
            </w14:solidFill>
          </w14:textFill>
        </w:rPr>
        <w:t>万元。</w:t>
      </w:r>
      <w:r>
        <w:rPr>
          <w:rFonts w:hint="eastAsia" w:ascii="仿宋_GB2312" w:hAnsi="仿宋_GB2312" w:eastAsia="仿宋_GB2312" w:cs="Segoe UI"/>
          <w:b/>
          <w:bCs/>
          <w:color w:val="000000" w:themeColor="text1"/>
          <w:kern w:val="0"/>
          <w:sz w:val="32"/>
          <w:szCs w:val="32"/>
          <w:lang w:eastAsia="zh-CN"/>
          <w14:textFill>
            <w14:solidFill>
              <w14:schemeClr w14:val="tx1"/>
            </w14:solidFill>
          </w14:textFill>
        </w:rPr>
        <w:t>五</w:t>
      </w:r>
      <w:r>
        <w:rPr>
          <w:rFonts w:hint="eastAsia" w:ascii="仿宋_GB2312" w:hAnsi="仿宋_GB2312" w:eastAsia="仿宋_GB2312" w:cs="Segoe UI"/>
          <w:b/>
          <w:bCs/>
          <w:color w:val="000000" w:themeColor="text1"/>
          <w:kern w:val="0"/>
          <w:sz w:val="32"/>
          <w:szCs w:val="32"/>
          <w14:textFill>
            <w14:solidFill>
              <w14:schemeClr w14:val="tx1"/>
            </w14:solidFill>
          </w14:textFill>
        </w:rPr>
        <w:t>是</w:t>
      </w:r>
      <w:r>
        <w:rPr>
          <w:rFonts w:ascii="仿宋_GB2312" w:hAnsi="仿宋_GB2312" w:eastAsia="仿宋_GB2312" w:cs="Segoe UI"/>
          <w:b/>
          <w:bCs/>
          <w:color w:val="000000" w:themeColor="text1"/>
          <w:kern w:val="0"/>
          <w:sz w:val="32"/>
          <w:szCs w:val="32"/>
          <w14:textFill>
            <w14:solidFill>
              <w14:schemeClr w14:val="tx1"/>
            </w14:solidFill>
          </w14:textFill>
        </w:rPr>
        <w:t>购买办公用房支持</w:t>
      </w:r>
      <w:r>
        <w:rPr>
          <w:rFonts w:hint="eastAsia" w:ascii="仿宋_GB2312" w:hAnsi="仿宋_GB2312" w:eastAsia="仿宋_GB2312" w:cs="Segoe UI"/>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在本区无自有产业用地的区总部企业，在区内购置自用研发办公用房</w:t>
      </w:r>
      <w:r>
        <w:rPr>
          <w:rFonts w:hint="eastAsia" w:ascii="仿宋_GB2312" w:hAnsi="宋体" w:eastAsia="仿宋_GB2312" w:cs="宋体"/>
          <w:color w:val="000000" w:themeColor="text1"/>
          <w:sz w:val="32"/>
          <w:szCs w:val="32"/>
          <w14:textFill>
            <w14:solidFill>
              <w14:schemeClr w14:val="tx1"/>
            </w14:solidFill>
          </w14:textFill>
        </w:rPr>
        <w:t>（含研发办公用房、商业楼宇，</w:t>
      </w:r>
      <w:r>
        <w:rPr>
          <w:rFonts w:hint="eastAsia" w:ascii="仿宋_GB2312" w:hAnsi="仿宋_GB2312" w:eastAsia="仿宋_GB2312" w:cs="仿宋_GB2312"/>
          <w:color w:val="000000" w:themeColor="text1"/>
          <w:sz w:val="32"/>
          <w:szCs w:val="32"/>
          <w14:textFill>
            <w14:solidFill>
              <w14:schemeClr w14:val="tx1"/>
            </w14:solidFill>
          </w14:textFill>
        </w:rPr>
        <w:t>不含政策性优惠用房），按实际购房金额的10%、最高</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000万元给予资助，分3年拨付</w:t>
      </w:r>
      <w:r>
        <w:rPr>
          <w:rFonts w:ascii="仿宋_GB2312" w:hAnsi="仿宋_GB2312" w:eastAsia="仿宋_GB2312" w:cs="Segoe UI"/>
          <w:color w:val="000000" w:themeColor="text1"/>
          <w:kern w:val="0"/>
          <w:sz w:val="32"/>
          <w:szCs w:val="32"/>
          <w14:textFill>
            <w14:solidFill>
              <w14:schemeClr w14:val="tx1"/>
            </w14:solidFill>
          </w14:textFill>
        </w:rPr>
        <w:t>。</w:t>
      </w:r>
      <w:r>
        <w:rPr>
          <w:rFonts w:hint="eastAsia" w:ascii="仿宋_GB2312" w:hAnsi="仿宋_GB2312" w:eastAsia="仿宋_GB2312" w:cs="Segoe UI"/>
          <w:b/>
          <w:bCs/>
          <w:color w:val="000000" w:themeColor="text1"/>
          <w:kern w:val="0"/>
          <w:sz w:val="32"/>
          <w:szCs w:val="32"/>
          <w:lang w:eastAsia="zh-CN"/>
          <w14:textFill>
            <w14:solidFill>
              <w14:schemeClr w14:val="tx1"/>
            </w14:solidFill>
          </w14:textFill>
        </w:rPr>
        <w:t>六</w:t>
      </w:r>
      <w:r>
        <w:rPr>
          <w:rFonts w:hint="eastAsia" w:ascii="仿宋_GB2312" w:hAnsi="仿宋_GB2312" w:eastAsia="仿宋_GB2312" w:cs="Segoe UI"/>
          <w:b/>
          <w:bCs/>
          <w:color w:val="000000" w:themeColor="text1"/>
          <w:kern w:val="0"/>
          <w:sz w:val="32"/>
          <w:szCs w:val="32"/>
          <w14:textFill>
            <w14:solidFill>
              <w14:schemeClr w14:val="tx1"/>
            </w14:solidFill>
          </w14:textFill>
        </w:rPr>
        <w:t>是用地支持。</w:t>
      </w:r>
      <w:r>
        <w:rPr>
          <w:rFonts w:hint="eastAsia" w:ascii="仿宋_GB2312" w:hAnsi="仿宋_GB2312" w:eastAsia="仿宋_GB2312" w:cs="仿宋_GB2312"/>
          <w:color w:val="000000" w:themeColor="text1"/>
          <w:sz w:val="32"/>
          <w:szCs w:val="32"/>
          <w14:textFill>
            <w14:solidFill>
              <w14:schemeClr w14:val="tx1"/>
            </w14:solidFill>
          </w14:textFill>
        </w:rPr>
        <w:t>符合条件的总部企业可以独立或联合申请总部用地建设自用总部大厦，并按相关规定享受地价优惠</w:t>
      </w:r>
      <w:r>
        <w:rPr>
          <w:rFonts w:ascii="仿宋_GB2312" w:hAnsi="仿宋_GB2312" w:eastAsia="仿宋_GB2312" w:cs="Segoe UI"/>
          <w:color w:val="000000" w:themeColor="text1"/>
          <w:kern w:val="0"/>
          <w:sz w:val="32"/>
          <w:szCs w:val="32"/>
          <w14:textFill>
            <w14:solidFill>
              <w14:schemeClr w14:val="tx1"/>
            </w14:solidFill>
          </w14:textFill>
        </w:rPr>
        <w:t>。</w:t>
      </w:r>
      <w:r>
        <w:rPr>
          <w:rFonts w:hint="eastAsia" w:ascii="仿宋_GB2312" w:hAnsi="仿宋_GB2312" w:eastAsia="仿宋_GB2312" w:cs="Segoe UI"/>
          <w:b/>
          <w:bCs/>
          <w:color w:val="000000" w:themeColor="text1"/>
          <w:kern w:val="0"/>
          <w:sz w:val="32"/>
          <w:szCs w:val="32"/>
          <w14:textFill>
            <w14:solidFill>
              <w14:schemeClr w14:val="tx1"/>
            </w14:solidFill>
          </w14:textFill>
        </w:rPr>
        <w:t>七是</w:t>
      </w:r>
      <w:r>
        <w:rPr>
          <w:rFonts w:ascii="仿宋_GB2312" w:hAnsi="仿宋_GB2312" w:eastAsia="仿宋_GB2312" w:cs="Segoe UI"/>
          <w:b/>
          <w:bCs/>
          <w:color w:val="000000" w:themeColor="text1"/>
          <w:kern w:val="0"/>
          <w:sz w:val="32"/>
          <w:szCs w:val="32"/>
          <w14:textFill>
            <w14:solidFill>
              <w14:schemeClr w14:val="tx1"/>
            </w14:solidFill>
          </w14:textFill>
        </w:rPr>
        <w:t>总部企业人才支持</w:t>
      </w:r>
      <w:r>
        <w:rPr>
          <w:rFonts w:hint="eastAsia" w:ascii="仿宋_GB2312" w:hAnsi="仿宋_GB2312" w:eastAsia="仿宋_GB2312" w:cs="Segoe UI"/>
          <w:b/>
          <w:bCs/>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区总部企业的董事、监事、高管等高级管理人才，符合有关规定条件的，按每人每年最高</w:t>
      </w:r>
      <w:r>
        <w:rPr>
          <w:rFonts w:hint="eastAsia" w:ascii="仿宋_GB2312" w:hAnsi="仿宋" w:eastAsia="仿宋_GB2312" w:cs="宋体"/>
          <w:color w:val="000000" w:themeColor="text1"/>
          <w:sz w:val="32"/>
          <w:szCs w:val="32"/>
          <w:lang w:val="en-US" w:eastAsia="zh-CN"/>
          <w14:textFill>
            <w14:solidFill>
              <w14:schemeClr w14:val="tx1"/>
            </w14:solidFill>
          </w14:textFill>
        </w:rPr>
        <w:t>5</w:t>
      </w:r>
      <w:r>
        <w:rPr>
          <w:rFonts w:ascii="仿宋_GB2312" w:hAnsi="仿宋" w:eastAsia="仿宋_GB2312" w:cs="宋体"/>
          <w:color w:val="000000" w:themeColor="text1"/>
          <w:sz w:val="32"/>
          <w:szCs w:val="32"/>
          <w14:textFill>
            <w14:solidFill>
              <w14:schemeClr w14:val="tx1"/>
            </w14:solidFill>
          </w14:textFill>
        </w:rPr>
        <w:t>0</w:t>
      </w:r>
      <w:r>
        <w:rPr>
          <w:rFonts w:hint="eastAsia" w:ascii="仿宋_GB2312" w:hAnsi="仿宋" w:eastAsia="仿宋_GB2312" w:cs="宋体"/>
          <w:color w:val="000000" w:themeColor="text1"/>
          <w:sz w:val="32"/>
          <w:szCs w:val="32"/>
          <w14:textFill>
            <w14:solidFill>
              <w14:schemeClr w14:val="tx1"/>
            </w14:solidFill>
          </w14:textFill>
        </w:rPr>
        <w:t>万元给予奖励。每家企业每年享受本项支持的人数不超过</w:t>
      </w:r>
      <w:r>
        <w:rPr>
          <w:rFonts w:ascii="仿宋_GB2312" w:hAnsi="仿宋" w:eastAsia="仿宋_GB2312" w:cs="宋体"/>
          <w:color w:val="000000" w:themeColor="text1"/>
          <w:sz w:val="32"/>
          <w:szCs w:val="32"/>
          <w14:textFill>
            <w14:solidFill>
              <w14:schemeClr w14:val="tx1"/>
            </w14:solidFill>
          </w14:textFill>
        </w:rPr>
        <w:t>5</w:t>
      </w:r>
      <w:r>
        <w:rPr>
          <w:rFonts w:hint="eastAsia" w:ascii="仿宋_GB2312" w:hAnsi="仿宋" w:eastAsia="仿宋_GB2312" w:cs="宋体"/>
          <w:color w:val="000000" w:themeColor="text1"/>
          <w:sz w:val="32"/>
          <w:szCs w:val="32"/>
          <w14:textFill>
            <w14:solidFill>
              <w14:schemeClr w14:val="tx1"/>
            </w14:solidFill>
          </w14:textFill>
        </w:rPr>
        <w:t>人。每家总部企业最多享受3个年度的支</w:t>
      </w:r>
      <w:r>
        <w:rPr>
          <w:rFonts w:ascii="仿宋_GB2312" w:hAnsi="仿宋_GB2312" w:eastAsia="仿宋_GB2312" w:cs="Segoe UI"/>
          <w:color w:val="000000" w:themeColor="text1"/>
          <w:kern w:val="0"/>
          <w:sz w:val="32"/>
          <w:szCs w:val="32"/>
          <w14:textFill>
            <w14:solidFill>
              <w14:schemeClr w14:val="tx1"/>
            </w14:solidFill>
          </w14:textFill>
        </w:rPr>
        <w:t>持。</w:t>
      </w:r>
    </w:p>
    <w:p>
      <w:pPr>
        <w:pStyle w:val="6"/>
        <w:snapToGrid w:val="0"/>
        <w:spacing w:line="560" w:lineRule="exact"/>
        <w:ind w:firstLine="642" w:firstLineChars="200"/>
        <w:rPr>
          <w:rFonts w:ascii="仿宋_GB2312" w:hAnsi="仿宋_GB2312" w:eastAsia="仿宋_GB2312"/>
          <w:color w:val="040404"/>
          <w:kern w:val="0"/>
          <w:sz w:val="32"/>
          <w:szCs w:val="32"/>
        </w:rPr>
      </w:pPr>
      <w:r>
        <w:rPr>
          <w:rFonts w:hint="eastAsia" w:ascii="楷体_GB2312" w:hAnsi="楷体_GB2312" w:eastAsia="楷体_GB2312"/>
          <w:b/>
          <w:bCs/>
          <w:sz w:val="32"/>
          <w:szCs w:val="32"/>
        </w:rPr>
        <w:t>（五）</w:t>
      </w:r>
      <w:r>
        <w:rPr>
          <w:rFonts w:ascii="楷体_GB2312" w:hAnsi="楷体_GB2312" w:eastAsia="楷体_GB2312"/>
          <w:b/>
          <w:bCs/>
          <w:sz w:val="32"/>
          <w:szCs w:val="32"/>
        </w:rPr>
        <w:t>第</w:t>
      </w:r>
      <w:r>
        <w:rPr>
          <w:rFonts w:hint="eastAsia" w:ascii="楷体_GB2312" w:hAnsi="楷体_GB2312" w:eastAsia="楷体_GB2312"/>
          <w:b/>
          <w:bCs/>
          <w:sz w:val="32"/>
          <w:szCs w:val="32"/>
        </w:rPr>
        <w:t>五</w:t>
      </w:r>
      <w:r>
        <w:rPr>
          <w:rFonts w:ascii="楷体_GB2312" w:hAnsi="楷体_GB2312" w:eastAsia="楷体_GB2312"/>
          <w:b/>
          <w:bCs/>
          <w:sz w:val="32"/>
          <w:szCs w:val="32"/>
        </w:rPr>
        <w:t>章 管理</w:t>
      </w:r>
      <w:r>
        <w:rPr>
          <w:rFonts w:hint="eastAsia" w:ascii="楷体_GB2312" w:hAnsi="楷体_GB2312" w:eastAsia="楷体_GB2312"/>
          <w:b/>
          <w:bCs/>
          <w:sz w:val="32"/>
          <w:szCs w:val="32"/>
        </w:rPr>
        <w:t>与</w:t>
      </w:r>
      <w:r>
        <w:rPr>
          <w:rFonts w:ascii="楷体_GB2312" w:hAnsi="楷体_GB2312" w:eastAsia="楷体_GB2312"/>
          <w:b/>
          <w:bCs/>
          <w:sz w:val="32"/>
          <w:szCs w:val="32"/>
        </w:rPr>
        <w:t>监督</w:t>
      </w:r>
      <w:r>
        <w:rPr>
          <w:rFonts w:hint="eastAsia" w:ascii="楷体_GB2312" w:hAnsi="楷体_GB2312" w:eastAsia="楷体_GB2312"/>
          <w:b/>
          <w:bCs/>
          <w:sz w:val="32"/>
          <w:szCs w:val="32"/>
        </w:rPr>
        <w:t>。</w:t>
      </w:r>
      <w:r>
        <w:rPr>
          <w:rFonts w:hint="eastAsia" w:ascii="仿宋_GB2312" w:hAnsi="仿宋_GB2312" w:eastAsia="仿宋_GB2312"/>
          <w:color w:val="040404"/>
          <w:kern w:val="0"/>
          <w:sz w:val="32"/>
          <w:szCs w:val="32"/>
        </w:rPr>
        <w:t>本章包括支持政策落实、监督管理、企业责任、绩效评价等4条。</w:t>
      </w:r>
    </w:p>
    <w:p>
      <w:pPr>
        <w:pStyle w:val="11"/>
        <w:widowControl/>
        <w:snapToGrid w:val="0"/>
        <w:spacing w:before="0" w:beforeAutospacing="0" w:after="0" w:afterAutospacing="0" w:line="560" w:lineRule="exact"/>
        <w:ind w:firstLine="642" w:firstLineChars="200"/>
        <w:jc w:val="both"/>
        <w:rPr>
          <w:rFonts w:ascii="仿宋_GB2312" w:hAnsi="仿宋_GB2312" w:eastAsia="仿宋_GB2312"/>
          <w:color w:val="040404"/>
          <w:sz w:val="32"/>
          <w:szCs w:val="32"/>
        </w:rPr>
      </w:pPr>
      <w:r>
        <w:rPr>
          <w:rFonts w:hint="eastAsia" w:ascii="仿宋_GB2312" w:hAnsi="仿宋_GB2312" w:eastAsia="仿宋_GB2312"/>
          <w:b/>
          <w:bCs/>
          <w:color w:val="040404"/>
          <w:sz w:val="32"/>
          <w:szCs w:val="32"/>
        </w:rPr>
        <w:t>说明：一是</w:t>
      </w:r>
      <w:r>
        <w:rPr>
          <w:rFonts w:ascii="仿宋_GB2312" w:hAnsi="仿宋_GB2312" w:eastAsia="仿宋_GB2312"/>
          <w:color w:val="040404"/>
          <w:sz w:val="32"/>
          <w:szCs w:val="32"/>
        </w:rPr>
        <w:t>本办法的支持政策所需资金在光明区经济发展专项资金中列支，执行《光明区经济发展专项资金管理办法》有关规定。</w:t>
      </w:r>
      <w:r>
        <w:rPr>
          <w:rFonts w:hint="eastAsia" w:ascii="仿宋_GB2312" w:hAnsi="仿宋_GB2312" w:eastAsia="仿宋_GB2312"/>
          <w:b/>
          <w:bCs/>
          <w:color w:val="040404"/>
          <w:sz w:val="32"/>
          <w:szCs w:val="32"/>
        </w:rPr>
        <w:t>二是</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w:t>
      </w:r>
      <w:r>
        <w:rPr>
          <w:rFonts w:ascii="仿宋_GB2312" w:hAnsi="仿宋_GB2312" w:eastAsia="仿宋_GB2312"/>
          <w:color w:val="040404"/>
          <w:sz w:val="32"/>
          <w:szCs w:val="32"/>
        </w:rPr>
        <w:t>负责制定资金申报指南，受理总部企业各项资助资金申请，按照区经济发展专项资金审批程序开展审核、报批、资金拨付等工作。</w:t>
      </w:r>
      <w:r>
        <w:rPr>
          <w:rFonts w:hint="eastAsia" w:ascii="仿宋_GB2312" w:hAnsi="仿宋_GB2312" w:eastAsia="仿宋_GB2312"/>
          <w:b/>
          <w:bCs/>
          <w:color w:val="040404"/>
          <w:sz w:val="32"/>
          <w:szCs w:val="32"/>
        </w:rPr>
        <w:t>三是</w:t>
      </w:r>
      <w:r>
        <w:rPr>
          <w:rFonts w:hint="eastAsia" w:ascii="仿宋_GB2312" w:hAnsi="宋体" w:eastAsia="仿宋_GB2312" w:cs="宋体"/>
          <w:color w:val="000000" w:themeColor="text1"/>
          <w:kern w:val="2"/>
          <w:sz w:val="32"/>
          <w:szCs w:val="32"/>
          <w14:textFill>
            <w14:solidFill>
              <w14:schemeClr w14:val="tx1"/>
            </w14:solidFill>
          </w14:textFill>
        </w:rPr>
        <w:t>区总部经济主管部门</w:t>
      </w:r>
      <w:r>
        <w:rPr>
          <w:rFonts w:ascii="仿宋_GB2312" w:hAnsi="仿宋_GB2312" w:eastAsia="仿宋_GB2312"/>
          <w:color w:val="040404"/>
          <w:sz w:val="32"/>
          <w:szCs w:val="32"/>
        </w:rPr>
        <w:t>负责对支持总部企业发展的资金使用等情况进行跟踪管理。区纪委（监察）、财政、统计、税务、审计等职能部门，根据部门职责开展监督管理工作，依法处理有关违规行为。</w:t>
      </w:r>
    </w:p>
    <w:p>
      <w:pPr>
        <w:pStyle w:val="11"/>
        <w:widowControl/>
        <w:snapToGrid w:val="0"/>
        <w:spacing w:before="0" w:beforeAutospacing="0" w:after="0" w:afterAutospacing="0" w:line="560" w:lineRule="exact"/>
        <w:ind w:firstLine="642" w:firstLineChars="200"/>
        <w:jc w:val="both"/>
        <w:rPr>
          <w:rFonts w:ascii="仿宋_GB2312" w:hAnsi="仿宋_GB2312" w:eastAsia="仿宋_GB2312"/>
          <w:color w:val="040404"/>
          <w:sz w:val="32"/>
          <w:szCs w:val="32"/>
        </w:rPr>
      </w:pPr>
      <w:r>
        <w:rPr>
          <w:rFonts w:hint="eastAsia" w:ascii="楷体_GB2312" w:hAnsi="楷体_GB2312" w:eastAsia="楷体_GB2312"/>
          <w:b/>
          <w:bCs/>
          <w:kern w:val="2"/>
          <w:sz w:val="32"/>
          <w:szCs w:val="32"/>
        </w:rPr>
        <w:t>（六）</w:t>
      </w:r>
      <w:r>
        <w:rPr>
          <w:rFonts w:ascii="楷体_GB2312" w:hAnsi="楷体_GB2312" w:eastAsia="楷体_GB2312"/>
          <w:b/>
          <w:bCs/>
          <w:kern w:val="2"/>
          <w:sz w:val="32"/>
          <w:szCs w:val="32"/>
        </w:rPr>
        <w:t>第</w:t>
      </w:r>
      <w:r>
        <w:rPr>
          <w:rFonts w:hint="eastAsia" w:ascii="楷体_GB2312" w:hAnsi="楷体_GB2312" w:eastAsia="楷体_GB2312"/>
          <w:b/>
          <w:bCs/>
          <w:kern w:val="2"/>
          <w:sz w:val="32"/>
          <w:szCs w:val="32"/>
        </w:rPr>
        <w:t>六</w:t>
      </w:r>
      <w:r>
        <w:rPr>
          <w:rFonts w:ascii="楷体_GB2312" w:hAnsi="楷体_GB2312" w:eastAsia="楷体_GB2312"/>
          <w:b/>
          <w:bCs/>
          <w:kern w:val="2"/>
          <w:sz w:val="32"/>
          <w:szCs w:val="32"/>
        </w:rPr>
        <w:t>章 附则</w:t>
      </w:r>
      <w:r>
        <w:rPr>
          <w:rFonts w:hint="eastAsia" w:ascii="楷体_GB2312" w:hAnsi="楷体_GB2312" w:eastAsia="楷体_GB2312"/>
          <w:b/>
          <w:bCs/>
          <w:kern w:val="2"/>
          <w:sz w:val="32"/>
          <w:szCs w:val="32"/>
        </w:rPr>
        <w:t>。</w:t>
      </w:r>
      <w:r>
        <w:rPr>
          <w:rFonts w:hint="eastAsia" w:ascii="仿宋_GB2312" w:hAnsi="仿宋_GB2312" w:eastAsia="仿宋_GB2312"/>
          <w:color w:val="040404"/>
          <w:sz w:val="32"/>
          <w:szCs w:val="32"/>
        </w:rPr>
        <w:t>本章包括有关定义、实施与效力、解释权等3条。</w:t>
      </w:r>
    </w:p>
    <w:p>
      <w:pPr>
        <w:pStyle w:val="11"/>
        <w:widowControl/>
        <w:snapToGrid w:val="0"/>
        <w:spacing w:before="0" w:beforeAutospacing="0" w:after="0" w:afterAutospacing="0" w:line="560" w:lineRule="exact"/>
        <w:ind w:firstLine="642" w:firstLineChars="200"/>
        <w:jc w:val="both"/>
        <w:rPr>
          <w:rFonts w:ascii="仿宋_GB2312" w:hAnsi="仿宋_GB2312" w:eastAsia="仿宋_GB2312"/>
          <w:color w:val="040404"/>
          <w:sz w:val="32"/>
          <w:szCs w:val="32"/>
        </w:rPr>
      </w:pPr>
      <w:r>
        <w:rPr>
          <w:rFonts w:hint="eastAsia" w:ascii="仿宋_GB2312" w:hAnsi="仿宋_GB2312" w:eastAsia="仿宋_GB2312"/>
          <w:b/>
          <w:bCs/>
          <w:color w:val="040404"/>
          <w:sz w:val="32"/>
          <w:szCs w:val="32"/>
        </w:rPr>
        <w:t>说明</w:t>
      </w:r>
      <w:r>
        <w:rPr>
          <w:rFonts w:ascii="仿宋_GB2312" w:hAnsi="仿宋_GB2312" w:eastAsia="仿宋_GB2312"/>
          <w:b/>
          <w:bCs/>
          <w:color w:val="040404"/>
          <w:sz w:val="32"/>
          <w:szCs w:val="32"/>
        </w:rPr>
        <w:t>:</w:t>
      </w:r>
      <w:r>
        <w:rPr>
          <w:rFonts w:ascii="仿宋_GB2312" w:hAnsi="仿宋_GB2312" w:eastAsia="仿宋_GB2312"/>
          <w:b/>
          <w:bCs/>
        </w:rPr>
        <w:t xml:space="preserve"> </w:t>
      </w:r>
      <w:r>
        <w:rPr>
          <w:rFonts w:hint="eastAsia" w:ascii="仿宋_GB2312" w:hAnsi="仿宋_GB2312" w:eastAsia="仿宋_GB2312"/>
          <w:b/>
          <w:bCs/>
          <w:color w:val="040404"/>
          <w:sz w:val="32"/>
          <w:szCs w:val="32"/>
        </w:rPr>
        <w:t>一是</w:t>
      </w:r>
      <w:r>
        <w:rPr>
          <w:rFonts w:ascii="仿宋_GB2312" w:hAnsi="仿宋_GB2312" w:eastAsia="仿宋_GB2312"/>
          <w:color w:val="040404"/>
          <w:sz w:val="32"/>
          <w:szCs w:val="32"/>
        </w:rPr>
        <w:t>本办法有效期5年。</w:t>
      </w:r>
      <w:r>
        <w:rPr>
          <w:rFonts w:hint="eastAsia" w:ascii="仿宋_GB2312" w:hAnsi="仿宋_GB2312" w:eastAsia="仿宋_GB2312"/>
          <w:b/>
          <w:bCs/>
          <w:color w:val="040404"/>
          <w:sz w:val="32"/>
          <w:szCs w:val="32"/>
        </w:rPr>
        <w:t>二是</w:t>
      </w:r>
      <w:r>
        <w:rPr>
          <w:rFonts w:ascii="仿宋_GB2312" w:hAnsi="仿宋_GB2312" w:eastAsia="仿宋_GB2312"/>
          <w:color w:val="040404"/>
          <w:sz w:val="32"/>
          <w:szCs w:val="32"/>
        </w:rPr>
        <w:t>区政府于本办法实施以前出台的有关政策规定与本办法有不一致或抵触的，以本办法为准，法律法规及上级政策另有规定的除外。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40388"/>
    </w:sdtPr>
    <w:sdtEndPr>
      <w:rPr>
        <w:rFonts w:hint="eastAsia" w:ascii="仿宋_GB2312" w:eastAsia="仿宋_GB2312"/>
        <w:sz w:val="32"/>
        <w:szCs w:val="32"/>
      </w:rPr>
    </w:sdtEndPr>
    <w:sdtContent>
      <w:p>
        <w:pPr>
          <w:pStyle w:val="8"/>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12</w:t>
        </w:r>
        <w:r>
          <w:rPr>
            <w:rFonts w:hint="eastAsia" w:ascii="仿宋_GB2312" w:eastAsia="仿宋_GB2312"/>
            <w:sz w:val="32"/>
            <w:szCs w:val="32"/>
          </w:rPr>
          <w:fldChar w:fldCharType="end"/>
        </w:r>
        <w:r>
          <w:rPr>
            <w:rFonts w:hint="eastAsia" w:ascii="仿宋_GB2312" w:eastAsia="仿宋_GB2312"/>
            <w:sz w:val="32"/>
            <w:szCs w:val="32"/>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F7"/>
    <w:rsid w:val="00012298"/>
    <w:rsid w:val="000277E2"/>
    <w:rsid w:val="00043EB1"/>
    <w:rsid w:val="000535D4"/>
    <w:rsid w:val="00057B4E"/>
    <w:rsid w:val="00066EBB"/>
    <w:rsid w:val="00067034"/>
    <w:rsid w:val="00071E04"/>
    <w:rsid w:val="000B13BA"/>
    <w:rsid w:val="000C2410"/>
    <w:rsid w:val="000D6C50"/>
    <w:rsid w:val="000E228C"/>
    <w:rsid w:val="000E2F1E"/>
    <w:rsid w:val="00106F2B"/>
    <w:rsid w:val="00114FB1"/>
    <w:rsid w:val="001258A9"/>
    <w:rsid w:val="00136922"/>
    <w:rsid w:val="00156CE2"/>
    <w:rsid w:val="00160927"/>
    <w:rsid w:val="00172A06"/>
    <w:rsid w:val="0019153C"/>
    <w:rsid w:val="001E5807"/>
    <w:rsid w:val="001F63B6"/>
    <w:rsid w:val="00280FC7"/>
    <w:rsid w:val="0028137D"/>
    <w:rsid w:val="00290FDD"/>
    <w:rsid w:val="002A31A8"/>
    <w:rsid w:val="002E0923"/>
    <w:rsid w:val="002E2A3A"/>
    <w:rsid w:val="002F1A38"/>
    <w:rsid w:val="00314834"/>
    <w:rsid w:val="0032708E"/>
    <w:rsid w:val="00373939"/>
    <w:rsid w:val="0038045D"/>
    <w:rsid w:val="003A6972"/>
    <w:rsid w:val="003B64F0"/>
    <w:rsid w:val="003C1EDA"/>
    <w:rsid w:val="003C677B"/>
    <w:rsid w:val="003D0E89"/>
    <w:rsid w:val="003E151E"/>
    <w:rsid w:val="003F0B0A"/>
    <w:rsid w:val="003F1915"/>
    <w:rsid w:val="00440C3C"/>
    <w:rsid w:val="004638F5"/>
    <w:rsid w:val="00474DC9"/>
    <w:rsid w:val="004A6234"/>
    <w:rsid w:val="004B61CC"/>
    <w:rsid w:val="004C5D96"/>
    <w:rsid w:val="0050088C"/>
    <w:rsid w:val="00530681"/>
    <w:rsid w:val="005652FB"/>
    <w:rsid w:val="00597718"/>
    <w:rsid w:val="005C216B"/>
    <w:rsid w:val="005C7BDF"/>
    <w:rsid w:val="00616E4C"/>
    <w:rsid w:val="00644F4C"/>
    <w:rsid w:val="0066148A"/>
    <w:rsid w:val="00662DF9"/>
    <w:rsid w:val="0067610C"/>
    <w:rsid w:val="0068073D"/>
    <w:rsid w:val="0069602A"/>
    <w:rsid w:val="006B0D98"/>
    <w:rsid w:val="006C6944"/>
    <w:rsid w:val="006E41F7"/>
    <w:rsid w:val="006E6C5B"/>
    <w:rsid w:val="006F77B8"/>
    <w:rsid w:val="007B2D39"/>
    <w:rsid w:val="007C08F7"/>
    <w:rsid w:val="007F6568"/>
    <w:rsid w:val="0080273B"/>
    <w:rsid w:val="00813425"/>
    <w:rsid w:val="00823304"/>
    <w:rsid w:val="00826194"/>
    <w:rsid w:val="00837505"/>
    <w:rsid w:val="0085075E"/>
    <w:rsid w:val="008603EC"/>
    <w:rsid w:val="00883C80"/>
    <w:rsid w:val="008867F3"/>
    <w:rsid w:val="008D0F22"/>
    <w:rsid w:val="00923464"/>
    <w:rsid w:val="0092475A"/>
    <w:rsid w:val="00992CBD"/>
    <w:rsid w:val="009B3917"/>
    <w:rsid w:val="009C3C99"/>
    <w:rsid w:val="009C5460"/>
    <w:rsid w:val="009D133D"/>
    <w:rsid w:val="009D5FBD"/>
    <w:rsid w:val="009E558B"/>
    <w:rsid w:val="009F7A35"/>
    <w:rsid w:val="00A117FC"/>
    <w:rsid w:val="00A21570"/>
    <w:rsid w:val="00A2405A"/>
    <w:rsid w:val="00A860B9"/>
    <w:rsid w:val="00A92AEC"/>
    <w:rsid w:val="00AA07A2"/>
    <w:rsid w:val="00AB27E7"/>
    <w:rsid w:val="00AC668E"/>
    <w:rsid w:val="00AF3B44"/>
    <w:rsid w:val="00B00FBA"/>
    <w:rsid w:val="00B06E36"/>
    <w:rsid w:val="00B07568"/>
    <w:rsid w:val="00B566C3"/>
    <w:rsid w:val="00B62F4B"/>
    <w:rsid w:val="00B909C0"/>
    <w:rsid w:val="00BA4357"/>
    <w:rsid w:val="00C0041C"/>
    <w:rsid w:val="00C01442"/>
    <w:rsid w:val="00C03A26"/>
    <w:rsid w:val="00C114CC"/>
    <w:rsid w:val="00C73E15"/>
    <w:rsid w:val="00D06279"/>
    <w:rsid w:val="00D27E6B"/>
    <w:rsid w:val="00D47675"/>
    <w:rsid w:val="00D5533E"/>
    <w:rsid w:val="00DC2E4A"/>
    <w:rsid w:val="00DD354D"/>
    <w:rsid w:val="00DE55D3"/>
    <w:rsid w:val="00DF190F"/>
    <w:rsid w:val="00E1548D"/>
    <w:rsid w:val="00E164F6"/>
    <w:rsid w:val="00E4188A"/>
    <w:rsid w:val="00E54179"/>
    <w:rsid w:val="00E55175"/>
    <w:rsid w:val="00E74F87"/>
    <w:rsid w:val="00E76378"/>
    <w:rsid w:val="00E77915"/>
    <w:rsid w:val="00E86472"/>
    <w:rsid w:val="00E91956"/>
    <w:rsid w:val="00E91D69"/>
    <w:rsid w:val="00E958D4"/>
    <w:rsid w:val="00EC4BED"/>
    <w:rsid w:val="00EF3E85"/>
    <w:rsid w:val="00F20319"/>
    <w:rsid w:val="00FA75AF"/>
    <w:rsid w:val="00FE01F7"/>
    <w:rsid w:val="00FE5CBC"/>
    <w:rsid w:val="0FE6357C"/>
    <w:rsid w:val="1CE7E5A4"/>
    <w:rsid w:val="3BD80929"/>
    <w:rsid w:val="3EDF8D83"/>
    <w:rsid w:val="49EB3F54"/>
    <w:rsid w:val="4BF7961A"/>
    <w:rsid w:val="51C70C36"/>
    <w:rsid w:val="5B7D87CF"/>
    <w:rsid w:val="68F9132A"/>
    <w:rsid w:val="6EF79CAA"/>
    <w:rsid w:val="713B6B4A"/>
    <w:rsid w:val="75ED9B7A"/>
    <w:rsid w:val="76F765FC"/>
    <w:rsid w:val="7DDE5D33"/>
    <w:rsid w:val="7EDB19AD"/>
    <w:rsid w:val="7EF76D4F"/>
    <w:rsid w:val="7EFE2062"/>
    <w:rsid w:val="7FFF8322"/>
    <w:rsid w:val="96BF0F06"/>
    <w:rsid w:val="9FED9692"/>
    <w:rsid w:val="AFFF80C4"/>
    <w:rsid w:val="BFBFF773"/>
    <w:rsid w:val="BFFD7EFF"/>
    <w:rsid w:val="D6B4A59A"/>
    <w:rsid w:val="ECFF2EBB"/>
    <w:rsid w:val="EFDFC525"/>
    <w:rsid w:val="F3F637B0"/>
    <w:rsid w:val="F3FA6BD2"/>
    <w:rsid w:val="F4BC63CE"/>
    <w:rsid w:val="F6FC4CEB"/>
    <w:rsid w:val="F7BF5B04"/>
    <w:rsid w:val="FA75ECF0"/>
    <w:rsid w:val="FFFF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34"/>
    <w:semiHidden/>
    <w:unhideWhenUsed/>
    <w:qFormat/>
    <w:uiPriority w:val="9"/>
    <w:pPr>
      <w:keepNext/>
      <w:keepLines/>
      <w:widowControl/>
      <w:spacing w:before="280" w:after="290" w:line="376" w:lineRule="auto"/>
      <w:jc w:val="left"/>
      <w:outlineLvl w:val="3"/>
    </w:pPr>
    <w:rPr>
      <w:rFonts w:asciiTheme="majorHAnsi" w:hAnsiTheme="majorHAnsi" w:eastAsiaTheme="majorEastAsia" w:cstheme="majorBidi"/>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semiHidden/>
    <w:unhideWhenUsed/>
    <w:qFormat/>
    <w:uiPriority w:val="99"/>
    <w:pPr>
      <w:ind w:left="1400" w:leftChars="1400"/>
    </w:pPr>
  </w:style>
  <w:style w:type="paragraph" w:styleId="4">
    <w:name w:val="Body Text"/>
    <w:basedOn w:val="1"/>
    <w:link w:val="24"/>
    <w:semiHidden/>
    <w:unhideWhenUsed/>
    <w:qFormat/>
    <w:uiPriority w:val="99"/>
    <w:pPr>
      <w:spacing w:after="120"/>
    </w:pPr>
  </w:style>
  <w:style w:type="paragraph" w:styleId="5">
    <w:name w:val="Body Text Indent"/>
    <w:basedOn w:val="1"/>
    <w:link w:val="28"/>
    <w:semiHidden/>
    <w:unhideWhenUsed/>
    <w:qFormat/>
    <w:uiPriority w:val="99"/>
    <w:pPr>
      <w:spacing w:after="120"/>
      <w:ind w:left="420" w:leftChars="200"/>
    </w:pPr>
  </w:style>
  <w:style w:type="paragraph" w:styleId="6">
    <w:name w:val="Plain Text"/>
    <w:basedOn w:val="1"/>
    <w:next w:val="3"/>
    <w:link w:val="27"/>
    <w:qFormat/>
    <w:uiPriority w:val="0"/>
    <w:rPr>
      <w:rFonts w:ascii="宋体" w:hAnsi="Courier New" w:eastAsia="宋体" w:cs="Times New Roman"/>
      <w:szCs w:val="20"/>
    </w:rPr>
  </w:style>
  <w:style w:type="paragraph" w:styleId="7">
    <w:name w:val="Date"/>
    <w:basedOn w:val="1"/>
    <w:next w:val="1"/>
    <w:link w:val="33"/>
    <w:semiHidden/>
    <w:unhideWhenUsed/>
    <w:qFormat/>
    <w:uiPriority w:val="99"/>
    <w:pPr>
      <w:ind w:left="100" w:leftChars="2500"/>
    </w:p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1"/>
    <w:qFormat/>
    <w:uiPriority w:val="11"/>
    <w:pPr>
      <w:spacing w:before="240" w:after="60" w:line="312" w:lineRule="auto"/>
      <w:jc w:val="center"/>
      <w:outlineLvl w:val="1"/>
    </w:pPr>
    <w:rPr>
      <w:b/>
      <w:bCs/>
      <w:kern w:val="28"/>
      <w:sz w:val="32"/>
      <w:szCs w:val="32"/>
    </w:rPr>
  </w:style>
  <w:style w:type="paragraph" w:styleId="11">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2">
    <w:name w:val="Body Text First Indent"/>
    <w:basedOn w:val="4"/>
    <w:link w:val="25"/>
    <w:unhideWhenUsed/>
    <w:qFormat/>
    <w:uiPriority w:val="0"/>
    <w:pPr>
      <w:ind w:firstLine="420" w:firstLineChars="100"/>
    </w:pPr>
    <w:rPr>
      <w:szCs w:val="24"/>
    </w:rPr>
  </w:style>
  <w:style w:type="paragraph" w:styleId="13">
    <w:name w:val="Body Text First Indent 2"/>
    <w:basedOn w:val="5"/>
    <w:link w:val="29"/>
    <w:qFormat/>
    <w:uiPriority w:val="0"/>
    <w:pPr>
      <w:ind w:firstLine="420" w:firstLineChars="200"/>
    </w:pPr>
    <w:rPr>
      <w:rFonts w:ascii="Calibri" w:hAnsi="Calibri" w:eastAsia="宋体" w:cs="Times New Roman"/>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customStyle="1" w:styleId="18">
    <w:name w:val="页眉 字符"/>
    <w:basedOn w:val="16"/>
    <w:link w:val="9"/>
    <w:qFormat/>
    <w:uiPriority w:val="99"/>
    <w:rPr>
      <w:sz w:val="18"/>
      <w:szCs w:val="18"/>
    </w:rPr>
  </w:style>
  <w:style w:type="character" w:customStyle="1" w:styleId="19">
    <w:name w:val="页脚 字符"/>
    <w:basedOn w:val="16"/>
    <w:link w:val="8"/>
    <w:qFormat/>
    <w:uiPriority w:val="99"/>
    <w:rPr>
      <w:sz w:val="18"/>
      <w:szCs w:val="18"/>
    </w:rPr>
  </w:style>
  <w:style w:type="paragraph" w:customStyle="1" w:styleId="20">
    <w:name w:val="文件正文"/>
    <w:basedOn w:val="10"/>
    <w:qFormat/>
    <w:uiPriority w:val="0"/>
    <w:pPr>
      <w:spacing w:before="0" w:after="0" w:line="560" w:lineRule="exact"/>
      <w:ind w:firstLine="622" w:firstLineChars="200"/>
      <w:jc w:val="both"/>
      <w:outlineLvl w:val="9"/>
    </w:pPr>
    <w:rPr>
      <w:rFonts w:ascii="仿宋_GB2312" w:hAnsi="仿宋_GB2312" w:eastAsia="仿宋_GB2312" w:cs="仿宋_GB2312"/>
      <w:b w:val="0"/>
      <w:bCs w:val="0"/>
      <w:kern w:val="2"/>
    </w:rPr>
  </w:style>
  <w:style w:type="character" w:customStyle="1" w:styleId="21">
    <w:name w:val="副标题 字符"/>
    <w:basedOn w:val="16"/>
    <w:link w:val="10"/>
    <w:qFormat/>
    <w:uiPriority w:val="11"/>
    <w:rPr>
      <w:b/>
      <w:bCs/>
      <w:kern w:val="28"/>
      <w:sz w:val="32"/>
      <w:szCs w:val="32"/>
    </w:rPr>
  </w:style>
  <w:style w:type="paragraph" w:styleId="22">
    <w:name w:val="List Paragraph"/>
    <w:basedOn w:val="1"/>
    <w:qFormat/>
    <w:uiPriority w:val="34"/>
    <w:pPr>
      <w:ind w:firstLine="420" w:firstLineChars="200"/>
    </w:pPr>
  </w:style>
  <w:style w:type="paragraph" w:customStyle="1" w:styleId="23">
    <w:name w:val="contentfo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正文文本 字符"/>
    <w:basedOn w:val="16"/>
    <w:link w:val="4"/>
    <w:semiHidden/>
    <w:qFormat/>
    <w:uiPriority w:val="99"/>
  </w:style>
  <w:style w:type="character" w:customStyle="1" w:styleId="25">
    <w:name w:val="正文首行缩进 字符"/>
    <w:basedOn w:val="24"/>
    <w:link w:val="12"/>
    <w:qFormat/>
    <w:uiPriority w:val="0"/>
    <w:rPr>
      <w:szCs w:val="24"/>
    </w:rPr>
  </w:style>
  <w:style w:type="character" w:customStyle="1" w:styleId="26">
    <w:name w:val="NormalCharacter"/>
    <w:semiHidden/>
    <w:qFormat/>
    <w:uiPriority w:val="0"/>
    <w:rPr>
      <w:kern w:val="2"/>
      <w:sz w:val="21"/>
      <w:szCs w:val="24"/>
      <w:lang w:val="en-US" w:eastAsia="zh-CN" w:bidi="ar-SA"/>
    </w:rPr>
  </w:style>
  <w:style w:type="character" w:customStyle="1" w:styleId="27">
    <w:name w:val="纯文本 字符"/>
    <w:basedOn w:val="16"/>
    <w:link w:val="6"/>
    <w:qFormat/>
    <w:uiPriority w:val="0"/>
    <w:rPr>
      <w:rFonts w:ascii="宋体" w:hAnsi="Courier New" w:eastAsia="宋体" w:cs="Times New Roman"/>
      <w:kern w:val="2"/>
      <w:sz w:val="21"/>
    </w:rPr>
  </w:style>
  <w:style w:type="character" w:customStyle="1" w:styleId="28">
    <w:name w:val="正文文本缩进 字符"/>
    <w:basedOn w:val="16"/>
    <w:link w:val="5"/>
    <w:semiHidden/>
    <w:qFormat/>
    <w:uiPriority w:val="99"/>
    <w:rPr>
      <w:kern w:val="2"/>
      <w:sz w:val="21"/>
      <w:szCs w:val="22"/>
    </w:rPr>
  </w:style>
  <w:style w:type="character" w:customStyle="1" w:styleId="29">
    <w:name w:val="正文首行缩进 2 字符"/>
    <w:basedOn w:val="28"/>
    <w:link w:val="13"/>
    <w:qFormat/>
    <w:uiPriority w:val="0"/>
    <w:rPr>
      <w:rFonts w:ascii="Calibri" w:hAnsi="Calibri" w:eastAsia="宋体" w:cs="Times New Roman"/>
      <w:kern w:val="2"/>
      <w:sz w:val="21"/>
      <w:szCs w:val="24"/>
    </w:rPr>
  </w:style>
  <w:style w:type="paragraph" w:customStyle="1" w:styleId="30">
    <w:name w:val="正文顶格"/>
    <w:basedOn w:val="31"/>
    <w:link w:val="32"/>
    <w:qFormat/>
    <w:uiPriority w:val="99"/>
    <w:pPr>
      <w:spacing w:line="560" w:lineRule="exact"/>
    </w:pPr>
    <w:rPr>
      <w:rFonts w:ascii="仿宋_GB2312" w:hAnsi="宋体" w:eastAsia="仿宋_GB2312" w:cs="Times New Roman"/>
      <w:sz w:val="32"/>
      <w:szCs w:val="32"/>
    </w:rPr>
  </w:style>
  <w:style w:type="paragraph" w:styleId="31">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
    <w:name w:val="正文顶格 Char"/>
    <w:basedOn w:val="16"/>
    <w:link w:val="30"/>
    <w:qFormat/>
    <w:locked/>
    <w:uiPriority w:val="99"/>
    <w:rPr>
      <w:rFonts w:ascii="仿宋_GB2312" w:hAnsi="宋体" w:eastAsia="仿宋_GB2312" w:cs="Times New Roman"/>
      <w:kern w:val="2"/>
      <w:sz w:val="32"/>
      <w:szCs w:val="32"/>
    </w:rPr>
  </w:style>
  <w:style w:type="character" w:customStyle="1" w:styleId="33">
    <w:name w:val="日期 字符"/>
    <w:basedOn w:val="16"/>
    <w:link w:val="7"/>
    <w:semiHidden/>
    <w:qFormat/>
    <w:uiPriority w:val="99"/>
    <w:rPr>
      <w:kern w:val="2"/>
      <w:sz w:val="21"/>
      <w:szCs w:val="22"/>
    </w:rPr>
  </w:style>
  <w:style w:type="character" w:customStyle="1" w:styleId="34">
    <w:name w:val="标题 4 字符"/>
    <w:basedOn w:val="16"/>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1216</Words>
  <Characters>6937</Characters>
  <Lines>57</Lines>
  <Paragraphs>16</Paragraphs>
  <TotalTime>863</TotalTime>
  <ScaleCrop>false</ScaleCrop>
  <LinksUpToDate>false</LinksUpToDate>
  <CharactersWithSpaces>8137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2023-05-06T10:31:00Z</dcterms:created>
  <dc:creator>廖先生</dc:creator>
  <cp:lastModifiedBy>huawei</cp:lastModifiedBy>
  <cp:lastPrinted>2024-06-03T03:54:00Z</cp:lastPrinted>
  <dcterms:modified xsi:type="dcterms:W3CDTF">2024-07-02T19:11:34Z</dcterms:modified>
  <dc:title>《光明区推进软件与信息服务产业高质量发展的若干措施（征求意见稿）》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