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光明区2021年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科技型中小企业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科技金融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第二批贷款贴息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22"/>
          <w:highlight w:val="none"/>
          <w:lang w:val="en-US" w:eastAsia="zh-CN"/>
        </w:rPr>
      </w:pPr>
      <w:r>
        <w:rPr>
          <w:rFonts w:hint="eastAsia" w:ascii="黑体" w:hAnsi="黑体" w:eastAsia="黑体"/>
          <w:sz w:val="32"/>
          <w:szCs w:val="22"/>
          <w:highlight w:val="none"/>
          <w:lang w:val="en-US" w:eastAsia="zh-CN"/>
        </w:rPr>
        <w:t>一、政策依据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《光明区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支持科技型中小企业的科技金融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若干措施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》（深光科创〔20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光明区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支持科技型中小企业的科技金融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若干措施操作规程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》（深光科创〔20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《深圳市光明区经济发展专项资金管理办法》及配套措施（深光府规〔2019〕14 号）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22"/>
          <w:highlight w:val="none"/>
          <w:lang w:val="en-US" w:eastAsia="zh-CN"/>
        </w:rPr>
      </w:pPr>
      <w:r>
        <w:rPr>
          <w:rFonts w:hint="eastAsia" w:ascii="黑体" w:hAnsi="黑体" w:eastAsia="黑体"/>
          <w:sz w:val="32"/>
          <w:szCs w:val="22"/>
          <w:highlight w:val="none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22"/>
          <w:highlight w:val="none"/>
        </w:rPr>
        <w:t>、</w:t>
      </w:r>
      <w:r>
        <w:rPr>
          <w:rFonts w:hint="eastAsia" w:ascii="黑体" w:hAnsi="黑体" w:eastAsia="黑体"/>
          <w:sz w:val="32"/>
          <w:szCs w:val="22"/>
          <w:highlight w:val="none"/>
          <w:lang w:val="en-US" w:eastAsia="zh-CN"/>
        </w:rPr>
        <w:t>扶持方向及支持标准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支持光明区科技型中小企业（以下简称“企业”），在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2020年1月1日-12月31日期间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向深圳市银行合法获得新增贷款，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贷款期限一年以内（含）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，并于申请本次贷款贴息项目之日前结清本金与利息，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按其</w:t>
      </w:r>
      <w:r>
        <w:rPr>
          <w:rFonts w:hint="eastAsia" w:ascii="仿宋_GB2312" w:eastAsia="仿宋_GB2312"/>
          <w:color w:val="000000"/>
          <w:sz w:val="32"/>
          <w:szCs w:val="32"/>
        </w:rPr>
        <w:t>实际支付利息的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0%给予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贴息支持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科技孵化贷：企业2020年销售收入在3000万元（含）以下，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2021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累计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可申报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科技孵化贷款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利息补贴的贷款最高额度为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00万元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累计可获得的科技孵化贷款利息补贴总额不超过50万元。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科技成长贷：企业2020年销售收入在3000万元-2亿元（含）以下，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2021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累计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可申报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科技成长贷款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利息补贴的贷款最高额度为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00万元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2021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累计可获得的科技孵化贷款利息补贴总额不超过100万元。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（三）限人民币贷款，限企业名义贷款。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（四）同一笔贷款只能享受一次光明区贴息政策，原则上不重复享受区直各部门财政贴息；如已申请深圳市级同一笔贷款利息补贴，与光明区科技金融贷款利息补贴叠加比例不得超过100%。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（五）</w:t>
      </w:r>
      <w:r>
        <w:rPr>
          <w:rFonts w:hint="eastAsia" w:ascii="仿宋_GB2312" w:eastAsia="仿宋_GB2312" w:cs="宋体"/>
          <w:bCs/>
          <w:sz w:val="32"/>
          <w:szCs w:val="32"/>
        </w:rPr>
        <w:t>本项目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所涉资金资助不考虑地方财力贡献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22"/>
          <w:highlight w:val="none"/>
          <w:lang w:val="en-US" w:eastAsia="zh-CN"/>
        </w:rPr>
      </w:pPr>
      <w:r>
        <w:rPr>
          <w:rFonts w:hint="eastAsia" w:ascii="黑体" w:hAnsi="黑体" w:eastAsia="黑体"/>
          <w:sz w:val="32"/>
          <w:szCs w:val="22"/>
          <w:highlight w:val="none"/>
          <w:lang w:val="en-US" w:eastAsia="zh-CN"/>
        </w:rPr>
        <w:t>三、申报条件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/>
        <w:textAlignment w:val="auto"/>
        <w:rPr>
          <w:rFonts w:eastAsia="仿宋_GB2312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eastAsia="zh-CN"/>
        </w:rPr>
        <w:t>申报单位应符合下列条件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/>
        </w:rPr>
        <w:t>: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2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  <w:highlight w:val="none"/>
          <w:lang w:val="en-US" w:eastAsia="zh-CN" w:bidi="ar-SA"/>
        </w:rPr>
        <w:t>企业经光明区科技创新局科技金融备案通过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2021年光明区科技型中小企业线上备案链接：</w:t>
      </w:r>
      <w:r>
        <w:rPr>
          <w:rFonts w:hint="eastAsia" w:ascii="Times New Roman" w:hAnsi="Times New Roman" w:eastAsia="仿宋_GB2312"/>
          <w:sz w:val="32"/>
          <w:szCs w:val="32"/>
        </w:rPr>
        <w:t>https://203.91.35.34:8443/login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（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二</w:t>
      </w:r>
      <w:r>
        <w:rPr>
          <w:rFonts w:eastAsia="仿宋_GB2312"/>
          <w:sz w:val="32"/>
          <w:szCs w:val="32"/>
          <w:highlight w:val="none"/>
        </w:rPr>
        <w:t>）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自开放受理之日起前三年，申报单位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经营规范，无重大违法违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行为发生，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在安全生产、环境保护、人力资源、市场监管、消防、社保、统计、财税等方面未受到10万元（含）以上罚款处罚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，且无较大安全生产事故发生。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（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三</w:t>
      </w:r>
      <w:r>
        <w:rPr>
          <w:rFonts w:eastAsia="仿宋_GB2312"/>
          <w:sz w:val="32"/>
          <w:szCs w:val="32"/>
          <w:highlight w:val="none"/>
        </w:rPr>
        <w:t>）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自开放受理之日起前三年，</w:t>
      </w:r>
      <w:r>
        <w:rPr>
          <w:rFonts w:eastAsia="仿宋_GB2312"/>
          <w:sz w:val="32"/>
          <w:szCs w:val="32"/>
          <w:highlight w:val="none"/>
        </w:rPr>
        <w:t>信用记录良好，申请资助时不在经营异常名录和严重违法失信企业名单之中（以深圳市公共信用中心数据为准）。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52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登录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光明区科技金融服务平台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https://203.91.35.34:8443/login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）在线填报申请表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z w:val="32"/>
          <w:szCs w:val="32"/>
        </w:rPr>
        <w:t>新版“三证合一”营业执照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法定代表人身份证复印件和签字样本。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贷款银行出具的日期在规定范围内的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借款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合同，相关放款、还款凭证和利息支付凭证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贷款银行开具的贷款结清证明</w:t>
      </w:r>
      <w:r>
        <w:rPr>
          <w:rFonts w:hint="eastAsia" w:ascii="仿宋_GB2312" w:eastAsia="仿宋_GB2312"/>
          <w:sz w:val="32"/>
          <w:szCs w:val="32"/>
          <w:highlight w:val="none"/>
        </w:rPr>
        <w:t>（模板见附件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）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贷款期间至项目申报日的房屋租赁合同或房产证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</w:rPr>
        <w:t>由税务部门提供的企业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上一</w:t>
      </w:r>
      <w:r>
        <w:rPr>
          <w:rFonts w:hint="eastAsia" w:ascii="仿宋_GB2312" w:eastAsia="仿宋_GB2312"/>
          <w:sz w:val="32"/>
          <w:szCs w:val="32"/>
          <w:highlight w:val="none"/>
        </w:rPr>
        <w:t>年度纳税证明。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企业信用信息资料（在深圳信用网打印信用报告完整版）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/>
        <w:textAlignment w:val="auto"/>
        <w:rPr>
          <w:rFonts w:hint="eastAsia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九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</w:rPr>
        <w:t>承诺协议书（模板见附件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（十）区科技创新局认为需要提供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的其他材料。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电子材料：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以上第2至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项材料均需加盖申报单位印章后上传PDF扫描件至光明区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科技金融服务平台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纸质材料：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电子材料审核通过后，请登录光明区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科技金融服务平台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，导出带水印编号的所有材料，加盖申报单位印章，多页的还需加盖骑缝印章，一式1份，A4纸正反面打印，装订成册（胶装）。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注：第（</w:t>
      </w:r>
      <w:r>
        <w:rPr>
          <w:rFonts w:hint="eastAsia" w:ascii="仿宋_GB2312" w:hAnsi="仿宋_GB2312" w:eastAsia="宋体" w:cs="仿宋_GB2312"/>
          <w:b/>
          <w:bCs/>
          <w:kern w:val="2"/>
          <w:sz w:val="32"/>
          <w:szCs w:val="32"/>
          <w:lang w:val="en-US" w:eastAsia="zh-CN" w:bidi="ar-SA"/>
        </w:rPr>
        <w:t>九）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项承诺协议书一式2份，另交原件。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六、时限要求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科技创新</w:t>
      </w:r>
      <w:r>
        <w:rPr>
          <w:rFonts w:hint="eastAsia" w:ascii="仿宋_GB2312" w:eastAsia="仿宋_GB2312"/>
          <w:sz w:val="32"/>
          <w:szCs w:val="32"/>
        </w:rPr>
        <w:t>局每年安排1-2次集中受理企业申请（具体时间以发布的申报通知为准），资助计划下达1个月内受资助单位须办理资金拨付手续，逾期不办理者视为自动放弃。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、业务受理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（一）纸质材料受理时间：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日17:30（工作日）。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受理地点：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深圳市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光明区玉塘街道田寮社区科润大厦a栋15楼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科技创新服务中心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业务咨询：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88211505；QQ群：1047780452。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、申请受理机关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深圳市光明区科技创新局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、办理流程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区科技主管部门发布指南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符合条件的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申请单位向区科技主管部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提交申请材料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项目审定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征求相关部门意见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拟定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资金支持方案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社会公示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下达项目资金计划—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区科技主管部门拨款资金。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（一）</w:t>
      </w:r>
      <w:r>
        <w:rPr>
          <w:rFonts w:ascii="仿宋_GB2312" w:eastAsia="仿宋_GB2312"/>
          <w:sz w:val="32"/>
          <w:szCs w:val="32"/>
          <w:highlight w:val="none"/>
        </w:rPr>
        <w:t>申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报</w:t>
      </w:r>
      <w:r>
        <w:rPr>
          <w:rFonts w:ascii="仿宋_GB2312" w:eastAsia="仿宋_GB2312"/>
          <w:sz w:val="32"/>
          <w:szCs w:val="32"/>
          <w:highlight w:val="none"/>
        </w:rPr>
        <w:t>单位对申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报</w:t>
      </w:r>
      <w:r>
        <w:rPr>
          <w:rFonts w:ascii="仿宋_GB2312" w:eastAsia="仿宋_GB2312"/>
          <w:sz w:val="32"/>
          <w:szCs w:val="32"/>
          <w:highlight w:val="none"/>
        </w:rPr>
        <w:t>材料的合法性、真实性、准确性和完整性负责。对抄袭剽窃或弄虚作假的，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光明区科技创新局</w:t>
      </w:r>
      <w:r>
        <w:rPr>
          <w:rFonts w:ascii="仿宋_GB2312" w:eastAsia="仿宋_GB2312"/>
          <w:sz w:val="32"/>
          <w:szCs w:val="32"/>
          <w:highlight w:val="none"/>
        </w:rPr>
        <w:t>核实后将不予立项或撤销项目，并纳入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黑名单</w:t>
      </w:r>
      <w:r>
        <w:rPr>
          <w:rFonts w:ascii="仿宋_GB2312" w:eastAsia="仿宋_GB2312"/>
          <w:sz w:val="32"/>
          <w:szCs w:val="32"/>
          <w:highlight w:val="none"/>
        </w:rPr>
        <w:t>，同时视情节轻重，依法依规追究相应责任。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光明区科技创新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局从未委托任何机构或个人代理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光明区科技金融扶持项目的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申报事宜，请项目单位自主申报项目。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光明区科技创新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局将严格按照有关标准和程序受理申请，不收取任何费用。如有任何机构或个人假借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光明区科技创新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局工作人员名义向企业收取费用的，请知情者向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光明区科技创新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局举报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/>
        <w:textAlignment w:val="auto"/>
        <w:rPr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）申报单位不得以同一事项重复申报或者多头申报区级专项资金资助，同一事项确因政策允许申报多项专项资金的，应当在申报材料中予以表明并注明原因。重复使用同一发票支付申报项目可视为重复申报。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附件：1.</w:t>
      </w:r>
      <w:r>
        <w:rPr>
          <w:rFonts w:hint="eastAsia" w:ascii="仿宋_GB2312" w:hAnsi="仿宋" w:eastAsia="仿宋_GB2312"/>
          <w:sz w:val="32"/>
          <w:szCs w:val="32"/>
        </w:rPr>
        <w:t>贷款银行开具的贷款结清证明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模板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2.</w:t>
      </w:r>
      <w:r>
        <w:rPr>
          <w:rFonts w:hint="eastAsia" w:ascii="仿宋_GB2312" w:eastAsia="仿宋_GB2312"/>
          <w:sz w:val="32"/>
          <w:szCs w:val="32"/>
          <w:highlight w:val="none"/>
        </w:rPr>
        <w:t>承诺协议书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模板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left="1916" w:leftChars="760" w:hanging="320" w:hangingChars="1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qgRyK4BAABLAwAADgAAAGRycy9lMm9Eb2MueG1srVNLbtswEN0H6B0I&#10;7mMqXgSGYDloESQIULQBkhyApkiLAH8Y0pZ8gfYGWXXTfc7lc2RIS07a7IpuqOHM8M17M6Pl1WAN&#10;2UmI2ruGXswqSqQTvtVu09Cnx5vzBSUxcddy451s6F5GerX6dLbsQy3nvvOmlUAQxMW6Dw3tUgo1&#10;Y1F00vI480E6DCoPlie8woa1wHtEt4bNq+qS9R7aAF7IGNF7fQzSVcFXSor0XakoEzENRW6pnFDO&#10;dT7ZasnrDfDQaTHS4P/AwnLtsOgJ6ponTragP0BZLcBHr9JMeMu8UlrIogHVXFR/qXnoeJBFCzYn&#10;hlOb4v+DFd9290B0i7OjxHGLIzo8/zz8ejn8/kHmuT19iDVmPQTMS8MXP+TU0R/RmVUPCmz+oh6C&#10;cWz0/tRcOSQi8qPFfLGoMCQwNl0Qh709DxDTrfSWZKOhgNMrTeW7rzEdU6eUXM35G20M+nlt3B8O&#10;xMwelrkfOWYrDethJL727R719Dj4hjrcTErMncO+5h2ZDJiM9WRsA+hNV5Yo14vh8zYhicItVzjC&#10;joVxYkXduF15Jd7fS9bbP7B6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yqBHI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DF718C"/>
    <w:multiLevelType w:val="singleLevel"/>
    <w:tmpl w:val="CCDF718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CE"/>
    <w:rsid w:val="00034D76"/>
    <w:rsid w:val="00052B02"/>
    <w:rsid w:val="00091725"/>
    <w:rsid w:val="00094A40"/>
    <w:rsid w:val="000A5919"/>
    <w:rsid w:val="000B7DAC"/>
    <w:rsid w:val="000E009E"/>
    <w:rsid w:val="0013298C"/>
    <w:rsid w:val="0013390D"/>
    <w:rsid w:val="00153A88"/>
    <w:rsid w:val="00196DB8"/>
    <w:rsid w:val="001B08EE"/>
    <w:rsid w:val="001B3528"/>
    <w:rsid w:val="001C046C"/>
    <w:rsid w:val="001F184B"/>
    <w:rsid w:val="00203A92"/>
    <w:rsid w:val="00236F16"/>
    <w:rsid w:val="00296F41"/>
    <w:rsid w:val="002A18EE"/>
    <w:rsid w:val="002B5CE3"/>
    <w:rsid w:val="002F0AAE"/>
    <w:rsid w:val="00350B83"/>
    <w:rsid w:val="00352DCE"/>
    <w:rsid w:val="0038569B"/>
    <w:rsid w:val="003A5F9C"/>
    <w:rsid w:val="003C70A9"/>
    <w:rsid w:val="004343D9"/>
    <w:rsid w:val="004409BC"/>
    <w:rsid w:val="00447E3A"/>
    <w:rsid w:val="00453E43"/>
    <w:rsid w:val="00494037"/>
    <w:rsid w:val="004943F1"/>
    <w:rsid w:val="004A5A1B"/>
    <w:rsid w:val="004C3840"/>
    <w:rsid w:val="004C476C"/>
    <w:rsid w:val="004D1F6C"/>
    <w:rsid w:val="00514966"/>
    <w:rsid w:val="00540FDD"/>
    <w:rsid w:val="00543920"/>
    <w:rsid w:val="00563529"/>
    <w:rsid w:val="005941BD"/>
    <w:rsid w:val="005D2F68"/>
    <w:rsid w:val="005E50E2"/>
    <w:rsid w:val="00603A53"/>
    <w:rsid w:val="00620D6A"/>
    <w:rsid w:val="00635718"/>
    <w:rsid w:val="00660F8B"/>
    <w:rsid w:val="00670405"/>
    <w:rsid w:val="006776A9"/>
    <w:rsid w:val="00694FDD"/>
    <w:rsid w:val="006D74D7"/>
    <w:rsid w:val="006E13B5"/>
    <w:rsid w:val="006E7061"/>
    <w:rsid w:val="00717FFB"/>
    <w:rsid w:val="00720AA5"/>
    <w:rsid w:val="007420C3"/>
    <w:rsid w:val="007509BD"/>
    <w:rsid w:val="00752500"/>
    <w:rsid w:val="00756D8C"/>
    <w:rsid w:val="0077561E"/>
    <w:rsid w:val="00786D42"/>
    <w:rsid w:val="007A53FF"/>
    <w:rsid w:val="007C7727"/>
    <w:rsid w:val="007F3939"/>
    <w:rsid w:val="00802FED"/>
    <w:rsid w:val="0081175E"/>
    <w:rsid w:val="008409F0"/>
    <w:rsid w:val="00841D2E"/>
    <w:rsid w:val="00850B09"/>
    <w:rsid w:val="00852DBB"/>
    <w:rsid w:val="0087192E"/>
    <w:rsid w:val="00892350"/>
    <w:rsid w:val="008A5FE0"/>
    <w:rsid w:val="008C768C"/>
    <w:rsid w:val="008D18F5"/>
    <w:rsid w:val="008D5D3B"/>
    <w:rsid w:val="0091236F"/>
    <w:rsid w:val="00920DEB"/>
    <w:rsid w:val="009326AC"/>
    <w:rsid w:val="009525D2"/>
    <w:rsid w:val="0096352C"/>
    <w:rsid w:val="00967754"/>
    <w:rsid w:val="00997C46"/>
    <w:rsid w:val="009B5033"/>
    <w:rsid w:val="009E649E"/>
    <w:rsid w:val="00A55842"/>
    <w:rsid w:val="00A80412"/>
    <w:rsid w:val="00A96DFE"/>
    <w:rsid w:val="00AB4BB5"/>
    <w:rsid w:val="00AC6116"/>
    <w:rsid w:val="00AD0F6A"/>
    <w:rsid w:val="00AE7A05"/>
    <w:rsid w:val="00AF5330"/>
    <w:rsid w:val="00AF5773"/>
    <w:rsid w:val="00B01A43"/>
    <w:rsid w:val="00B02708"/>
    <w:rsid w:val="00B10741"/>
    <w:rsid w:val="00B5686C"/>
    <w:rsid w:val="00B57D93"/>
    <w:rsid w:val="00B82F12"/>
    <w:rsid w:val="00BF6877"/>
    <w:rsid w:val="00C67D4B"/>
    <w:rsid w:val="00C86990"/>
    <w:rsid w:val="00D01712"/>
    <w:rsid w:val="00D43D88"/>
    <w:rsid w:val="00D4666D"/>
    <w:rsid w:val="00D47560"/>
    <w:rsid w:val="00D67BF3"/>
    <w:rsid w:val="00D738E7"/>
    <w:rsid w:val="00DD4BCF"/>
    <w:rsid w:val="00DD56F4"/>
    <w:rsid w:val="00E328B0"/>
    <w:rsid w:val="00E72F05"/>
    <w:rsid w:val="00EB4AD6"/>
    <w:rsid w:val="00EE0EDA"/>
    <w:rsid w:val="00EF415B"/>
    <w:rsid w:val="00F01E4A"/>
    <w:rsid w:val="00F40B57"/>
    <w:rsid w:val="00F42075"/>
    <w:rsid w:val="00F62B75"/>
    <w:rsid w:val="00F8400C"/>
    <w:rsid w:val="00F938AE"/>
    <w:rsid w:val="026A2689"/>
    <w:rsid w:val="02886C7B"/>
    <w:rsid w:val="035D53EB"/>
    <w:rsid w:val="04510006"/>
    <w:rsid w:val="05BB11B5"/>
    <w:rsid w:val="05CD4220"/>
    <w:rsid w:val="065E1F37"/>
    <w:rsid w:val="06622B7C"/>
    <w:rsid w:val="06CB09FA"/>
    <w:rsid w:val="07FE208E"/>
    <w:rsid w:val="08407F1D"/>
    <w:rsid w:val="08A9580A"/>
    <w:rsid w:val="0B0B1C1E"/>
    <w:rsid w:val="0B9A2322"/>
    <w:rsid w:val="0BC32322"/>
    <w:rsid w:val="0C0A5A69"/>
    <w:rsid w:val="0DE80D0C"/>
    <w:rsid w:val="0E7F5FDD"/>
    <w:rsid w:val="0EE3728B"/>
    <w:rsid w:val="0F4F59FD"/>
    <w:rsid w:val="104452B4"/>
    <w:rsid w:val="109906E4"/>
    <w:rsid w:val="13985BB6"/>
    <w:rsid w:val="13B60DBB"/>
    <w:rsid w:val="13B7215B"/>
    <w:rsid w:val="13E139C2"/>
    <w:rsid w:val="14BB5378"/>
    <w:rsid w:val="1571163D"/>
    <w:rsid w:val="157F597A"/>
    <w:rsid w:val="1616464D"/>
    <w:rsid w:val="16CF6256"/>
    <w:rsid w:val="17594179"/>
    <w:rsid w:val="17A019C3"/>
    <w:rsid w:val="19181ABD"/>
    <w:rsid w:val="1C796200"/>
    <w:rsid w:val="1D5D5E29"/>
    <w:rsid w:val="1DFB1E2C"/>
    <w:rsid w:val="1E285D2A"/>
    <w:rsid w:val="1E6A1E17"/>
    <w:rsid w:val="1EB03D21"/>
    <w:rsid w:val="1F15293E"/>
    <w:rsid w:val="203608E5"/>
    <w:rsid w:val="21031E2B"/>
    <w:rsid w:val="2193744B"/>
    <w:rsid w:val="21AF3058"/>
    <w:rsid w:val="24ED7FE2"/>
    <w:rsid w:val="25BC1F73"/>
    <w:rsid w:val="262F2FD5"/>
    <w:rsid w:val="26F34B33"/>
    <w:rsid w:val="271337E5"/>
    <w:rsid w:val="2895206D"/>
    <w:rsid w:val="28BF7501"/>
    <w:rsid w:val="28C54C63"/>
    <w:rsid w:val="2CDB38E3"/>
    <w:rsid w:val="2D4D15AD"/>
    <w:rsid w:val="2D662E5A"/>
    <w:rsid w:val="2D9E6059"/>
    <w:rsid w:val="311225D6"/>
    <w:rsid w:val="327A5E9A"/>
    <w:rsid w:val="327E6047"/>
    <w:rsid w:val="33434C60"/>
    <w:rsid w:val="35A42560"/>
    <w:rsid w:val="35B01019"/>
    <w:rsid w:val="36450C79"/>
    <w:rsid w:val="36B26EED"/>
    <w:rsid w:val="3703019A"/>
    <w:rsid w:val="37560F20"/>
    <w:rsid w:val="37A618EF"/>
    <w:rsid w:val="38355F5B"/>
    <w:rsid w:val="386B6A4F"/>
    <w:rsid w:val="38F1108A"/>
    <w:rsid w:val="3BBF5EBE"/>
    <w:rsid w:val="3D176916"/>
    <w:rsid w:val="3D8974ED"/>
    <w:rsid w:val="3E2F24DF"/>
    <w:rsid w:val="3EB04C57"/>
    <w:rsid w:val="3EE325EA"/>
    <w:rsid w:val="3F137A0E"/>
    <w:rsid w:val="3FA63F1E"/>
    <w:rsid w:val="41C86DDF"/>
    <w:rsid w:val="434562B9"/>
    <w:rsid w:val="43D439B5"/>
    <w:rsid w:val="44EF52E4"/>
    <w:rsid w:val="452F5644"/>
    <w:rsid w:val="455166AE"/>
    <w:rsid w:val="472502E2"/>
    <w:rsid w:val="486A3011"/>
    <w:rsid w:val="49A92311"/>
    <w:rsid w:val="4BF723F2"/>
    <w:rsid w:val="4C466545"/>
    <w:rsid w:val="4CFA2ED7"/>
    <w:rsid w:val="4E367819"/>
    <w:rsid w:val="4EEF47E2"/>
    <w:rsid w:val="4F1D7766"/>
    <w:rsid w:val="507647D4"/>
    <w:rsid w:val="50E101CB"/>
    <w:rsid w:val="50F7511E"/>
    <w:rsid w:val="517F2B86"/>
    <w:rsid w:val="51947540"/>
    <w:rsid w:val="51E61E99"/>
    <w:rsid w:val="527A0C14"/>
    <w:rsid w:val="542C4DE6"/>
    <w:rsid w:val="54CD348A"/>
    <w:rsid w:val="56855548"/>
    <w:rsid w:val="56DE7471"/>
    <w:rsid w:val="57B57E95"/>
    <w:rsid w:val="5807721E"/>
    <w:rsid w:val="59C32C28"/>
    <w:rsid w:val="5A49280D"/>
    <w:rsid w:val="5ACE228C"/>
    <w:rsid w:val="5C6102AF"/>
    <w:rsid w:val="5C6E7E4B"/>
    <w:rsid w:val="5C81025F"/>
    <w:rsid w:val="5D1C026E"/>
    <w:rsid w:val="5D2E4FFD"/>
    <w:rsid w:val="5D740C84"/>
    <w:rsid w:val="5DF04060"/>
    <w:rsid w:val="5E225401"/>
    <w:rsid w:val="5E280148"/>
    <w:rsid w:val="5E74494C"/>
    <w:rsid w:val="5EB57154"/>
    <w:rsid w:val="602773EA"/>
    <w:rsid w:val="604726D4"/>
    <w:rsid w:val="60EF4884"/>
    <w:rsid w:val="625E2DBE"/>
    <w:rsid w:val="63297945"/>
    <w:rsid w:val="63346CCA"/>
    <w:rsid w:val="633C51D1"/>
    <w:rsid w:val="63D73A51"/>
    <w:rsid w:val="63DA0389"/>
    <w:rsid w:val="64AB6D5D"/>
    <w:rsid w:val="656A3886"/>
    <w:rsid w:val="65AA142B"/>
    <w:rsid w:val="6655028F"/>
    <w:rsid w:val="66CF2A00"/>
    <w:rsid w:val="672C3AA3"/>
    <w:rsid w:val="6898291B"/>
    <w:rsid w:val="68FA4389"/>
    <w:rsid w:val="6DBD1DC2"/>
    <w:rsid w:val="6E7422D3"/>
    <w:rsid w:val="6F4478CE"/>
    <w:rsid w:val="6F5D448A"/>
    <w:rsid w:val="72056FAC"/>
    <w:rsid w:val="7259666F"/>
    <w:rsid w:val="7297310A"/>
    <w:rsid w:val="734320B2"/>
    <w:rsid w:val="73B64560"/>
    <w:rsid w:val="74483C64"/>
    <w:rsid w:val="74F52E49"/>
    <w:rsid w:val="75327DE6"/>
    <w:rsid w:val="76B96924"/>
    <w:rsid w:val="77696720"/>
    <w:rsid w:val="778D7916"/>
    <w:rsid w:val="77B43FFD"/>
    <w:rsid w:val="782923A2"/>
    <w:rsid w:val="78571D52"/>
    <w:rsid w:val="78EB23CD"/>
    <w:rsid w:val="796E361D"/>
    <w:rsid w:val="7BA1691D"/>
    <w:rsid w:val="7BBB6F8D"/>
    <w:rsid w:val="7E1C5A30"/>
    <w:rsid w:val="7E5E698D"/>
    <w:rsid w:val="7F4A78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60" w:lineRule="exact"/>
      <w:ind w:firstLine="420" w:firstLineChars="200"/>
      <w:jc w:val="left"/>
    </w:pPr>
    <w:rPr>
      <w:rFonts w:ascii="宋体" w:hAnsi="宋体"/>
    </w:rPr>
  </w:style>
  <w:style w:type="paragraph" w:styleId="3">
    <w:name w:val="annotation text"/>
    <w:basedOn w:val="1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annotation reference"/>
    <w:qFormat/>
    <w:uiPriority w:val="0"/>
    <w:rPr>
      <w:sz w:val="21"/>
      <w:szCs w:val="21"/>
    </w:rPr>
  </w:style>
  <w:style w:type="character" w:customStyle="1" w:styleId="10">
    <w:name w:val="font31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1">
    <w:name w:val="font01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single"/>
    </w:rPr>
  </w:style>
  <w:style w:type="character" w:customStyle="1" w:styleId="12">
    <w:name w:val="批注框文本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234</Words>
  <Characters>1337</Characters>
  <Lines>11</Lines>
  <Paragraphs>3</Paragraphs>
  <TotalTime>2</TotalTime>
  <ScaleCrop>false</ScaleCrop>
  <LinksUpToDate>false</LinksUpToDate>
  <CharactersWithSpaces>1568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tutti´</cp:lastModifiedBy>
  <cp:lastPrinted>2021-03-02T06:26:00Z</cp:lastPrinted>
  <dcterms:modified xsi:type="dcterms:W3CDTF">2021-09-03T03:10:55Z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