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微软雅黑" w:hAnsi="微软雅黑" w:eastAsia="微软雅黑" w:cs="微软雅黑"/>
          <w:snapToGrid w:val="0"/>
          <w:color w:val="000000"/>
          <w:spacing w:val="9"/>
          <w:kern w:val="0"/>
          <w:sz w:val="43"/>
          <w:szCs w:val="43"/>
          <w:lang w:val="en-US" w:eastAsia="zh-CN"/>
        </w:rPr>
      </w:pPr>
      <w:r>
        <w:rPr>
          <w:rFonts w:hint="eastAsia" w:ascii="微软雅黑" w:hAnsi="微软雅黑" w:eastAsia="微软雅黑" w:cs="微软雅黑"/>
          <w:snapToGrid w:val="0"/>
          <w:color w:val="000000"/>
          <w:spacing w:val="9"/>
          <w:kern w:val="0"/>
          <w:sz w:val="43"/>
          <w:szCs w:val="43"/>
          <w:lang w:val="en-US" w:eastAsia="zh-CN"/>
        </w:rPr>
        <w:t>光明区体育品牌赛事活动资助申报指南</w:t>
      </w:r>
    </w:p>
    <w:p>
      <w:pPr>
        <w:spacing w:line="560" w:lineRule="exact"/>
        <w:jc w:val="center"/>
        <w:rPr>
          <w:rFonts w:hint="eastAsia" w:ascii="微软雅黑" w:hAnsi="微软雅黑" w:eastAsia="微软雅黑" w:cs="微软雅黑"/>
          <w:snapToGrid w:val="0"/>
          <w:color w:val="000000"/>
          <w:spacing w:val="9"/>
          <w:kern w:val="0"/>
          <w:sz w:val="43"/>
          <w:szCs w:val="43"/>
          <w:lang w:val="en-US" w:eastAsia="zh-CN"/>
        </w:rPr>
      </w:pPr>
    </w:p>
    <w:p>
      <w:pPr>
        <w:numPr>
          <w:ilvl w:val="-1"/>
          <w:numId w:val="0"/>
        </w:numPr>
        <w:spacing w:line="560" w:lineRule="exact"/>
        <w:ind w:firstLine="640" w:firstLineChars="200"/>
        <w:rPr>
          <w:rFonts w:hint="eastAsia" w:ascii="黑体" w:hAnsi="黑体" w:eastAsia="黑体" w:cs="Times New Roman"/>
          <w:sz w:val="32"/>
          <w:szCs w:val="22"/>
        </w:rPr>
      </w:pPr>
      <w:r>
        <w:rPr>
          <w:rFonts w:hint="eastAsia" w:ascii="黑体" w:hAnsi="黑体" w:eastAsia="黑体" w:cs="Times New Roman"/>
          <w:sz w:val="32"/>
          <w:szCs w:val="22"/>
          <w:lang w:val="en-US" w:eastAsia="zh-CN"/>
        </w:rPr>
        <w:t>一、</w:t>
      </w:r>
      <w:r>
        <w:rPr>
          <w:rFonts w:hint="eastAsia" w:ascii="黑体" w:hAnsi="黑体" w:eastAsia="黑体" w:cs="Times New Roman"/>
          <w:sz w:val="32"/>
          <w:szCs w:val="22"/>
        </w:rPr>
        <w:t>设定依据</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（一）《光明区经济发展专项资金管理办法》（深光府规</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〔2023〕15</w:t>
      </w:r>
      <w:r>
        <w:rPr>
          <w:rFonts w:hint="eastAsia" w:ascii="CESI仿宋-GB2312" w:hAnsi="CESI仿宋-GB2312" w:eastAsia="CESI仿宋-GB2312" w:cs="CESI仿宋-GB2312"/>
          <w:sz w:val="32"/>
          <w:szCs w:val="32"/>
          <w:lang w:val="en-US" w:eastAsia="zh-CN"/>
        </w:rPr>
        <w:t>号）；</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（二）</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《深圳市光明区关于支持体育产业发展的若干措施》（深光府规〔2021〕7号）</w:t>
      </w:r>
      <w:r>
        <w:rPr>
          <w:rFonts w:hint="eastAsia" w:ascii="仿宋_GB2312" w:hAnsi="仿宋" w:eastAsia="仿宋_GB2312"/>
          <w:color w:val="000000" w:themeColor="text1"/>
          <w:sz w:val="32"/>
          <w:szCs w:val="32"/>
          <w:highlight w:val="none"/>
          <w14:textFill>
            <w14:solidFill>
              <w14:schemeClr w14:val="tx1"/>
            </w14:solidFill>
          </w14:textFill>
        </w:rPr>
        <w:t>。</w:t>
      </w:r>
    </w:p>
    <w:p>
      <w:pPr>
        <w:numPr>
          <w:ilvl w:val="-1"/>
          <w:numId w:val="0"/>
        </w:numPr>
        <w:spacing w:line="560" w:lineRule="exact"/>
        <w:ind w:firstLine="640" w:firstLineChars="200"/>
        <w:rPr>
          <w:rFonts w:hint="eastAsia" w:ascii="黑体" w:hAnsi="黑体" w:eastAsia="黑体" w:cs="Times New Roman"/>
          <w:sz w:val="32"/>
          <w:szCs w:val="22"/>
        </w:rPr>
      </w:pPr>
      <w:r>
        <w:rPr>
          <w:rFonts w:hint="eastAsia" w:ascii="黑体" w:hAnsi="黑体" w:eastAsia="黑体" w:cs="Times New Roman"/>
          <w:sz w:val="32"/>
          <w:szCs w:val="22"/>
          <w:lang w:val="en-US" w:eastAsia="zh-CN"/>
        </w:rPr>
        <w:t>二、申报对象</w:t>
      </w:r>
    </w:p>
    <w:p>
      <w:pPr>
        <w:spacing w:line="560" w:lineRule="exact"/>
        <w:ind w:firstLine="640" w:firstLineChars="200"/>
        <w:rPr>
          <w:rFonts w:hint="default" w:ascii="CESI仿宋-GB2312" w:hAnsi="CESI仿宋-GB2312" w:eastAsia="CESI仿宋-GB2312" w:cs="CESI仿宋-GB2312"/>
          <w:sz w:val="32"/>
          <w:szCs w:val="32"/>
          <w:lang w:val="en-US" w:eastAsia="zh-CN"/>
        </w:rPr>
      </w:pP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已于2023年获得光明区文化广电旅游体育局体育品牌赛事活动项目备案回执的申报单位。</w:t>
      </w:r>
      <w:r>
        <w:rPr>
          <w:rFonts w:hint="default" w:ascii="仿宋_GB2312" w:hAnsi="仿宋_GB2312" w:eastAsia="仿宋_GB2312" w:cs="仿宋_GB2312"/>
          <w:b w:val="0"/>
          <w:i w:val="0"/>
          <w:caps w:val="0"/>
          <w:color w:val="auto"/>
          <w:spacing w:val="0"/>
          <w:kern w:val="0"/>
          <w:sz w:val="32"/>
          <w:szCs w:val="32"/>
          <w:shd w:val="clear" w:color="auto" w:fill="FFFFFF"/>
          <w:lang w:val="en-US" w:eastAsia="zh-CN" w:bidi="ar"/>
        </w:rPr>
        <w:t>（全年多场次</w:t>
      </w:r>
      <w:r>
        <w:rPr>
          <w:rFonts w:hint="eastAsia" w:ascii="仿宋_GB2312" w:hAnsi="仿宋_GB2312" w:eastAsia="仿宋_GB2312" w:cs="仿宋_GB2312"/>
          <w:b w:val="0"/>
          <w:i w:val="0"/>
          <w:caps w:val="0"/>
          <w:color w:val="auto"/>
          <w:spacing w:val="0"/>
          <w:kern w:val="0"/>
          <w:sz w:val="32"/>
          <w:szCs w:val="32"/>
          <w:shd w:val="clear" w:color="auto" w:fill="FFFFFF"/>
          <w:lang w:val="en-US" w:eastAsia="zh-CN" w:bidi="ar"/>
        </w:rPr>
        <w:t>项目</w:t>
      </w:r>
      <w:r>
        <w:rPr>
          <w:rFonts w:hint="default" w:ascii="仿宋_GB2312" w:hAnsi="仿宋_GB2312" w:eastAsia="仿宋_GB2312" w:cs="仿宋_GB2312"/>
          <w:b w:val="0"/>
          <w:i w:val="0"/>
          <w:caps w:val="0"/>
          <w:color w:val="auto"/>
          <w:spacing w:val="0"/>
          <w:kern w:val="0"/>
          <w:sz w:val="32"/>
          <w:szCs w:val="32"/>
          <w:shd w:val="clear" w:color="auto" w:fill="FFFFFF"/>
          <w:lang w:val="en-US" w:eastAsia="zh-CN" w:bidi="ar"/>
        </w:rPr>
        <w:t>可就已举办项目先行申报。）</w:t>
      </w:r>
    </w:p>
    <w:p>
      <w:pPr>
        <w:numPr>
          <w:ilvl w:val="0"/>
          <w:numId w:val="0"/>
        </w:numPr>
        <w:spacing w:line="560" w:lineRule="exact"/>
        <w:ind w:firstLine="640" w:firstLineChars="200"/>
        <w:rPr>
          <w:rFonts w:hint="eastAsia" w:ascii="黑体" w:hAnsi="黑体" w:eastAsia="黑体" w:cs="Times New Roman"/>
          <w:sz w:val="32"/>
          <w:szCs w:val="22"/>
        </w:rPr>
      </w:pPr>
      <w:r>
        <w:rPr>
          <w:rFonts w:hint="eastAsia" w:ascii="黑体" w:hAnsi="黑体" w:eastAsia="黑体" w:cs="Times New Roman"/>
          <w:sz w:val="32"/>
          <w:szCs w:val="22"/>
          <w:lang w:val="en-US" w:eastAsia="zh-CN"/>
        </w:rPr>
        <w:t>三、申报条件</w:t>
      </w:r>
    </w:p>
    <w:p>
      <w:pPr>
        <w:numPr>
          <w:ilvl w:val="0"/>
          <w:numId w:val="0"/>
        </w:numPr>
        <w:spacing w:line="560" w:lineRule="exact"/>
        <w:ind w:firstLine="660" w:firstLineChars="200"/>
        <w:rPr>
          <w:rFonts w:hint="default" w:ascii="Times New Roman" w:hAnsi="Times New Roman" w:eastAsia="仿宋_GB2312" w:cs="Times New Roman"/>
          <w:spacing w:val="5"/>
          <w:sz w:val="32"/>
          <w:szCs w:val="32"/>
          <w:highlight w:val="none"/>
        </w:rPr>
      </w:pPr>
      <w:r>
        <w:rPr>
          <w:rFonts w:hint="eastAsia" w:ascii="Times New Roman" w:hAnsi="Times New Roman" w:eastAsia="仿宋_GB2312" w:cs="Times New Roman"/>
          <w:spacing w:val="5"/>
          <w:sz w:val="32"/>
          <w:szCs w:val="32"/>
          <w:highlight w:val="none"/>
          <w:lang w:eastAsia="zh-CN"/>
        </w:rPr>
        <w:t>（一）</w:t>
      </w:r>
      <w:r>
        <w:rPr>
          <w:rFonts w:hint="default" w:ascii="Times New Roman" w:hAnsi="Times New Roman" w:eastAsia="仿宋_GB2312" w:cs="Times New Roman"/>
          <w:spacing w:val="5"/>
          <w:sz w:val="32"/>
          <w:szCs w:val="32"/>
          <w:highlight w:val="none"/>
        </w:rPr>
        <w:t>依法依规办理登记注册手续和税务登记手续，在光明区从事经营活动，有关产业政策、操作规程、申报指南等文件规定的其他情况除外；</w:t>
      </w:r>
    </w:p>
    <w:p>
      <w:pPr>
        <w:numPr>
          <w:ilvl w:val="0"/>
          <w:numId w:val="0"/>
        </w:numPr>
        <w:spacing w:line="560" w:lineRule="exact"/>
        <w:ind w:firstLine="660" w:firstLineChars="200"/>
        <w:rPr>
          <w:rFonts w:hint="default" w:ascii="Times New Roman" w:hAnsi="Times New Roman" w:eastAsia="仿宋_GB2312" w:cs="Times New Roman"/>
          <w:spacing w:val="5"/>
          <w:sz w:val="32"/>
          <w:szCs w:val="32"/>
          <w:highlight w:val="none"/>
        </w:rPr>
      </w:pPr>
      <w:r>
        <w:rPr>
          <w:rFonts w:hint="eastAsia" w:ascii="Times New Roman" w:hAnsi="Times New Roman" w:eastAsia="仿宋_GB2312" w:cs="Times New Roman"/>
          <w:spacing w:val="5"/>
          <w:sz w:val="32"/>
          <w:szCs w:val="32"/>
          <w:highlight w:val="none"/>
          <w:lang w:eastAsia="zh-CN"/>
        </w:rPr>
        <w:t>（二）</w:t>
      </w:r>
      <w:r>
        <w:rPr>
          <w:rFonts w:hint="default" w:ascii="Times New Roman" w:hAnsi="Times New Roman" w:eastAsia="仿宋_GB2312" w:cs="Times New Roman"/>
          <w:spacing w:val="5"/>
          <w:sz w:val="32"/>
          <w:szCs w:val="32"/>
          <w:highlight w:val="none"/>
        </w:rPr>
        <w:t>有规范健全的财务管理制度，依法履行统计数据申报义务；</w:t>
      </w:r>
    </w:p>
    <w:p>
      <w:pPr>
        <w:numPr>
          <w:ilvl w:val="0"/>
          <w:numId w:val="0"/>
        </w:numPr>
        <w:spacing w:line="560" w:lineRule="exact"/>
        <w:ind w:firstLine="660" w:firstLineChars="200"/>
        <w:rPr>
          <w:rFonts w:hint="eastAsia" w:ascii="仿宋_GB2312" w:hAnsi="仿宋_GB2312" w:eastAsia="仿宋_GB2312" w:cs="仿宋_GB2312"/>
          <w:spacing w:val="5"/>
          <w:sz w:val="32"/>
          <w:szCs w:val="32"/>
          <w:lang w:eastAsia="zh-CN"/>
        </w:rPr>
      </w:pPr>
      <w:r>
        <w:rPr>
          <w:rFonts w:hint="eastAsia" w:ascii="Times New Roman" w:hAnsi="Times New Roman" w:eastAsia="仿宋_GB2312" w:cs="Times New Roman"/>
          <w:spacing w:val="5"/>
          <w:sz w:val="32"/>
          <w:szCs w:val="32"/>
          <w:highlight w:val="none"/>
          <w:lang w:eastAsia="zh-CN"/>
        </w:rPr>
        <w:t>（三）</w:t>
      </w:r>
      <w:r>
        <w:rPr>
          <w:rFonts w:hint="default" w:ascii="Times New Roman" w:hAnsi="Times New Roman" w:eastAsia="仿宋_GB2312" w:cs="Times New Roman"/>
          <w:spacing w:val="5"/>
          <w:sz w:val="32"/>
          <w:szCs w:val="32"/>
          <w:highlight w:val="none"/>
        </w:rPr>
        <w:t>诚实守信、遵纪守法，不存在违反失信惩戒措施基础清单相关规定的情形；</w:t>
      </w:r>
    </w:p>
    <w:p>
      <w:pPr>
        <w:pStyle w:val="8"/>
        <w:keepNext w:val="0"/>
        <w:keepLines w:val="0"/>
        <w:widowControl/>
        <w:suppressLineNumbers w:val="0"/>
        <w:shd w:val="clear" w:fill="FFFFFF"/>
        <w:wordWrap/>
        <w:spacing w:before="0" w:beforeAutospacing="0" w:after="0" w:afterAutospacing="0"/>
        <w:ind w:left="0" w:right="0" w:firstLine="660" w:firstLineChars="200"/>
        <w:jc w:val="left"/>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四</w:t>
      </w:r>
      <w:r>
        <w:rPr>
          <w:rFonts w:hint="eastAsia" w:ascii="仿宋_GB2312" w:hAnsi="仿宋_GB2312" w:eastAsia="仿宋_GB2312" w:cs="仿宋_GB2312"/>
          <w:spacing w:val="5"/>
          <w:sz w:val="32"/>
          <w:szCs w:val="32"/>
          <w:lang w:eastAsia="zh-CN"/>
        </w:rPr>
        <w:t>）从事体育产业</w:t>
      </w:r>
      <w:r>
        <w:rPr>
          <w:rFonts w:hint="eastAsia" w:ascii="仿宋_GB2312" w:hAnsi="仿宋_GB2312" w:eastAsia="仿宋_GB2312" w:cs="仿宋_GB2312"/>
          <w:spacing w:val="5"/>
          <w:kern w:val="2"/>
          <w:sz w:val="32"/>
          <w:szCs w:val="32"/>
          <w:lang w:val="en-US" w:eastAsia="zh-CN" w:bidi="ar-SA"/>
        </w:rPr>
        <w:t>（属统计部门发布的体育产业统计分类）开发、</w:t>
      </w:r>
      <w:r>
        <w:rPr>
          <w:rFonts w:hint="eastAsia" w:ascii="仿宋_GB2312" w:hAnsi="仿宋_GB2312" w:eastAsia="仿宋_GB2312" w:cs="仿宋_GB2312"/>
          <w:spacing w:val="5"/>
          <w:sz w:val="32"/>
          <w:szCs w:val="32"/>
          <w:lang w:eastAsia="zh-CN"/>
        </w:rPr>
        <w:t>生产经营和中介活动的企业、社会团体或民办非企业单位等机构。</w:t>
      </w:r>
    </w:p>
    <w:p>
      <w:pPr>
        <w:numPr>
          <w:ilvl w:val="0"/>
          <w:numId w:val="0"/>
        </w:numPr>
        <w:spacing w:line="560" w:lineRule="exact"/>
        <w:ind w:firstLine="640" w:firstLineChars="200"/>
        <w:rPr>
          <w:rFonts w:hint="eastAsia" w:ascii="黑体" w:hAnsi="黑体" w:eastAsia="黑体" w:cs="Times New Roman"/>
          <w:sz w:val="32"/>
          <w:szCs w:val="22"/>
          <w:lang w:eastAsia="zh-CN"/>
        </w:rPr>
      </w:pPr>
      <w:r>
        <w:rPr>
          <w:rFonts w:hint="eastAsia" w:ascii="黑体" w:hAnsi="黑体" w:eastAsia="黑体" w:cs="Times New Roman"/>
          <w:sz w:val="32"/>
          <w:szCs w:val="22"/>
          <w:lang w:val="en-US" w:eastAsia="zh-CN"/>
        </w:rPr>
        <w:t>四、资助方式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w:t>
      </w:r>
      <w:r>
        <w:rPr>
          <w:rFonts w:hint="eastAsia" w:ascii="仿宋_GB2312" w:eastAsia="仿宋_GB2312"/>
          <w:color w:val="auto"/>
          <w:sz w:val="32"/>
          <w:szCs w:val="32"/>
          <w:lang w:eastAsia="zh-CN"/>
        </w:rPr>
        <w:t>一</w:t>
      </w:r>
      <w:r>
        <w:rPr>
          <w:rFonts w:hint="eastAsia" w:ascii="仿宋_GB2312" w:eastAsia="仿宋_GB2312"/>
          <w:color w:val="auto"/>
          <w:sz w:val="32"/>
          <w:szCs w:val="32"/>
        </w:rPr>
        <w:t>）</w:t>
      </w:r>
      <w:r>
        <w:rPr>
          <w:rFonts w:hint="eastAsia" w:ascii="仿宋_GB2312" w:eastAsia="仿宋_GB2312"/>
          <w:color w:val="auto"/>
          <w:sz w:val="32"/>
          <w:szCs w:val="32"/>
          <w:lang w:eastAsia="zh-CN"/>
        </w:rPr>
        <w:t>资助标准：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在光明区举办国际性高水平单项体育赛事，按实际办赛经费50%分别给予一类、二类项目（参照2020年3月12日深圳市人民政府办公厅发布的《关于加快体育产业创新发展的若干措施》中关于一类、二类项目的划分方法，下同）最高500万元、200万元资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在光明区举办的全国性高水平单项体育赛事，按实际办赛经费50%分别给予一类、二类项目最高300万元、100万元资助。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在光明区举办的其他奥运项目的国际性体育赛事、全国性体育赛事、省级体育赛事按实际办赛经费50%分别给予最高100万元、50万元、30万元资助。</w:t>
      </w:r>
    </w:p>
    <w:p>
      <w:p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支持在光明区举办有区域特色的自主品牌体育赛事活动，</w:t>
      </w:r>
      <w:r>
        <w:rPr>
          <w:rFonts w:hint="eastAsia" w:ascii="仿宋_GB2312" w:eastAsia="仿宋_GB2312"/>
          <w:color w:val="auto"/>
          <w:sz w:val="32"/>
          <w:szCs w:val="32"/>
          <w:lang w:eastAsia="zh-CN"/>
        </w:rPr>
        <w:t>经光明区政府审定后，</w:t>
      </w:r>
      <w:r>
        <w:rPr>
          <w:rFonts w:hint="eastAsia" w:ascii="仿宋_GB2312" w:eastAsia="仿宋_GB2312"/>
          <w:color w:val="auto"/>
          <w:sz w:val="32"/>
          <w:szCs w:val="32"/>
        </w:rPr>
        <w:t>按实际办赛经费50%一次性给予最高100万元资助。每个申请单位每年累计最高资助不超过200万元，最多不超过三年。连续在光明区举办三年（含）以上的体育赛事，在第三年办赛结束后额外给予一次性30万元奖励。</w:t>
      </w:r>
    </w:p>
    <w:p>
      <w:pPr>
        <w:spacing w:line="560" w:lineRule="exact"/>
        <w:ind w:firstLine="660" w:firstLineChars="200"/>
        <w:rPr>
          <w:rFonts w:hint="eastAsia" w:ascii="仿宋_GB2312" w:eastAsia="仿宋_GB2312"/>
          <w:color w:val="auto"/>
          <w:sz w:val="32"/>
          <w:szCs w:val="32"/>
        </w:rPr>
      </w:pPr>
      <w:r>
        <w:rPr>
          <w:rFonts w:hint="eastAsia" w:ascii="仿宋_GB2312" w:hAnsi="仿宋_GB2312" w:eastAsia="仿宋_GB2312" w:cs="仿宋_GB2312"/>
          <w:spacing w:val="5"/>
          <w:sz w:val="32"/>
          <w:szCs w:val="32"/>
          <w:lang w:val="en-US" w:eastAsia="zh-CN"/>
        </w:rPr>
        <w:t>（二）</w:t>
      </w:r>
      <w:r>
        <w:rPr>
          <w:rFonts w:hint="eastAsia" w:ascii="仿宋_GB2312" w:eastAsia="仿宋_GB2312"/>
          <w:color w:val="auto"/>
          <w:sz w:val="32"/>
          <w:szCs w:val="32"/>
        </w:rPr>
        <w:t>支持范围包括以下七类项目：</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（1）赛事申办费：指赛事单位为承办赛事支付给</w:t>
      </w:r>
      <w:r>
        <w:rPr>
          <w:rFonts w:ascii="仿宋_GB2312" w:eastAsia="仿宋_GB2312"/>
          <w:color w:val="auto"/>
          <w:sz w:val="32"/>
          <w:szCs w:val="32"/>
        </w:rPr>
        <w:t>IP方、主办单位和单项体育协会的相关费用</w:t>
      </w:r>
      <w:r>
        <w:rPr>
          <w:rFonts w:hint="eastAsia" w:ascii="仿宋_GB2312" w:eastAsia="仿宋_GB2312"/>
          <w:color w:val="auto"/>
          <w:sz w:val="32"/>
          <w:szCs w:val="32"/>
        </w:rPr>
        <w:t>，最高不超过办赛总投入的</w:t>
      </w:r>
      <w:r>
        <w:rPr>
          <w:rFonts w:ascii="仿宋_GB2312" w:eastAsia="仿宋_GB2312"/>
          <w:color w:val="auto"/>
          <w:sz w:val="32"/>
          <w:szCs w:val="32"/>
        </w:rPr>
        <w:t>20</w:t>
      </w:r>
      <w:r>
        <w:rPr>
          <w:rFonts w:hint="eastAsia" w:ascii="仿宋_GB2312" w:eastAsia="仿宋_GB2312"/>
          <w:color w:val="auto"/>
          <w:sz w:val="32"/>
          <w:szCs w:val="32"/>
        </w:rPr>
        <w:t>%</w:t>
      </w:r>
      <w:r>
        <w:rPr>
          <w:rFonts w:ascii="仿宋_GB2312" w:eastAsia="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（2）场地租金：指赛事筹备和举办期间租赁使用场馆、场地和会议室的租金，最高不超过办赛总投入的10%，申请单位自有场地不予扶持；</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（3）宣传推广费：指在电视、报纸、户外媒体和网络等进行活动宣传报道的费用，最高不超过办赛总投入的</w:t>
      </w:r>
      <w:r>
        <w:rPr>
          <w:rFonts w:ascii="仿宋_GB2312" w:eastAsia="仿宋_GB2312"/>
          <w:color w:val="auto"/>
          <w:sz w:val="32"/>
          <w:szCs w:val="32"/>
        </w:rPr>
        <w:t>30</w:t>
      </w:r>
      <w:r>
        <w:rPr>
          <w:rFonts w:hint="eastAsia" w:ascii="仿宋_GB2312" w:eastAsia="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（4）运动员、教练员、裁判员、专家评委等人员劳务费和交通费：指</w:t>
      </w:r>
      <w:bookmarkStart w:id="0" w:name="_Hlk66700402"/>
      <w:r>
        <w:rPr>
          <w:rFonts w:hint="eastAsia" w:ascii="仿宋_GB2312" w:eastAsia="仿宋_GB2312"/>
          <w:color w:val="auto"/>
          <w:sz w:val="32"/>
          <w:szCs w:val="32"/>
        </w:rPr>
        <w:t>运动员、教练员、裁判员</w:t>
      </w:r>
      <w:bookmarkEnd w:id="0"/>
      <w:r>
        <w:rPr>
          <w:rFonts w:hint="eastAsia" w:ascii="仿宋_GB2312" w:eastAsia="仿宋_GB2312"/>
          <w:color w:val="auto"/>
          <w:sz w:val="32"/>
          <w:szCs w:val="32"/>
        </w:rPr>
        <w:t>、专家评委等人员的出场费、报酬及市外往返交通费，最高不超过办赛总投入的</w:t>
      </w:r>
      <w:r>
        <w:rPr>
          <w:rFonts w:ascii="仿宋_GB2312" w:eastAsia="仿宋_GB2312"/>
          <w:color w:val="auto"/>
          <w:sz w:val="32"/>
          <w:szCs w:val="32"/>
        </w:rPr>
        <w:t>10</w:t>
      </w:r>
      <w:r>
        <w:rPr>
          <w:rFonts w:hint="eastAsia" w:ascii="仿宋_GB2312" w:eastAsia="仿宋_GB2312"/>
          <w:color w:val="auto"/>
          <w:sz w:val="32"/>
          <w:szCs w:val="32"/>
        </w:rPr>
        <w:t>%。劳务费须通过转账方式转入</w:t>
      </w:r>
      <w:bookmarkStart w:id="1" w:name="_Hlk66700908"/>
      <w:r>
        <w:rPr>
          <w:rFonts w:hint="eastAsia" w:ascii="仿宋_GB2312" w:eastAsia="仿宋_GB2312"/>
          <w:color w:val="auto"/>
          <w:sz w:val="32"/>
          <w:szCs w:val="32"/>
        </w:rPr>
        <w:t>运动员、教练员、裁判员</w:t>
      </w:r>
      <w:bookmarkEnd w:id="1"/>
      <w:r>
        <w:rPr>
          <w:rFonts w:hint="eastAsia" w:ascii="仿宋_GB2312" w:eastAsia="仿宋_GB2312"/>
          <w:color w:val="auto"/>
          <w:sz w:val="32"/>
          <w:szCs w:val="32"/>
        </w:rPr>
        <w:t>个人账户，市外交通费仅限机票及火车票；</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（5）赛事奖金：指给予优秀运动员的各种奖金（包括奖杯、奖品等），其中非实物类奖金须通过转账方式转入获奖者账户，最高不超过办赛总投入的</w:t>
      </w:r>
      <w:r>
        <w:rPr>
          <w:rFonts w:ascii="仿宋_GB2312" w:eastAsia="仿宋_GB2312"/>
          <w:color w:val="auto"/>
          <w:sz w:val="32"/>
          <w:szCs w:val="32"/>
        </w:rPr>
        <w:t>10</w:t>
      </w:r>
      <w:r>
        <w:rPr>
          <w:rFonts w:hint="eastAsia" w:ascii="仿宋_GB2312" w:eastAsia="仿宋_GB2312"/>
          <w:color w:val="auto"/>
          <w:sz w:val="32"/>
          <w:szCs w:val="32"/>
        </w:rPr>
        <w:t>%；</w:t>
      </w:r>
    </w:p>
    <w:p>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（6）策划设计费：指委托其他单位为赛事各类活动策划设计支付的费用，最高不超过办赛总投入的</w:t>
      </w:r>
      <w:r>
        <w:rPr>
          <w:rFonts w:ascii="仿宋_GB2312" w:eastAsia="仿宋_GB2312"/>
          <w:color w:val="auto"/>
          <w:sz w:val="32"/>
          <w:szCs w:val="32"/>
        </w:rPr>
        <w:t>10</w:t>
      </w:r>
      <w:r>
        <w:rPr>
          <w:rFonts w:hint="eastAsia" w:ascii="仿宋_GB2312" w:eastAsia="仿宋_GB2312"/>
          <w:color w:val="auto"/>
          <w:sz w:val="32"/>
          <w:szCs w:val="32"/>
        </w:rPr>
        <w:t>%；</w:t>
      </w:r>
    </w:p>
    <w:p>
      <w:pPr>
        <w:numPr>
          <w:ilvl w:val="0"/>
          <w:numId w:val="0"/>
        </w:numPr>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（7）现场执行费：包括赛场搭建、设备租赁、现场礼仪、拍摄、翻译、速记、安保、餐饮、住宿费用等，最高不超过办赛总投入的</w:t>
      </w:r>
      <w:r>
        <w:rPr>
          <w:rFonts w:ascii="仿宋_GB2312" w:eastAsia="仿宋_GB2312"/>
          <w:color w:val="auto"/>
          <w:sz w:val="32"/>
          <w:szCs w:val="32"/>
        </w:rPr>
        <w:t>40</w:t>
      </w:r>
      <w:r>
        <w:rPr>
          <w:rFonts w:hint="eastAsia" w:ascii="仿宋_GB2312" w:eastAsia="仿宋_GB2312"/>
          <w:color w:val="auto"/>
          <w:sz w:val="32"/>
          <w:szCs w:val="32"/>
        </w:rPr>
        <w:t>%。</w:t>
      </w:r>
    </w:p>
    <w:p>
      <w:pPr>
        <w:numPr>
          <w:ilvl w:val="0"/>
          <w:numId w:val="0"/>
        </w:numPr>
        <w:spacing w:line="560" w:lineRule="exact"/>
        <w:ind w:firstLine="640" w:firstLineChars="200"/>
        <w:rPr>
          <w:rFonts w:hint="eastAsia" w:ascii="黑体" w:hAnsi="黑体" w:eastAsia="黑体" w:cs="Times New Roman"/>
          <w:sz w:val="32"/>
          <w:szCs w:val="22"/>
        </w:rPr>
      </w:pPr>
      <w:r>
        <w:rPr>
          <w:rFonts w:hint="eastAsia" w:ascii="黑体" w:hAnsi="黑体" w:eastAsia="黑体" w:cs="Times New Roman"/>
          <w:sz w:val="32"/>
          <w:szCs w:val="22"/>
          <w:lang w:val="en-US" w:eastAsia="zh-CN"/>
        </w:rPr>
        <w:t>三、申报材料</w:t>
      </w:r>
    </w:p>
    <w:p>
      <w:pPr>
        <w:numPr>
          <w:ilvl w:val="0"/>
          <w:numId w:val="0"/>
        </w:numPr>
        <w:spacing w:line="560" w:lineRule="exact"/>
        <w:ind w:firstLine="640" w:firstLineChars="200"/>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val="en-US" w:eastAsia="zh-CN"/>
        </w:rPr>
        <w:t>登录光明区企业服务门户网址https://www.gmqyfw.com，登录后进入资金申报，填报《光明区支持体育产业发展扶持计划</w:t>
      </w:r>
      <w:bookmarkStart w:id="6" w:name="_GoBack"/>
      <w:bookmarkEnd w:id="6"/>
      <w:r>
        <w:rPr>
          <w:rFonts w:hint="eastAsia" w:ascii="CESI仿宋-GB2312" w:hAnsi="CESI仿宋-GB2312" w:eastAsia="CESI仿宋-GB2312" w:cs="CESI仿宋-GB2312"/>
          <w:sz w:val="32"/>
          <w:szCs w:val="32"/>
          <w:lang w:val="en-US" w:eastAsia="zh-CN"/>
        </w:rPr>
        <w:t>申请表（体育品牌赛事获得补贴项目）》。</w:t>
      </w:r>
    </w:p>
    <w:tbl>
      <w:tblPr>
        <w:tblStyle w:val="12"/>
        <w:tblW w:w="88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5537"/>
        <w:gridCol w:w="24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852" w:type="dxa"/>
            <w:vAlign w:val="center"/>
          </w:tcPr>
          <w:p>
            <w:pPr>
              <w:spacing w:before="196" w:line="222" w:lineRule="auto"/>
              <w:jc w:val="center"/>
              <w:rPr>
                <w:rFonts w:ascii="仿宋" w:hAnsi="仿宋" w:eastAsia="仿宋" w:cs="仿宋"/>
                <w:sz w:val="23"/>
                <w:szCs w:val="23"/>
              </w:rPr>
            </w:pPr>
            <w:r>
              <w:rPr>
                <w:rFonts w:ascii="仿宋" w:hAnsi="仿宋" w:eastAsia="仿宋" w:cs="仿宋"/>
                <w:spacing w:val="6"/>
                <w:sz w:val="23"/>
                <w:szCs w:val="23"/>
              </w:rPr>
              <w:t>序号</w:t>
            </w:r>
          </w:p>
        </w:tc>
        <w:tc>
          <w:tcPr>
            <w:tcW w:w="5537" w:type="dxa"/>
            <w:vAlign w:val="center"/>
          </w:tcPr>
          <w:p>
            <w:pPr>
              <w:spacing w:before="196" w:line="220" w:lineRule="auto"/>
              <w:jc w:val="center"/>
              <w:rPr>
                <w:rFonts w:ascii="仿宋" w:hAnsi="仿宋" w:eastAsia="仿宋" w:cs="仿宋"/>
                <w:sz w:val="23"/>
                <w:szCs w:val="23"/>
              </w:rPr>
            </w:pPr>
            <w:r>
              <w:rPr>
                <w:rFonts w:ascii="仿宋" w:hAnsi="仿宋" w:eastAsia="仿宋" w:cs="仿宋"/>
                <w:spacing w:val="9"/>
                <w:sz w:val="23"/>
                <w:szCs w:val="23"/>
              </w:rPr>
              <w:t>材</w:t>
            </w:r>
            <w:r>
              <w:rPr>
                <w:rFonts w:ascii="仿宋" w:hAnsi="仿宋" w:eastAsia="仿宋" w:cs="仿宋"/>
                <w:spacing w:val="7"/>
                <w:sz w:val="23"/>
                <w:szCs w:val="23"/>
              </w:rPr>
              <w:t>料名称</w:t>
            </w:r>
          </w:p>
        </w:tc>
        <w:tc>
          <w:tcPr>
            <w:tcW w:w="2469" w:type="dxa"/>
            <w:vAlign w:val="center"/>
          </w:tcPr>
          <w:p>
            <w:pPr>
              <w:spacing w:before="198" w:line="218" w:lineRule="auto"/>
              <w:jc w:val="center"/>
              <w:rPr>
                <w:rFonts w:ascii="仿宋" w:hAnsi="仿宋" w:eastAsia="仿宋" w:cs="仿宋"/>
                <w:sz w:val="23"/>
                <w:szCs w:val="23"/>
              </w:rPr>
            </w:pPr>
            <w:r>
              <w:rPr>
                <w:rFonts w:ascii="仿宋" w:hAnsi="仿宋" w:eastAsia="仿宋" w:cs="仿宋"/>
                <w:spacing w:val="9"/>
                <w:sz w:val="23"/>
                <w:szCs w:val="23"/>
              </w:rPr>
              <w:t>材</w:t>
            </w:r>
            <w:r>
              <w:rPr>
                <w:rFonts w:ascii="仿宋" w:hAnsi="仿宋" w:eastAsia="仿宋" w:cs="仿宋"/>
                <w:spacing w:val="7"/>
                <w:sz w:val="23"/>
                <w:szCs w:val="23"/>
              </w:rPr>
              <w:t>料形式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852"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1</w:t>
            </w:r>
          </w:p>
        </w:tc>
        <w:tc>
          <w:tcPr>
            <w:tcW w:w="5537"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光明区支持体育产业发展扶持计划申请</w:t>
            </w:r>
            <w:r>
              <w:rPr>
                <w:rFonts w:hint="eastAsia" w:ascii="仿宋" w:hAnsi="仿宋" w:eastAsia="仿宋" w:cs="仿宋"/>
                <w:spacing w:val="15"/>
                <w:sz w:val="23"/>
                <w:szCs w:val="23"/>
                <w:lang w:eastAsia="zh-CN"/>
              </w:rPr>
              <w:t>表</w:t>
            </w:r>
            <w:r>
              <w:rPr>
                <w:rFonts w:ascii="仿宋" w:hAnsi="仿宋" w:eastAsia="仿宋" w:cs="仿宋"/>
                <w:spacing w:val="19"/>
                <w:sz w:val="23"/>
                <w:szCs w:val="23"/>
              </w:rPr>
              <w:t>(登录深圳市光明区企业服务门户网站在</w:t>
            </w:r>
            <w:r>
              <w:rPr>
                <w:rFonts w:ascii="仿宋" w:hAnsi="仿宋" w:eastAsia="仿宋" w:cs="仿宋"/>
                <w:spacing w:val="7"/>
                <w:sz w:val="23"/>
                <w:szCs w:val="23"/>
              </w:rPr>
              <w:t>线填报</w:t>
            </w:r>
            <w:r>
              <w:rPr>
                <w:rFonts w:ascii="仿宋" w:hAnsi="仿宋" w:eastAsia="仿宋" w:cs="仿宋"/>
                <w:spacing w:val="6"/>
                <w:sz w:val="23"/>
                <w:szCs w:val="23"/>
              </w:rPr>
              <w:t>)</w:t>
            </w:r>
          </w:p>
        </w:tc>
        <w:tc>
          <w:tcPr>
            <w:tcW w:w="2469"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打印(盖公章)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center"/>
          </w:tcPr>
          <w:p>
            <w:pPr>
              <w:spacing w:before="37" w:line="236" w:lineRule="auto"/>
              <w:ind w:left="118" w:right="110" w:firstLine="2"/>
              <w:jc w:val="center"/>
              <w:rPr>
                <w:rFonts w:ascii="仿宋" w:hAnsi="仿宋" w:eastAsia="仿宋" w:cs="仿宋"/>
                <w:spacing w:val="15"/>
                <w:sz w:val="23"/>
                <w:szCs w:val="23"/>
              </w:rPr>
            </w:pPr>
            <w:r>
              <w:rPr>
                <w:rFonts w:ascii="仿宋" w:hAnsi="仿宋" w:eastAsia="仿宋" w:cs="仿宋"/>
                <w:spacing w:val="15"/>
                <w:sz w:val="23"/>
                <w:szCs w:val="23"/>
              </w:rPr>
              <w:t>2</w:t>
            </w:r>
          </w:p>
        </w:tc>
        <w:tc>
          <w:tcPr>
            <w:tcW w:w="5537" w:type="dxa"/>
            <w:vAlign w:val="center"/>
          </w:tcPr>
          <w:p>
            <w:pPr>
              <w:spacing w:before="37" w:line="236" w:lineRule="auto"/>
              <w:ind w:left="118" w:right="110" w:firstLine="2"/>
              <w:jc w:val="center"/>
              <w:rPr>
                <w:rFonts w:ascii="仿宋" w:hAnsi="仿宋" w:eastAsia="仿宋" w:cs="仿宋"/>
                <w:spacing w:val="15"/>
                <w:sz w:val="23"/>
                <w:szCs w:val="23"/>
              </w:rPr>
            </w:pPr>
            <w:r>
              <w:rPr>
                <w:rFonts w:hint="eastAsia" w:ascii="仿宋" w:hAnsi="仿宋" w:eastAsia="仿宋" w:cs="仿宋"/>
                <w:spacing w:val="15"/>
                <w:sz w:val="23"/>
                <w:szCs w:val="23"/>
              </w:rPr>
              <w:t>申报单位营业执照等证照</w:t>
            </w:r>
          </w:p>
        </w:tc>
        <w:tc>
          <w:tcPr>
            <w:tcW w:w="2469" w:type="dxa"/>
            <w:vAlign w:val="center"/>
          </w:tcPr>
          <w:p>
            <w:pPr>
              <w:spacing w:before="37" w:line="236" w:lineRule="auto"/>
              <w:ind w:left="118" w:right="110" w:firstLine="2"/>
              <w:jc w:val="center"/>
              <w:rPr>
                <w:rFonts w:ascii="仿宋" w:hAnsi="仿宋" w:eastAsia="仿宋" w:cs="仿宋"/>
                <w:spacing w:val="15"/>
                <w:sz w:val="23"/>
                <w:szCs w:val="23"/>
              </w:rPr>
            </w:pPr>
            <w:r>
              <w:rPr>
                <w:rFonts w:hint="eastAsia" w:ascii="仿宋" w:hAnsi="仿宋" w:eastAsia="仿宋" w:cs="仿宋"/>
                <w:spacing w:val="15"/>
                <w:sz w:val="23"/>
                <w:szCs w:val="23"/>
              </w:rPr>
              <w:t>复印件（盖公章）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85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3</w:t>
            </w:r>
          </w:p>
        </w:tc>
        <w:tc>
          <w:tcPr>
            <w:tcW w:w="5537"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法定代表人身份证明文件</w:t>
            </w:r>
          </w:p>
        </w:tc>
        <w:tc>
          <w:tcPr>
            <w:tcW w:w="2469" w:type="dxa"/>
            <w:vAlign w:val="center"/>
          </w:tcPr>
          <w:p>
            <w:pPr>
              <w:spacing w:before="37" w:line="236" w:lineRule="auto"/>
              <w:ind w:left="118" w:right="110" w:firstLine="2"/>
              <w:jc w:val="center"/>
              <w:rPr>
                <w:rFonts w:ascii="仿宋" w:hAnsi="仿宋" w:eastAsia="仿宋" w:cs="仿宋"/>
                <w:spacing w:val="15"/>
                <w:sz w:val="23"/>
                <w:szCs w:val="23"/>
              </w:rPr>
            </w:pPr>
            <w:r>
              <w:rPr>
                <w:rFonts w:hint="eastAsia" w:ascii="仿宋" w:hAnsi="仿宋" w:eastAsia="仿宋" w:cs="仿宋"/>
                <w:spacing w:val="15"/>
                <w:sz w:val="23"/>
                <w:szCs w:val="23"/>
              </w:rPr>
              <w:t>复印件</w:t>
            </w:r>
          </w:p>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4</w:t>
            </w:r>
          </w:p>
        </w:tc>
        <w:tc>
          <w:tcPr>
            <w:tcW w:w="5537"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赛事备案文件</w:t>
            </w:r>
          </w:p>
        </w:tc>
        <w:tc>
          <w:tcPr>
            <w:tcW w:w="2469" w:type="dxa"/>
            <w:vAlign w:val="center"/>
          </w:tcPr>
          <w:p>
            <w:pPr>
              <w:spacing w:before="37" w:line="236" w:lineRule="auto"/>
              <w:ind w:left="118" w:right="110" w:firstLine="2"/>
              <w:jc w:val="center"/>
              <w:rPr>
                <w:rFonts w:ascii="仿宋" w:hAnsi="仿宋" w:eastAsia="仿宋" w:cs="仿宋"/>
                <w:spacing w:val="15"/>
                <w:sz w:val="23"/>
                <w:szCs w:val="23"/>
              </w:rPr>
            </w:pPr>
            <w:r>
              <w:rPr>
                <w:rFonts w:hint="eastAsia" w:ascii="仿宋" w:hAnsi="仿宋" w:eastAsia="仿宋" w:cs="仿宋"/>
                <w:spacing w:val="15"/>
                <w:sz w:val="23"/>
                <w:szCs w:val="23"/>
              </w:rPr>
              <w:t>复印件</w:t>
            </w:r>
          </w:p>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5</w:t>
            </w:r>
          </w:p>
        </w:tc>
        <w:tc>
          <w:tcPr>
            <w:tcW w:w="5537"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企业信用信息资料（在深圳信用网打印完整版信用报告）</w:t>
            </w:r>
          </w:p>
        </w:tc>
        <w:tc>
          <w:tcPr>
            <w:tcW w:w="2469" w:type="dxa"/>
            <w:vAlign w:val="center"/>
          </w:tcPr>
          <w:p>
            <w:pPr>
              <w:spacing w:before="37" w:line="236" w:lineRule="auto"/>
              <w:ind w:left="118" w:right="110" w:firstLine="2"/>
              <w:jc w:val="center"/>
              <w:rPr>
                <w:rFonts w:ascii="仿宋" w:hAnsi="仿宋" w:eastAsia="仿宋" w:cs="仿宋"/>
                <w:spacing w:val="15"/>
                <w:sz w:val="23"/>
                <w:szCs w:val="23"/>
              </w:rPr>
            </w:pPr>
            <w:r>
              <w:rPr>
                <w:rFonts w:hint="eastAsia" w:ascii="仿宋" w:hAnsi="仿宋" w:eastAsia="仿宋" w:cs="仿宋"/>
                <w:spacing w:val="15"/>
                <w:sz w:val="23"/>
                <w:szCs w:val="23"/>
              </w:rPr>
              <w:t>打印</w:t>
            </w:r>
          </w:p>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ascii="仿宋" w:hAnsi="仿宋" w:eastAsia="仿宋" w:cs="仿宋"/>
                <w:spacing w:val="15"/>
                <w:sz w:val="23"/>
                <w:szCs w:val="23"/>
              </w:rPr>
              <w:t>6</w:t>
            </w:r>
          </w:p>
        </w:tc>
        <w:tc>
          <w:tcPr>
            <w:tcW w:w="5537"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项目总结报告（包括赛事活动基本情况、活动取得的成果、嘉宾出席情况、参与人员情况、现场活动照片、宣传资料、媒体报道等）</w:t>
            </w:r>
          </w:p>
        </w:tc>
        <w:tc>
          <w:tcPr>
            <w:tcW w:w="2469" w:type="dxa"/>
            <w:vAlign w:val="center"/>
          </w:tcPr>
          <w:p>
            <w:pPr>
              <w:spacing w:before="37" w:line="236" w:lineRule="auto"/>
              <w:ind w:left="118" w:right="110" w:firstLine="2"/>
              <w:jc w:val="center"/>
              <w:rPr>
                <w:rFonts w:ascii="仿宋" w:hAnsi="仿宋" w:eastAsia="仿宋" w:cs="仿宋"/>
                <w:spacing w:val="15"/>
                <w:sz w:val="23"/>
                <w:szCs w:val="23"/>
              </w:rPr>
            </w:pPr>
            <w:r>
              <w:rPr>
                <w:rFonts w:hint="eastAsia" w:ascii="仿宋" w:hAnsi="仿宋" w:eastAsia="仿宋" w:cs="仿宋"/>
                <w:spacing w:val="15"/>
                <w:sz w:val="23"/>
                <w:szCs w:val="23"/>
              </w:rPr>
              <w:t>打印</w:t>
            </w:r>
          </w:p>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center"/>
          </w:tcPr>
          <w:p>
            <w:pPr>
              <w:spacing w:before="37" w:line="236" w:lineRule="auto"/>
              <w:ind w:left="118" w:right="110" w:firstLine="2"/>
              <w:jc w:val="center"/>
              <w:rPr>
                <w:rFonts w:hint="eastAsia" w:ascii="仿宋" w:hAnsi="仿宋" w:eastAsia="仿宋" w:cs="仿宋"/>
                <w:spacing w:val="15"/>
                <w:sz w:val="23"/>
                <w:szCs w:val="23"/>
                <w:lang w:val="en-US" w:eastAsia="zh-CN"/>
              </w:rPr>
            </w:pPr>
            <w:r>
              <w:rPr>
                <w:rFonts w:hint="eastAsia" w:ascii="仿宋" w:hAnsi="仿宋" w:eastAsia="仿宋" w:cs="仿宋"/>
                <w:spacing w:val="15"/>
                <w:sz w:val="23"/>
                <w:szCs w:val="23"/>
                <w:lang w:val="en-US" w:eastAsia="zh-CN"/>
              </w:rPr>
              <w:t>7</w:t>
            </w:r>
          </w:p>
        </w:tc>
        <w:tc>
          <w:tcPr>
            <w:tcW w:w="5537"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活动涉及的各类相关合同、活动费用支出明细表及相关凭证（相关合同、发票及银行往来凭证等</w:t>
            </w:r>
            <w:r>
              <w:rPr>
                <w:rFonts w:hint="eastAsia" w:ascii="仿宋" w:hAnsi="仿宋" w:eastAsia="仿宋" w:cs="仿宋"/>
                <w:spacing w:val="15"/>
                <w:sz w:val="23"/>
                <w:szCs w:val="23"/>
                <w:lang w:eastAsia="zh-CN"/>
              </w:rPr>
              <w:t>，</w:t>
            </w:r>
            <w:r>
              <w:rPr>
                <w:rFonts w:hint="eastAsia" w:ascii="仿宋" w:hAnsi="仿宋" w:eastAsia="仿宋" w:cs="仿宋"/>
                <w:spacing w:val="15"/>
                <w:sz w:val="23"/>
                <w:szCs w:val="23"/>
                <w:lang w:val="en-US" w:eastAsia="zh-CN"/>
              </w:rPr>
              <w:t>票据以</w:t>
            </w:r>
            <w:r>
              <w:rPr>
                <w:rFonts w:hint="eastAsia" w:ascii="仿宋" w:hAnsi="仿宋" w:eastAsia="仿宋" w:cs="仿宋"/>
                <w:spacing w:val="15"/>
                <w:sz w:val="23"/>
                <w:szCs w:val="23"/>
                <w:lang w:eastAsia="zh-CN"/>
              </w:rPr>
              <w:t>活动</w:t>
            </w:r>
            <w:r>
              <w:rPr>
                <w:rFonts w:hint="eastAsia" w:ascii="仿宋" w:hAnsi="仿宋" w:eastAsia="仿宋" w:cs="仿宋"/>
                <w:spacing w:val="15"/>
                <w:sz w:val="23"/>
                <w:szCs w:val="23"/>
                <w:lang w:val="en-US" w:eastAsia="zh-CN"/>
              </w:rPr>
              <w:t>前后6</w:t>
            </w:r>
            <w:r>
              <w:rPr>
                <w:rFonts w:hint="eastAsia" w:ascii="仿宋" w:hAnsi="仿宋" w:eastAsia="仿宋" w:cs="仿宋"/>
                <w:spacing w:val="15"/>
                <w:sz w:val="23"/>
                <w:szCs w:val="23"/>
                <w:lang w:eastAsia="zh-CN"/>
              </w:rPr>
              <w:t>个月</w:t>
            </w:r>
            <w:r>
              <w:rPr>
                <w:rFonts w:hint="eastAsia" w:ascii="仿宋" w:hAnsi="仿宋" w:eastAsia="仿宋" w:cs="仿宋"/>
                <w:spacing w:val="15"/>
                <w:sz w:val="23"/>
                <w:szCs w:val="23"/>
                <w:lang w:val="en-US" w:eastAsia="zh-CN"/>
              </w:rPr>
              <w:t>内开具的为准，现金支出费用不予认定</w:t>
            </w:r>
            <w:r>
              <w:rPr>
                <w:rFonts w:hint="eastAsia" w:ascii="仿宋" w:hAnsi="仿宋" w:eastAsia="仿宋" w:cs="仿宋"/>
                <w:spacing w:val="15"/>
                <w:sz w:val="23"/>
                <w:szCs w:val="23"/>
              </w:rPr>
              <w:t>）</w:t>
            </w:r>
          </w:p>
        </w:tc>
        <w:tc>
          <w:tcPr>
            <w:tcW w:w="2469" w:type="dxa"/>
            <w:vAlign w:val="center"/>
          </w:tcPr>
          <w:p>
            <w:pPr>
              <w:spacing w:before="37" w:line="236" w:lineRule="auto"/>
              <w:ind w:left="118" w:right="110" w:firstLine="2"/>
              <w:jc w:val="center"/>
              <w:rPr>
                <w:rFonts w:hint="eastAsia" w:ascii="仿宋" w:hAnsi="仿宋" w:eastAsia="仿宋" w:cs="仿宋"/>
                <w:spacing w:val="15"/>
                <w:sz w:val="23"/>
                <w:szCs w:val="23"/>
              </w:rPr>
            </w:pPr>
            <w:r>
              <w:rPr>
                <w:rFonts w:hint="eastAsia" w:ascii="仿宋" w:hAnsi="仿宋" w:eastAsia="仿宋" w:cs="仿宋"/>
                <w:spacing w:val="15"/>
                <w:sz w:val="23"/>
                <w:szCs w:val="23"/>
              </w:rPr>
              <w:t>验原件交复印件</w:t>
            </w:r>
          </w:p>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center"/>
          </w:tcPr>
          <w:p>
            <w:pPr>
              <w:spacing w:before="37" w:line="236" w:lineRule="auto"/>
              <w:ind w:left="118" w:right="110" w:firstLine="2"/>
              <w:jc w:val="center"/>
              <w:rPr>
                <w:rFonts w:hint="default" w:ascii="仿宋" w:hAnsi="仿宋" w:eastAsia="仿宋" w:cs="仿宋"/>
                <w:spacing w:val="15"/>
                <w:sz w:val="23"/>
                <w:szCs w:val="23"/>
                <w:lang w:val="en-US" w:eastAsia="zh-CN"/>
              </w:rPr>
            </w:pPr>
            <w:r>
              <w:rPr>
                <w:rFonts w:hint="eastAsia" w:ascii="仿宋" w:hAnsi="仿宋" w:eastAsia="仿宋" w:cs="仿宋"/>
                <w:spacing w:val="15"/>
                <w:sz w:val="23"/>
                <w:szCs w:val="23"/>
                <w:lang w:val="en-US" w:eastAsia="zh-CN"/>
              </w:rPr>
              <w:t>8</w:t>
            </w:r>
          </w:p>
        </w:tc>
        <w:tc>
          <w:tcPr>
            <w:tcW w:w="5537"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长期落户赛事奖励需提供连续办赛证明材料或说明材料</w:t>
            </w:r>
          </w:p>
        </w:tc>
        <w:tc>
          <w:tcPr>
            <w:tcW w:w="2469" w:type="dxa"/>
            <w:vAlign w:val="center"/>
          </w:tcPr>
          <w:p>
            <w:pPr>
              <w:spacing w:before="37" w:line="236" w:lineRule="auto"/>
              <w:ind w:left="118" w:right="110" w:firstLine="2"/>
              <w:jc w:val="center"/>
              <w:rPr>
                <w:rFonts w:ascii="仿宋" w:hAnsi="仿宋" w:eastAsia="仿宋" w:cs="仿宋"/>
                <w:spacing w:val="15"/>
                <w:sz w:val="23"/>
                <w:szCs w:val="23"/>
              </w:rPr>
            </w:pPr>
            <w:r>
              <w:rPr>
                <w:rFonts w:hint="eastAsia" w:ascii="仿宋" w:hAnsi="仿宋" w:eastAsia="仿宋" w:cs="仿宋"/>
                <w:spacing w:val="15"/>
                <w:sz w:val="23"/>
                <w:szCs w:val="23"/>
              </w:rPr>
              <w:t>打印</w:t>
            </w:r>
          </w:p>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852" w:type="dxa"/>
            <w:vAlign w:val="center"/>
          </w:tcPr>
          <w:p>
            <w:pPr>
              <w:spacing w:before="37" w:line="236" w:lineRule="auto"/>
              <w:ind w:left="118" w:right="110" w:firstLine="2"/>
              <w:jc w:val="center"/>
              <w:rPr>
                <w:rFonts w:hint="eastAsia" w:ascii="仿宋" w:hAnsi="仿宋" w:eastAsia="仿宋" w:cs="仿宋"/>
                <w:spacing w:val="15"/>
                <w:sz w:val="23"/>
                <w:szCs w:val="23"/>
                <w:lang w:val="en-US" w:eastAsia="zh-CN"/>
              </w:rPr>
            </w:pPr>
            <w:r>
              <w:rPr>
                <w:rFonts w:hint="eastAsia" w:ascii="仿宋" w:hAnsi="仿宋" w:eastAsia="仿宋" w:cs="仿宋"/>
                <w:spacing w:val="15"/>
                <w:sz w:val="23"/>
                <w:szCs w:val="23"/>
                <w:lang w:val="en-US" w:eastAsia="zh-CN"/>
              </w:rPr>
              <w:t>9</w:t>
            </w:r>
          </w:p>
        </w:tc>
        <w:tc>
          <w:tcPr>
            <w:tcW w:w="5537"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r>
              <w:rPr>
                <w:rFonts w:hint="eastAsia" w:ascii="仿宋" w:hAnsi="仿宋" w:eastAsia="仿宋" w:cs="仿宋"/>
                <w:spacing w:val="15"/>
                <w:sz w:val="23"/>
                <w:szCs w:val="23"/>
              </w:rPr>
              <w:t>其他说明材料</w:t>
            </w:r>
          </w:p>
        </w:tc>
        <w:tc>
          <w:tcPr>
            <w:tcW w:w="2469" w:type="dxa"/>
            <w:vAlign w:val="center"/>
          </w:tcPr>
          <w:p>
            <w:pPr>
              <w:spacing w:before="37" w:line="236" w:lineRule="auto"/>
              <w:ind w:left="118" w:right="110" w:firstLine="2"/>
              <w:jc w:val="center"/>
              <w:rPr>
                <w:rFonts w:ascii="仿宋" w:hAnsi="仿宋" w:eastAsia="仿宋" w:cs="仿宋"/>
                <w:spacing w:val="15"/>
                <w:sz w:val="23"/>
                <w:szCs w:val="23"/>
                <w:lang w:val="en-US" w:eastAsia="zh-CN"/>
              </w:rPr>
            </w:pPr>
          </w:p>
        </w:tc>
      </w:tr>
    </w:tbl>
    <w:p>
      <w:pPr>
        <w:spacing w:line="560" w:lineRule="exact"/>
        <w:ind w:firstLine="640" w:firstLineChars="200"/>
        <w:rPr>
          <w:rFonts w:hint="eastAsia" w:ascii="黑体" w:hAnsi="黑体" w:eastAsia="黑体"/>
          <w:sz w:val="32"/>
          <w:szCs w:val="32"/>
          <w:lang w:eastAsia="zh-CN"/>
        </w:rPr>
      </w:pPr>
      <w:r>
        <w:rPr>
          <w:rFonts w:hint="eastAsia" w:ascii="仿宋_GB2312" w:eastAsia="仿宋_GB2312"/>
          <w:sz w:val="32"/>
          <w:szCs w:val="32"/>
          <w:highlight w:val="none"/>
        </w:rPr>
        <w:t>以上材料</w:t>
      </w:r>
      <w:r>
        <w:rPr>
          <w:rFonts w:hint="eastAsia" w:ascii="仿宋_GB2312" w:eastAsia="仿宋_GB2312"/>
          <w:sz w:val="32"/>
          <w:szCs w:val="32"/>
          <w:highlight w:val="none"/>
          <w:lang w:eastAsia="zh-CN"/>
        </w:rPr>
        <w:t>除</w:t>
      </w:r>
      <w:r>
        <w:rPr>
          <w:rFonts w:hint="eastAsia" w:ascii="仿宋_GB2312" w:eastAsia="仿宋_GB2312" w:hAnsiTheme="minorHAnsi" w:cstheme="minorBidi"/>
          <w:sz w:val="32"/>
          <w:szCs w:val="32"/>
          <w:highlight w:val="none"/>
        </w:rPr>
        <w:t>法定代表人</w:t>
      </w:r>
      <w:r>
        <w:rPr>
          <w:rFonts w:hint="eastAsia" w:ascii="仿宋_GB2312" w:eastAsia="仿宋_GB2312"/>
          <w:sz w:val="32"/>
          <w:szCs w:val="32"/>
          <w:highlight w:val="none"/>
          <w:lang w:eastAsia="zh-CN"/>
        </w:rPr>
        <w:t>身份证外</w:t>
      </w:r>
      <w:r>
        <w:rPr>
          <w:rFonts w:hint="eastAsia" w:ascii="仿宋_GB2312" w:eastAsia="仿宋_GB2312"/>
          <w:sz w:val="32"/>
          <w:szCs w:val="32"/>
          <w:highlight w:val="none"/>
        </w:rPr>
        <w:t>均验原件存复印件，复印件按A4纸型制作</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双面打印，编排目录页码并装订成册，一式</w:t>
      </w:r>
      <w:r>
        <w:rPr>
          <w:rFonts w:hint="eastAsia" w:ascii="仿宋_GB2312" w:eastAsia="仿宋_GB2312"/>
          <w:sz w:val="32"/>
          <w:szCs w:val="32"/>
          <w:highlight w:val="none"/>
          <w:lang w:val="en-US" w:eastAsia="zh-CN"/>
        </w:rPr>
        <w:t>两</w:t>
      </w:r>
      <w:r>
        <w:rPr>
          <w:rFonts w:hint="eastAsia" w:ascii="仿宋_GB2312" w:eastAsia="仿宋_GB2312"/>
          <w:sz w:val="32"/>
          <w:szCs w:val="32"/>
          <w:highlight w:val="none"/>
        </w:rPr>
        <w:t>份，</w:t>
      </w:r>
      <w:r>
        <w:rPr>
          <w:rFonts w:hint="eastAsia" w:ascii="仿宋_GB2312" w:eastAsia="仿宋_GB2312"/>
          <w:sz w:val="32"/>
          <w:szCs w:val="32"/>
          <w:highlight w:val="none"/>
          <w:lang w:eastAsia="zh-CN"/>
        </w:rPr>
        <w:t>封面加盖公章，整本侧面</w:t>
      </w:r>
      <w:r>
        <w:rPr>
          <w:rFonts w:hint="eastAsia" w:ascii="仿宋_GB2312" w:eastAsia="仿宋_GB2312"/>
          <w:sz w:val="32"/>
          <w:szCs w:val="32"/>
          <w:highlight w:val="none"/>
        </w:rPr>
        <w:t>加盖骑缝章。</w:t>
      </w:r>
    </w:p>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w:t>
      </w:r>
      <w:r>
        <w:rPr>
          <w:rFonts w:hint="eastAsia" w:ascii="黑体" w:hAnsi="黑体" w:eastAsia="黑体"/>
          <w:sz w:val="32"/>
          <w:szCs w:val="32"/>
          <w:lang w:eastAsia="zh-CN"/>
        </w:rPr>
        <w:t>网上申报提示</w:t>
      </w:r>
    </w:p>
    <w:p>
      <w:pPr>
        <w:spacing w:line="560" w:lineRule="exact"/>
        <w:ind w:firstLine="640" w:firstLineChars="200"/>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hAnsiTheme="minorHAnsi" w:cstheme="minorBidi"/>
          <w:b w:val="0"/>
          <w:bCs w:val="0"/>
          <w:color w:val="auto"/>
          <w:kern w:val="2"/>
          <w:sz w:val="32"/>
          <w:szCs w:val="32"/>
          <w:lang w:val="en-US" w:eastAsia="zh-CN" w:bidi="ar-SA"/>
        </w:rPr>
        <w:t>（一）首先进入光明区企业服务门户注册登录，点击首页右上角“未登录”按钮，进行注册和登录。</w:t>
      </w:r>
      <w:r>
        <w:rPr>
          <w:rFonts w:hint="eastAsia" w:ascii="仿宋_GB2312" w:eastAsia="仿宋_GB2312" w:hAnsiTheme="minorHAnsi" w:cstheme="minorBidi"/>
          <w:b w:val="0"/>
          <w:bCs w:val="0"/>
          <w:color w:val="auto"/>
          <w:kern w:val="2"/>
          <w:sz w:val="32"/>
          <w:szCs w:val="32"/>
          <w:lang w:val="en-US" w:eastAsia="zh-CN" w:bidi="ar-SA"/>
        </w:rPr>
        <w:fldChar w:fldCharType="begin"/>
      </w:r>
      <w:r>
        <w:rPr>
          <w:rFonts w:hint="eastAsia" w:ascii="仿宋_GB2312" w:eastAsia="仿宋_GB2312" w:hAnsiTheme="minorHAnsi" w:cstheme="minorBidi"/>
          <w:b w:val="0"/>
          <w:bCs w:val="0"/>
          <w:color w:val="auto"/>
          <w:kern w:val="2"/>
          <w:sz w:val="32"/>
          <w:szCs w:val="32"/>
          <w:lang w:val="en-US" w:eastAsia="zh-CN" w:bidi="ar-SA"/>
        </w:rPr>
        <w:instrText xml:space="preserve"> INCLUDEPICTURE "https://cdn.nlark.com/yuque/0/2020/png/408113/1607321986961-2a948739-a41b-4943-a1d6-8f00368affef.png?x-oss-process=image%2Fresize%2Cw_1500" \* MERGEFORMATINET </w:instrText>
      </w:r>
      <w:r>
        <w:rPr>
          <w:rFonts w:hint="eastAsia" w:ascii="仿宋_GB2312" w:eastAsia="仿宋_GB2312" w:hAnsiTheme="minorHAnsi" w:cstheme="minorBidi"/>
          <w:b w:val="0"/>
          <w:bCs w:val="0"/>
          <w:color w:val="auto"/>
          <w:kern w:val="2"/>
          <w:sz w:val="32"/>
          <w:szCs w:val="32"/>
          <w:lang w:val="en-US" w:eastAsia="zh-CN" w:bidi="ar-SA"/>
        </w:rPr>
        <w:fldChar w:fldCharType="end"/>
      </w:r>
      <w:bookmarkStart w:id="2" w:name="_Toc24748"/>
      <w:bookmarkEnd w:id="2"/>
      <w:r>
        <w:rPr>
          <w:rFonts w:hint="eastAsia" w:ascii="仿宋_GB2312" w:eastAsia="仿宋_GB2312" w:hAnsiTheme="minorHAnsi" w:cstheme="minorBidi"/>
          <w:b w:val="0"/>
          <w:bCs w:val="0"/>
          <w:color w:val="auto"/>
          <w:kern w:val="2"/>
          <w:sz w:val="32"/>
          <w:szCs w:val="32"/>
          <w:lang w:val="en-US" w:eastAsia="zh-CN" w:bidi="ar-SA"/>
        </w:rPr>
        <w:t>第二步</w:t>
      </w:r>
      <w:bookmarkStart w:id="3" w:name="_Toc1009685290_WPSOffice_Level2"/>
      <w:bookmarkEnd w:id="3"/>
      <w:bookmarkStart w:id="4" w:name="_Toc877180926"/>
      <w:bookmarkEnd w:id="4"/>
      <w:bookmarkStart w:id="5" w:name="_Toc283659863_WPSOffice_Level2"/>
      <w:bookmarkEnd w:id="5"/>
      <w:r>
        <w:rPr>
          <w:rFonts w:hint="eastAsia" w:ascii="仿宋_GB2312" w:eastAsia="仿宋_GB2312" w:hAnsiTheme="minorHAnsi" w:cstheme="minorBidi"/>
          <w:b w:val="0"/>
          <w:bCs w:val="0"/>
          <w:color w:val="auto"/>
          <w:kern w:val="2"/>
          <w:sz w:val="32"/>
          <w:szCs w:val="32"/>
          <w:lang w:val="en-US" w:eastAsia="zh-CN" w:bidi="ar-SA"/>
        </w:rPr>
        <w:t>在企业服务门户点击“资金申报”</w:t>
      </w:r>
      <w:r>
        <w:rPr>
          <w:rFonts w:hint="eastAsia" w:ascii="仿宋_GB2312" w:eastAsia="仿宋_GB2312" w:cstheme="minorBidi"/>
          <w:b w:val="0"/>
          <w:bCs w:val="0"/>
          <w:color w:val="auto"/>
          <w:kern w:val="2"/>
          <w:sz w:val="32"/>
          <w:szCs w:val="32"/>
          <w:lang w:val="en-US" w:eastAsia="zh-CN" w:bidi="ar-SA"/>
        </w:rPr>
        <w:t>，未完善企业信息的，</w:t>
      </w:r>
      <w:r>
        <w:rPr>
          <w:rFonts w:hint="eastAsia" w:ascii="仿宋_GB2312" w:eastAsia="仿宋_GB2312" w:hAnsiTheme="minorHAnsi" w:cstheme="minorBidi"/>
          <w:b w:val="0"/>
          <w:bCs w:val="0"/>
          <w:color w:val="auto"/>
          <w:kern w:val="2"/>
          <w:sz w:val="32"/>
          <w:szCs w:val="32"/>
          <w:lang w:val="en-US" w:eastAsia="zh-CN" w:bidi="ar-SA"/>
        </w:rPr>
        <w:t>先完善本企业的相关信息，再进行经济发展专项资金相关项目申报。</w:t>
      </w:r>
    </w:p>
    <w:p>
      <w:pPr>
        <w:spacing w:line="560" w:lineRule="exact"/>
        <w:ind w:firstLine="640" w:firstLineChars="200"/>
        <w:rPr>
          <w:rFonts w:hint="eastAsia" w:ascii="仿宋_GB2312" w:eastAsia="仿宋_GB2312" w:hAnsiTheme="minorHAnsi" w:cstheme="minorBidi"/>
          <w:b w:val="0"/>
          <w:bCs w:val="0"/>
          <w:color w:val="auto"/>
          <w:kern w:val="2"/>
          <w:sz w:val="32"/>
          <w:szCs w:val="32"/>
          <w:lang w:val="en-US" w:eastAsia="zh-CN" w:bidi="ar-SA"/>
        </w:rPr>
      </w:pPr>
      <w:r>
        <w:rPr>
          <w:rFonts w:hint="eastAsia" w:ascii="仿宋_GB2312" w:eastAsia="仿宋_GB2312" w:cstheme="minorBidi"/>
          <w:b w:val="0"/>
          <w:bCs w:val="0"/>
          <w:color w:val="auto"/>
          <w:kern w:val="2"/>
          <w:sz w:val="32"/>
          <w:szCs w:val="32"/>
          <w:lang w:val="en-US" w:eastAsia="zh-CN" w:bidi="ar-SA"/>
        </w:rPr>
        <w:t>（二）点</w:t>
      </w:r>
      <w:r>
        <w:rPr>
          <w:rFonts w:hint="eastAsia" w:ascii="仿宋_GB2312" w:eastAsia="仿宋_GB2312" w:hAnsiTheme="minorHAnsi" w:cstheme="minorBidi"/>
          <w:b w:val="0"/>
          <w:bCs w:val="0"/>
          <w:color w:val="auto"/>
          <w:kern w:val="2"/>
          <w:sz w:val="32"/>
          <w:szCs w:val="32"/>
          <w:lang w:val="en-US" w:eastAsia="zh-CN" w:bidi="ar-SA"/>
        </w:rPr>
        <w:t>击该项目的“进入申报”进入该项目的资金政策项目内，填写该项目所需填写的材料内容，以及上传该项目所需的PDF文件材料，下拉到底部点击“马上申请”按钮，即可点击申请该政策项目（注：未填写完企业信息将无法申请政策）。</w:t>
      </w:r>
    </w:p>
    <w:p>
      <w:pPr>
        <w:pStyle w:val="2"/>
        <w:ind w:firstLine="640" w:firstLineChars="200"/>
        <w:rPr>
          <w:rFonts w:hint="eastAsia" w:eastAsia="仿宋_GB2312"/>
          <w:lang w:eastAsia="zh-CN"/>
        </w:rPr>
      </w:pPr>
      <w:r>
        <w:rPr>
          <w:rFonts w:hint="eastAsia" w:ascii="仿宋_GB2312" w:eastAsia="仿宋_GB2312"/>
          <w:sz w:val="32"/>
          <w:szCs w:val="32"/>
          <w:lang w:eastAsia="zh-CN"/>
        </w:rPr>
        <w:t>（三</w:t>
      </w:r>
      <w:r>
        <w:rPr>
          <w:rFonts w:hint="eastAsia" w:ascii="仿宋_GB2312" w:eastAsia="仿宋_GB2312" w:hAnsiTheme="minorHAnsi" w:cstheme="minorBidi"/>
          <w:color w:val="auto"/>
          <w:kern w:val="2"/>
          <w:sz w:val="32"/>
          <w:szCs w:val="32"/>
          <w:lang w:val="en-US" w:eastAsia="zh-CN" w:bidi="ar-SA"/>
        </w:rPr>
        <w:t>）PDF材料上传仅支持上传PDF格式材料，且每个材料上传框仅可上传一份PDF文件。（如需同一个材料上传框内需上传多个文件的，需将该文件按顺序合成同一份PDF后进行上传）</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w:t>
      </w:r>
      <w:r>
        <w:rPr>
          <w:rFonts w:hint="eastAsia" w:ascii="仿宋_GB2312" w:eastAsia="仿宋_GB2312"/>
          <w:sz w:val="32"/>
          <w:szCs w:val="32"/>
          <w:lang w:val="en-US" w:eastAsia="zh-CN"/>
        </w:rPr>
        <w:t>四</w:t>
      </w:r>
      <w:r>
        <w:rPr>
          <w:rFonts w:hint="eastAsia" w:ascii="仿宋_GB2312" w:eastAsia="仿宋_GB2312"/>
          <w:sz w:val="32"/>
          <w:szCs w:val="32"/>
        </w:rPr>
        <w:t>）申报系统</w:t>
      </w:r>
      <w:r>
        <w:rPr>
          <w:rFonts w:hint="eastAsia" w:ascii="仿宋_GB2312" w:eastAsia="仿宋_GB2312"/>
          <w:sz w:val="32"/>
          <w:szCs w:val="32"/>
          <w:lang w:eastAsia="zh-CN"/>
        </w:rPr>
        <w:t>操作</w:t>
      </w:r>
      <w:r>
        <w:rPr>
          <w:rFonts w:hint="eastAsia" w:ascii="仿宋_GB2312" w:eastAsia="仿宋_GB2312"/>
          <w:sz w:val="32"/>
          <w:szCs w:val="32"/>
        </w:rPr>
        <w:t>咨询电话：</w:t>
      </w:r>
      <w:r>
        <w:rPr>
          <w:rFonts w:hint="eastAsia" w:ascii="仿宋_GB2312" w:eastAsia="仿宋_GB2312"/>
          <w:sz w:val="32"/>
          <w:szCs w:val="32"/>
          <w:lang w:eastAsia="zh-CN"/>
        </w:rPr>
        <w:t>郑工15889697176。</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六</w:t>
      </w:r>
      <w:r>
        <w:rPr>
          <w:rFonts w:hint="eastAsia" w:ascii="黑体" w:hAnsi="黑体" w:eastAsia="黑体"/>
          <w:sz w:val="32"/>
          <w:szCs w:val="32"/>
        </w:rPr>
        <w:t>、受理机关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w:t>
      </w:r>
      <w:r>
        <w:rPr>
          <w:rFonts w:hint="eastAsia" w:ascii="仿宋_GB2312" w:eastAsia="仿宋_GB2312"/>
          <w:sz w:val="32"/>
          <w:szCs w:val="32"/>
          <w:lang w:val="en-US" w:eastAsia="zh-CN"/>
        </w:rPr>
        <w:t>深圳市光明区</w:t>
      </w:r>
      <w:r>
        <w:rPr>
          <w:rFonts w:hint="eastAsia" w:ascii="仿宋_GB2312" w:eastAsia="仿宋_GB2312"/>
          <w:sz w:val="32"/>
          <w:szCs w:val="32"/>
        </w:rPr>
        <w:t>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网络填报受理时间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2024年1月5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eastAsia="仿宋_GB2312"/>
          <w:sz w:val="32"/>
          <w:szCs w:val="32"/>
        </w:rPr>
        <w:t>初审结果由申报系统</w:t>
      </w:r>
      <w:r>
        <w:rPr>
          <w:rFonts w:hint="eastAsia" w:ascii="仿宋_GB2312" w:eastAsia="仿宋_GB2312"/>
          <w:sz w:val="32"/>
          <w:szCs w:val="32"/>
          <w:lang w:val="en-US" w:eastAsia="zh-CN"/>
        </w:rPr>
        <w:t>短信</w:t>
      </w:r>
      <w:r>
        <w:rPr>
          <w:rFonts w:hint="eastAsia" w:ascii="仿宋_GB2312" w:eastAsia="仿宋_GB2312"/>
          <w:sz w:val="32"/>
          <w:szCs w:val="32"/>
        </w:rPr>
        <w:t>反馈</w:t>
      </w:r>
      <w:r>
        <w:rPr>
          <w:rFonts w:hint="eastAsia" w:ascii="仿宋_GB2312" w:eastAsia="仿宋_GB2312"/>
          <w:sz w:val="32"/>
          <w:szCs w:val="32"/>
          <w:lang w:eastAsia="zh-CN"/>
        </w:rPr>
        <w:t>初审</w:t>
      </w:r>
      <w:r>
        <w:rPr>
          <w:rFonts w:hint="eastAsia" w:ascii="仿宋_GB2312" w:eastAsia="仿宋_GB2312"/>
          <w:sz w:val="32"/>
          <w:szCs w:val="32"/>
        </w:rPr>
        <w:t>结果信息。超过网络填报受理的截止时间，不再受理新提交申请。</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书面材料</w:t>
      </w:r>
      <w:r>
        <w:rPr>
          <w:rFonts w:hint="eastAsia" w:ascii="仿宋_GB2312" w:eastAsia="仿宋_GB2312"/>
          <w:sz w:val="32"/>
          <w:szCs w:val="32"/>
        </w:rPr>
        <w:t>受理时间：通过初审的</w:t>
      </w:r>
      <w:r>
        <w:rPr>
          <w:rFonts w:hint="eastAsia" w:ascii="仿宋_GB2312" w:eastAsia="仿宋_GB2312"/>
          <w:sz w:val="32"/>
          <w:szCs w:val="32"/>
          <w:lang w:val="en-US" w:eastAsia="zh-CN"/>
        </w:rPr>
        <w:t>申报单位</w:t>
      </w:r>
      <w:r>
        <w:rPr>
          <w:rFonts w:hint="eastAsia" w:ascii="仿宋_GB2312" w:eastAsia="仿宋_GB2312"/>
          <w:sz w:val="32"/>
          <w:szCs w:val="32"/>
        </w:rPr>
        <w:t>根据系统信息要求的时间和地点，按本指南</w:t>
      </w:r>
      <w:r>
        <w:rPr>
          <w:rFonts w:hint="eastAsia" w:ascii="仿宋_GB2312" w:eastAsia="仿宋_GB2312"/>
          <w:sz w:val="32"/>
          <w:szCs w:val="32"/>
          <w:lang w:val="en-US" w:eastAsia="zh-CN"/>
        </w:rPr>
        <w:t>各项目具体要求提交书面材料</w:t>
      </w:r>
      <w:r>
        <w:rPr>
          <w:rFonts w:hint="eastAsia" w:ascii="仿宋_GB2312" w:hAnsi="仿宋_GB2312" w:eastAsia="仿宋_GB2312" w:cs="仿宋_GB2312"/>
          <w:sz w:val="32"/>
          <w:szCs w:val="32"/>
          <w:lang w:eastAsia="zh-CN"/>
        </w:rPr>
        <w:t>。</w:t>
      </w:r>
      <w:r>
        <w:rPr>
          <w:rFonts w:hint="eastAsia" w:ascii="仿宋_GB2312" w:eastAsia="仿宋_GB2312"/>
          <w:sz w:val="32"/>
          <w:szCs w:val="32"/>
        </w:rPr>
        <w:t>（工作日</w:t>
      </w:r>
      <w:r>
        <w:rPr>
          <w:rFonts w:hint="eastAsia" w:ascii="仿宋_GB2312" w:eastAsia="仿宋_GB2312"/>
          <w:sz w:val="32"/>
          <w:szCs w:val="32"/>
          <w:lang w:val="en-US" w:eastAsia="zh-CN"/>
        </w:rPr>
        <w:t>9:00-12:00，14:00-18:00</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网上初审通过后请及时提交书面材料，成功提交书面材料的项目才算完成申报。</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lang w:val="en-US" w:eastAsia="zh-CN"/>
        </w:rPr>
        <w:t>联系地址：深圳市光明区玉塘街道同仁路科润大厦A座16楼1617室。</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五</w:t>
      </w:r>
      <w:r>
        <w:rPr>
          <w:rFonts w:hint="eastAsia" w:ascii="仿宋_GB2312" w:eastAsia="仿宋_GB2312"/>
          <w:sz w:val="32"/>
          <w:szCs w:val="32"/>
        </w:rPr>
        <w:t>）咨询电话：</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1.政策咨询：电话0755-88212146，陈先生；</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2.系统技术咨询：QQ号码2577372164、手机号码15889697176。</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七</w:t>
      </w:r>
      <w:r>
        <w:rPr>
          <w:rFonts w:hint="eastAsia" w:ascii="黑体" w:hAnsi="黑体" w:eastAsia="黑体"/>
          <w:sz w:val="32"/>
          <w:szCs w:val="32"/>
        </w:rPr>
        <w:t>、决定机关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w:t>
      </w:r>
      <w:r>
        <w:rPr>
          <w:rFonts w:hint="eastAsia" w:ascii="仿宋_GB2312" w:eastAsia="仿宋_GB2312"/>
          <w:sz w:val="32"/>
          <w:szCs w:val="32"/>
          <w:lang w:val="en-US" w:eastAsia="zh-CN"/>
        </w:rPr>
        <w:t>光明区</w:t>
      </w:r>
      <w:r>
        <w:rPr>
          <w:rFonts w:hint="eastAsia" w:ascii="仿宋_GB2312" w:eastAsia="仿宋_GB2312"/>
          <w:sz w:val="32"/>
          <w:szCs w:val="32"/>
        </w:rPr>
        <w:t>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、申报和审核程序</w:t>
      </w:r>
    </w:p>
    <w:p>
      <w:pPr>
        <w:spacing w:line="560" w:lineRule="exact"/>
        <w:ind w:firstLine="640" w:firstLineChars="200"/>
        <w:rPr>
          <w:rFonts w:hint="eastAsia" w:ascii="黑体" w:hAnsi="黑体" w:eastAsia="黑体"/>
          <w:sz w:val="32"/>
          <w:szCs w:val="32"/>
          <w:lang w:eastAsia="zh-CN"/>
        </w:rPr>
      </w:pPr>
      <w:r>
        <w:rPr>
          <w:rFonts w:hint="eastAsia" w:ascii="仿宋_GB2312" w:eastAsia="仿宋_GB2312"/>
          <w:sz w:val="32"/>
          <w:szCs w:val="32"/>
        </w:rPr>
        <w:t>网上申报——网上初审——</w:t>
      </w:r>
      <w:r>
        <w:rPr>
          <w:rFonts w:hint="eastAsia" w:ascii="仿宋_GB2312" w:eastAsia="仿宋_GB2312"/>
          <w:sz w:val="32"/>
          <w:szCs w:val="32"/>
          <w:lang w:val="en-US" w:eastAsia="zh-CN"/>
        </w:rPr>
        <w:t>提交书面材料</w:t>
      </w:r>
      <w:r>
        <w:rPr>
          <w:rFonts w:hint="eastAsia" w:ascii="仿宋_GB2312" w:eastAsia="仿宋_GB2312"/>
          <w:sz w:val="32"/>
          <w:szCs w:val="32"/>
        </w:rPr>
        <w:t>——</w:t>
      </w:r>
      <w:r>
        <w:rPr>
          <w:rFonts w:hint="eastAsia" w:ascii="仿宋_GB2312" w:eastAsia="仿宋_GB2312"/>
          <w:sz w:val="32"/>
          <w:szCs w:val="32"/>
          <w:lang w:val="en-US" w:eastAsia="zh-CN"/>
        </w:rPr>
        <w:t>区</w:t>
      </w:r>
      <w:r>
        <w:rPr>
          <w:rFonts w:hint="eastAsia" w:ascii="仿宋_GB2312" w:eastAsia="仿宋_GB2312"/>
          <w:sz w:val="32"/>
          <w:szCs w:val="32"/>
        </w:rPr>
        <w:t>文化广电旅游体育局委托财务审计</w:t>
      </w:r>
      <w:r>
        <w:rPr>
          <w:rFonts w:hint="eastAsia" w:ascii="仿宋_GB2312" w:eastAsia="仿宋_GB2312"/>
          <w:sz w:val="32"/>
          <w:szCs w:val="32"/>
          <w:highlight w:val="none"/>
          <w:lang w:eastAsia="zh-CN"/>
        </w:rPr>
        <w:t>（含现场核查）</w:t>
      </w:r>
      <w:r>
        <w:rPr>
          <w:rFonts w:hint="eastAsia" w:ascii="仿宋_GB2312" w:eastAsia="仿宋_GB2312"/>
          <w:sz w:val="32"/>
          <w:szCs w:val="32"/>
        </w:rPr>
        <w:t>——</w:t>
      </w:r>
      <w:r>
        <w:rPr>
          <w:rFonts w:hint="eastAsia" w:ascii="仿宋_GB2312" w:eastAsia="仿宋_GB2312"/>
          <w:sz w:val="32"/>
          <w:szCs w:val="32"/>
          <w:lang w:val="en-US" w:eastAsia="zh-CN"/>
        </w:rPr>
        <w:t>征求有关部门意见</w:t>
      </w:r>
      <w:r>
        <w:rPr>
          <w:rFonts w:hint="eastAsia" w:ascii="仿宋_GB2312" w:eastAsia="仿宋_GB2312"/>
          <w:sz w:val="32"/>
          <w:szCs w:val="32"/>
        </w:rPr>
        <w:t>——</w:t>
      </w:r>
      <w:r>
        <w:rPr>
          <w:rFonts w:hint="eastAsia" w:ascii="仿宋_GB2312" w:eastAsia="仿宋_GB2312"/>
          <w:sz w:val="32"/>
          <w:szCs w:val="32"/>
          <w:lang w:val="en-US" w:eastAsia="zh-CN"/>
        </w:rPr>
        <w:t>区</w:t>
      </w:r>
      <w:r>
        <w:rPr>
          <w:rFonts w:hint="eastAsia" w:ascii="仿宋_GB2312" w:eastAsia="仿宋_GB2312"/>
          <w:sz w:val="32"/>
          <w:szCs w:val="32"/>
        </w:rPr>
        <w:t>文化广电旅游体育局党组会议审议——社会公示——拨付</w:t>
      </w:r>
      <w:r>
        <w:rPr>
          <w:rFonts w:hint="eastAsia" w:ascii="仿宋_GB2312" w:eastAsia="仿宋_GB2312"/>
          <w:sz w:val="32"/>
          <w:szCs w:val="32"/>
          <w:lang w:val="en-US" w:eastAsia="zh-CN"/>
        </w:rPr>
        <w:t>资金</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在申报过程中弄虚作假，骗取专项资金的；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拒不执行信息报告制度的；</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违反规定多头申报财政资金资助的；</w:t>
      </w:r>
    </w:p>
    <w:p>
      <w:pPr>
        <w:adjustRightInd w:val="0"/>
        <w:snapToGrid w:val="0"/>
        <w:spacing w:line="560" w:lineRule="exact"/>
        <w:ind w:firstLine="640" w:firstLineChars="200"/>
        <w:rPr>
          <w:rFonts w:ascii="楷体" w:hAnsi="楷体" w:eastAsia="楷体" w:cs="楷体"/>
          <w:sz w:val="31"/>
          <w:szCs w:val="31"/>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其他违反专项资金管理制度的行为。</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CC436D"/>
    <w:multiLevelType w:val="multilevel"/>
    <w:tmpl w:val="60CC436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3"/>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kZTZmMGZjNzlkOTI3NDM4ZTI1YWViNGMwNTFjMDkifQ=="/>
  </w:docVars>
  <w:rsids>
    <w:rsidRoot w:val="1B8446D8"/>
    <w:rsid w:val="0BFE1E8B"/>
    <w:rsid w:val="1B8446D8"/>
    <w:rsid w:val="2322667B"/>
    <w:rsid w:val="234324B7"/>
    <w:rsid w:val="3FF645C3"/>
    <w:rsid w:val="499B1550"/>
    <w:rsid w:val="5288335F"/>
    <w:rsid w:val="64653749"/>
    <w:rsid w:val="75A90798"/>
    <w:rsid w:val="777F7663"/>
    <w:rsid w:val="7E7FA223"/>
    <w:rsid w:val="7EFB378D"/>
    <w:rsid w:val="9DE9828E"/>
    <w:rsid w:val="9FAC454C"/>
    <w:rsid w:val="9FFEED1A"/>
    <w:rsid w:val="B5FB5752"/>
    <w:rsid w:val="D3DF9F79"/>
    <w:rsid w:val="D5BF3450"/>
    <w:rsid w:val="DDF2F475"/>
    <w:rsid w:val="DFFF7104"/>
    <w:rsid w:val="EFE749FB"/>
    <w:rsid w:val="F77BA010"/>
    <w:rsid w:val="F7FFBEBE"/>
    <w:rsid w:val="FDD75C45"/>
    <w:rsid w:val="FFEEDCBA"/>
    <w:rsid w:val="FFEFB413"/>
    <w:rsid w:val="FFFF1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widowControl/>
      <w:numPr>
        <w:ilvl w:val="2"/>
        <w:numId w:val="1"/>
      </w:numPr>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paragraph" w:styleId="4">
    <w:name w:val="index 8"/>
    <w:basedOn w:val="1"/>
    <w:next w:val="1"/>
    <w:qFormat/>
    <w:uiPriority w:val="0"/>
    <w:pPr>
      <w:ind w:left="1400" w:leftChars="1400"/>
    </w:pPr>
  </w:style>
  <w:style w:type="paragraph" w:styleId="5">
    <w:name w:val="Plain Text"/>
    <w:basedOn w:val="1"/>
    <w:next w:val="4"/>
    <w:qFormat/>
    <w:uiPriority w:val="0"/>
    <w:rPr>
      <w:rFonts w:ascii="宋体" w:hAnsi="Courier New" w:cs="Courier New"/>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0"/>
    <w:tblPr>
      <w:tblCellMar>
        <w:top w:w="0" w:type="dxa"/>
        <w:left w:w="0" w:type="dxa"/>
        <w:bottom w:w="0" w:type="dxa"/>
        <w:right w:w="0" w:type="dxa"/>
      </w:tblCellMar>
    </w:tbl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5647</Words>
  <Characters>5702</Characters>
  <Lines>0</Lines>
  <Paragraphs>0</Paragraphs>
  <TotalTime>2</TotalTime>
  <ScaleCrop>false</ScaleCrop>
  <LinksUpToDate>false</LinksUpToDate>
  <CharactersWithSpaces>5866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2022-11-15T16:27:00Z</dcterms:created>
  <dc:creator>tangjunyi </dc:creator>
  <cp:lastModifiedBy>如</cp:lastModifiedBy>
  <dcterms:modified xsi:type="dcterms:W3CDTF">2023-12-15T07:08:10Z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34D087366B6D4E7A9612338EB11CFF14</vt:lpwstr>
  </property>
</Properties>
</file>