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44"/>
          <w:szCs w:val="44"/>
        </w:rPr>
      </w:pPr>
      <w:r>
        <w:rPr>
          <w:rFonts w:hint="eastAsia"/>
          <w:b/>
          <w:sz w:val="44"/>
          <w:szCs w:val="44"/>
        </w:rPr>
        <w:t>光明文化艺术中心项目运营协议咨询服务要求</w:t>
      </w:r>
    </w:p>
    <w:p/>
    <w:p>
      <w:pPr>
        <w:ind w:firstLine="640" w:firstLineChars="200"/>
        <w:rPr>
          <w:rFonts w:ascii="黑体" w:hAnsi="黑体" w:eastAsia="黑体"/>
          <w:sz w:val="32"/>
          <w:szCs w:val="32"/>
        </w:rPr>
      </w:pPr>
      <w:r>
        <w:rPr>
          <w:rFonts w:hint="eastAsia" w:ascii="黑体" w:hAnsi="黑体" w:eastAsia="黑体"/>
          <w:sz w:val="32"/>
          <w:szCs w:val="32"/>
        </w:rPr>
        <w:t>一、基本信息</w:t>
      </w:r>
    </w:p>
    <w:tbl>
      <w:tblPr>
        <w:tblStyle w:val="5"/>
        <w:tblW w:w="92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0"/>
        <w:gridCol w:w="77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65" w:hRule="atLeast"/>
          <w:jc w:val="center"/>
        </w:trPr>
        <w:tc>
          <w:tcPr>
            <w:tcW w:w="1430"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项目名称</w:t>
            </w:r>
          </w:p>
        </w:tc>
        <w:tc>
          <w:tcPr>
            <w:tcW w:w="7790"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仿宋_GB2312" w:hAnsi="仿宋_GB2312" w:eastAsia="仿宋_GB2312" w:cs="仿宋_GB2312"/>
                <w:sz w:val="28"/>
                <w:szCs w:val="28"/>
              </w:rPr>
            </w:pPr>
            <w:r>
              <w:rPr>
                <w:rFonts w:hint="eastAsia" w:ascii="仿宋_GB2312" w:eastAsia="仿宋_GB2312"/>
                <w:sz w:val="28"/>
                <w:szCs w:val="28"/>
              </w:rPr>
              <w:t>光明文化艺术中心项目运营协议咨询服务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08" w:hRule="atLeast"/>
          <w:jc w:val="center"/>
        </w:trPr>
        <w:tc>
          <w:tcPr>
            <w:tcW w:w="1430"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项目情况</w:t>
            </w:r>
          </w:p>
        </w:tc>
        <w:tc>
          <w:tcPr>
            <w:tcW w:w="7790"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仿宋_GB2312" w:hAnsi="仿宋_GB2312" w:eastAsia="仿宋_GB2312" w:cs="仿宋_GB2312"/>
                <w:sz w:val="28"/>
                <w:szCs w:val="36"/>
              </w:rPr>
            </w:pPr>
            <w:r>
              <w:rPr>
                <w:rFonts w:hint="eastAsia" w:ascii="仿宋_GB2312" w:hAnsi="仿宋_GB2312" w:eastAsia="仿宋_GB2312" w:cs="仿宋_GB2312"/>
                <w:sz w:val="28"/>
                <w:szCs w:val="36"/>
              </w:rPr>
              <w:t>光明文化艺术中心总占地面积3.8万㎡，总建筑面积13万㎡，功能包括演艺中心（2.5万㎡）、美术馆（1.1万㎡）、图书馆（2.5万㎡）、城市规划展览馆（0.5万㎡）、文化综合区域（0.7万㎡）等</w:t>
            </w:r>
            <w:r>
              <w:rPr>
                <w:rFonts w:hint="eastAsia" w:ascii="仿宋_GB2312" w:hAnsi="仿宋_GB2312" w:eastAsia="仿宋_GB2312" w:cs="仿宋_GB2312"/>
                <w:sz w:val="28"/>
                <w:szCs w:val="36"/>
                <w:lang w:eastAsia="zh-CN"/>
              </w:rPr>
              <w:t>，</w:t>
            </w:r>
            <w:bookmarkStart w:id="0" w:name="_GoBack"/>
            <w:bookmarkEnd w:id="0"/>
            <w:r>
              <w:rPr>
                <w:rFonts w:hint="eastAsia" w:ascii="仿宋_GB2312" w:hAnsi="仿宋_GB2312" w:eastAsia="仿宋_GB2312" w:cs="仿宋_GB2312"/>
                <w:sz w:val="28"/>
                <w:szCs w:val="36"/>
              </w:rPr>
              <w:t>该项目预计2020年完工并投入使用。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08" w:hRule="atLeast"/>
          <w:jc w:val="center"/>
        </w:trPr>
        <w:tc>
          <w:tcPr>
            <w:tcW w:w="1430"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采购单位</w:t>
            </w:r>
          </w:p>
        </w:tc>
        <w:tc>
          <w:tcPr>
            <w:tcW w:w="7790"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仿宋_GB2312" w:hAnsi="仿宋_GB2312" w:eastAsia="仿宋_GB2312" w:cs="仿宋_GB2312"/>
                <w:bCs/>
                <w:sz w:val="28"/>
                <w:szCs w:val="28"/>
              </w:rPr>
            </w:pPr>
            <w:r>
              <w:rPr>
                <w:rFonts w:hint="eastAsia" w:ascii="仿宋_GB2312" w:hAnsi="仿宋_GB2312" w:eastAsia="仿宋_GB2312" w:cs="仿宋_GB2312"/>
                <w:color w:val="000000"/>
                <w:sz w:val="28"/>
                <w:szCs w:val="28"/>
              </w:rPr>
              <w:t>深圳市光明区文化广电旅游体育局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08" w:hRule="atLeast"/>
          <w:jc w:val="center"/>
        </w:trPr>
        <w:tc>
          <w:tcPr>
            <w:tcW w:w="1430"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仿宋_GB2312" w:hAnsi="仿宋_GB2312" w:eastAsia="仿宋_GB2312" w:cs="仿宋_GB2312"/>
                <w:sz w:val="28"/>
                <w:szCs w:val="36"/>
              </w:rPr>
            </w:pPr>
            <w:r>
              <w:rPr>
                <w:rFonts w:hint="eastAsia" w:ascii="仿宋_GB2312" w:hAnsi="仿宋_GB2312" w:eastAsia="仿宋_GB2312" w:cs="仿宋_GB2312"/>
                <w:sz w:val="28"/>
                <w:szCs w:val="36"/>
              </w:rPr>
              <w:t>控制金额</w:t>
            </w:r>
          </w:p>
        </w:tc>
        <w:tc>
          <w:tcPr>
            <w:tcW w:w="7790"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仿宋_GB2312" w:hAnsi="仿宋_GB2312" w:eastAsia="仿宋_GB2312" w:cs="仿宋_GB2312"/>
                <w:sz w:val="28"/>
                <w:szCs w:val="36"/>
              </w:rPr>
            </w:pPr>
            <w:r>
              <w:rPr>
                <w:rFonts w:hint="eastAsia" w:ascii="仿宋_GB2312" w:hAnsi="仿宋_GB2312" w:eastAsia="仿宋_GB2312" w:cs="仿宋_GB2312"/>
                <w:sz w:val="28"/>
                <w:szCs w:val="36"/>
              </w:rPr>
              <w:t>总预算：</w:t>
            </w:r>
            <w:r>
              <w:rPr>
                <w:rFonts w:ascii="仿宋_GB2312" w:hAnsi="仿宋_GB2312" w:eastAsia="仿宋_GB2312" w:cs="仿宋_GB2312"/>
                <w:sz w:val="28"/>
                <w:szCs w:val="36"/>
              </w:rPr>
              <w:t>4</w:t>
            </w:r>
            <w:r>
              <w:rPr>
                <w:rFonts w:hint="eastAsia" w:ascii="仿宋_GB2312" w:hAnsi="仿宋_GB2312" w:eastAsia="仿宋_GB2312" w:cs="仿宋_GB2312"/>
                <w:sz w:val="28"/>
                <w:szCs w:val="36"/>
              </w:rPr>
              <w:t>5万元。</w:t>
            </w:r>
          </w:p>
          <w:p>
            <w:pPr>
              <w:spacing w:line="560" w:lineRule="exact"/>
              <w:rPr>
                <w:rFonts w:ascii="仿宋_GB2312" w:hAnsi="仿宋_GB2312" w:eastAsia="仿宋_GB2312" w:cs="仿宋_GB2312"/>
                <w:sz w:val="28"/>
                <w:szCs w:val="36"/>
              </w:rPr>
            </w:pPr>
            <w:r>
              <w:rPr>
                <w:rFonts w:hint="eastAsia" w:ascii="仿宋_GB2312" w:hAnsi="仿宋_GB2312" w:eastAsia="仿宋_GB2312" w:cs="仿宋_GB2312"/>
                <w:sz w:val="28"/>
                <w:szCs w:val="36"/>
              </w:rPr>
              <w:t>分项工作内容预算为：</w:t>
            </w:r>
          </w:p>
          <w:p>
            <w:pPr>
              <w:pStyle w:val="10"/>
              <w:numPr>
                <w:ilvl w:val="0"/>
                <w:numId w:val="1"/>
              </w:numPr>
              <w:spacing w:line="560" w:lineRule="exact"/>
              <w:ind w:firstLineChars="0"/>
              <w:rPr>
                <w:rFonts w:ascii="仿宋_GB2312" w:hAnsi="仿宋_GB2312" w:eastAsia="仿宋_GB2312" w:cs="仿宋_GB2312"/>
                <w:sz w:val="28"/>
                <w:szCs w:val="36"/>
              </w:rPr>
            </w:pPr>
            <w:r>
              <w:rPr>
                <w:rFonts w:hint="eastAsia" w:ascii="仿宋_GB2312" w:hAnsi="仿宋_GB2312" w:eastAsia="仿宋_GB2312" w:cs="仿宋_GB2312"/>
                <w:sz w:val="28"/>
                <w:szCs w:val="36"/>
              </w:rPr>
              <w:t>法律协议起草与谈判：2</w:t>
            </w:r>
            <w:r>
              <w:rPr>
                <w:rFonts w:ascii="仿宋_GB2312" w:hAnsi="仿宋_GB2312" w:eastAsia="仿宋_GB2312" w:cs="仿宋_GB2312"/>
                <w:sz w:val="28"/>
                <w:szCs w:val="36"/>
              </w:rPr>
              <w:t>2</w:t>
            </w:r>
            <w:r>
              <w:rPr>
                <w:rFonts w:hint="eastAsia" w:ascii="仿宋_GB2312" w:hAnsi="仿宋_GB2312" w:eastAsia="仿宋_GB2312" w:cs="仿宋_GB2312"/>
                <w:sz w:val="28"/>
                <w:szCs w:val="36"/>
              </w:rPr>
              <w:t>万元；</w:t>
            </w:r>
          </w:p>
          <w:p>
            <w:pPr>
              <w:pStyle w:val="10"/>
              <w:numPr>
                <w:ilvl w:val="0"/>
                <w:numId w:val="1"/>
              </w:numPr>
              <w:spacing w:line="560" w:lineRule="exact"/>
              <w:ind w:firstLineChars="0"/>
              <w:rPr>
                <w:rFonts w:ascii="仿宋_GB2312" w:hAnsi="仿宋_GB2312" w:eastAsia="仿宋_GB2312" w:cs="仿宋_GB2312"/>
                <w:sz w:val="28"/>
                <w:szCs w:val="36"/>
              </w:rPr>
            </w:pPr>
            <w:r>
              <w:rPr>
                <w:rFonts w:hint="eastAsia" w:ascii="仿宋_GB2312" w:hAnsi="仿宋_GB2312" w:eastAsia="仿宋_GB2312" w:cs="仿宋_GB2312"/>
                <w:sz w:val="28"/>
                <w:szCs w:val="36"/>
              </w:rPr>
              <w:t>招标文件编制与实施：1</w:t>
            </w:r>
            <w:r>
              <w:rPr>
                <w:rFonts w:ascii="仿宋_GB2312" w:hAnsi="仿宋_GB2312" w:eastAsia="仿宋_GB2312" w:cs="仿宋_GB2312"/>
                <w:sz w:val="28"/>
                <w:szCs w:val="36"/>
              </w:rPr>
              <w:t>0</w:t>
            </w:r>
            <w:r>
              <w:rPr>
                <w:rFonts w:hint="eastAsia" w:ascii="仿宋_GB2312" w:hAnsi="仿宋_GB2312" w:eastAsia="仿宋_GB2312" w:cs="仿宋_GB2312"/>
                <w:sz w:val="28"/>
                <w:szCs w:val="36"/>
              </w:rPr>
              <w:t>万元；</w:t>
            </w:r>
          </w:p>
          <w:p>
            <w:pPr>
              <w:pStyle w:val="10"/>
              <w:numPr>
                <w:ilvl w:val="0"/>
                <w:numId w:val="1"/>
              </w:numPr>
              <w:spacing w:line="560" w:lineRule="exact"/>
              <w:ind w:firstLineChars="0"/>
              <w:rPr>
                <w:rFonts w:hint="eastAsia" w:ascii="仿宋_GB2312" w:hAnsi="仿宋_GB2312" w:eastAsia="仿宋_GB2312" w:cs="仿宋_GB2312"/>
                <w:sz w:val="28"/>
                <w:szCs w:val="36"/>
              </w:rPr>
            </w:pPr>
            <w:r>
              <w:rPr>
                <w:rFonts w:hint="eastAsia" w:ascii="仿宋_GB2312" w:hAnsi="仿宋_GB2312" w:eastAsia="仿宋_GB2312" w:cs="仿宋_GB2312"/>
                <w:sz w:val="28"/>
                <w:szCs w:val="36"/>
              </w:rPr>
              <w:t>PPP一评一案编制：1</w:t>
            </w:r>
            <w:r>
              <w:rPr>
                <w:rFonts w:ascii="仿宋_GB2312" w:hAnsi="仿宋_GB2312" w:eastAsia="仿宋_GB2312" w:cs="仿宋_GB2312"/>
                <w:sz w:val="28"/>
                <w:szCs w:val="36"/>
              </w:rPr>
              <w:t>3</w:t>
            </w:r>
            <w:r>
              <w:rPr>
                <w:rFonts w:hint="eastAsia" w:ascii="仿宋_GB2312" w:hAnsi="仿宋_GB2312" w:eastAsia="仿宋_GB2312" w:cs="仿宋_GB2312"/>
                <w:sz w:val="28"/>
                <w:szCs w:val="36"/>
              </w:rPr>
              <w:t>万元。</w:t>
            </w:r>
          </w:p>
          <w:p>
            <w:pPr>
              <w:spacing w:line="560" w:lineRule="exact"/>
              <w:rPr>
                <w:rFonts w:ascii="仿宋_GB2312" w:hAnsi="仿宋_GB2312" w:eastAsia="仿宋_GB2312" w:cs="仿宋_GB2312"/>
                <w:sz w:val="28"/>
                <w:szCs w:val="36"/>
              </w:rPr>
            </w:pPr>
            <w:r>
              <w:rPr>
                <w:rFonts w:hint="eastAsia" w:ascii="仿宋_GB2312" w:hAnsi="仿宋_GB2312" w:eastAsia="仿宋_GB2312" w:cs="仿宋_GB2312"/>
                <w:sz w:val="28"/>
                <w:szCs w:val="36"/>
              </w:rPr>
              <w:t>（总价或分项工作内容报价高于预算价格以上无效）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18" w:hRule="atLeast"/>
          <w:jc w:val="center"/>
        </w:trPr>
        <w:tc>
          <w:tcPr>
            <w:tcW w:w="1430"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完成期限</w:t>
            </w:r>
          </w:p>
        </w:tc>
        <w:tc>
          <w:tcPr>
            <w:tcW w:w="7790"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仿宋_GB2312" w:hAnsi="仿宋_GB2312" w:eastAsia="仿宋_GB2312" w:cs="仿宋_GB2312"/>
                <w:bCs/>
                <w:color w:val="000000"/>
                <w:sz w:val="28"/>
                <w:szCs w:val="28"/>
              </w:rPr>
            </w:pPr>
            <w:r>
              <w:rPr>
                <w:rFonts w:hint="eastAsia" w:ascii="仿宋_GB2312" w:hAnsi="仿宋_GB2312" w:eastAsia="仿宋_GB2312" w:cs="仿宋_GB2312"/>
                <w:sz w:val="28"/>
                <w:szCs w:val="28"/>
              </w:rPr>
              <w:t>在2019年8月30日之前完成咨询服务工作并通过光明区文化广电旅游体育局评审验收。</w:t>
            </w:r>
          </w:p>
        </w:tc>
      </w:tr>
    </w:tbl>
    <w:p>
      <w:pPr>
        <w:ind w:firstLine="640" w:firstLineChars="200"/>
        <w:rPr>
          <w:rFonts w:ascii="黑体" w:hAnsi="黑体" w:eastAsia="黑体"/>
          <w:sz w:val="32"/>
          <w:szCs w:val="32"/>
        </w:rPr>
      </w:pPr>
      <w:r>
        <w:rPr>
          <w:rFonts w:hint="eastAsia" w:ascii="黑体" w:hAnsi="黑体" w:eastAsia="黑体"/>
          <w:sz w:val="32"/>
          <w:szCs w:val="32"/>
        </w:rPr>
        <w:t>二、项目要求</w:t>
      </w:r>
    </w:p>
    <w:p>
      <w:pPr>
        <w:spacing w:line="560" w:lineRule="exact"/>
        <w:ind w:firstLine="640" w:firstLineChars="200"/>
        <w:rPr>
          <w:rFonts w:ascii="楷体_GB2312" w:eastAsia="楷体_GB2312"/>
          <w:sz w:val="32"/>
          <w:szCs w:val="32"/>
        </w:rPr>
      </w:pPr>
      <w:r>
        <w:rPr>
          <w:rFonts w:hint="eastAsia" w:ascii="楷体_GB2312" w:eastAsia="楷体_GB2312"/>
          <w:sz w:val="32"/>
          <w:szCs w:val="32"/>
        </w:rPr>
        <w:t>（一）基本情况</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本项目名称为光明文化艺术中心项目运营协议咨询服务。光明文化艺术中心占地面积3.8万平方米，拟按照社会化运营的模式，引进专业社会资本负责项目的装修改造及运营管理等各项工作。</w:t>
      </w:r>
    </w:p>
    <w:p>
      <w:pPr>
        <w:spacing w:line="560" w:lineRule="exact"/>
        <w:ind w:firstLine="640" w:firstLineChars="200"/>
        <w:rPr>
          <w:rFonts w:ascii="楷体_GB2312" w:eastAsia="楷体_GB2312"/>
          <w:sz w:val="32"/>
          <w:szCs w:val="32"/>
        </w:rPr>
      </w:pPr>
      <w:r>
        <w:rPr>
          <w:rFonts w:hint="eastAsia" w:ascii="楷体_GB2312" w:eastAsia="楷体_GB2312"/>
          <w:sz w:val="32"/>
          <w:szCs w:val="32"/>
        </w:rPr>
        <w:t>（二）咨询服务工作内容及成果</w:t>
      </w:r>
    </w:p>
    <w:p>
      <w:pPr>
        <w:spacing w:line="560" w:lineRule="exact"/>
        <w:ind w:left="141" w:leftChars="67" w:firstLine="643" w:firstLineChars="200"/>
        <w:rPr>
          <w:rFonts w:ascii="仿宋_GB2312" w:eastAsia="仿宋_GB2312"/>
          <w:b/>
          <w:sz w:val="32"/>
          <w:szCs w:val="32"/>
        </w:rPr>
      </w:pPr>
      <w:r>
        <w:rPr>
          <w:rFonts w:ascii="仿宋_GB2312" w:eastAsia="仿宋_GB2312"/>
          <w:b/>
          <w:sz w:val="32"/>
          <w:szCs w:val="32"/>
        </w:rPr>
        <w:t>1</w:t>
      </w:r>
      <w:r>
        <w:rPr>
          <w:rFonts w:hint="eastAsia" w:ascii="仿宋_GB2312" w:eastAsia="仿宋_GB2312"/>
          <w:b/>
          <w:sz w:val="32"/>
          <w:szCs w:val="32"/>
        </w:rPr>
        <w:t>.法律协议起草与谈判</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（1）成立项目组开展项目调查工作，全面收集本项目相关资料，梳理项目法律协议的核心内容；</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（2）根据项目实施要求设计交易结构与核心边界条件，包括但不限于项目运作方式、运营管理的具体范围与内容、回报机制、公共服务产出标准、绩效考核标准和退出机制等；</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（3）基于项目交易结构与核心边界条件起草项目一揽子法律协议；</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（4）协助我局与中标社会资本进行法律协议谈判，包括但不限于就涉及的法律、工程、运营等方面问题提出专业咨询意见，整理谈判备忘录、并据此完成法律协议的修改与定稿；</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w:t>
      </w:r>
      <w:r>
        <w:rPr>
          <w:rFonts w:ascii="仿宋_GB2312" w:eastAsia="仿宋_GB2312"/>
          <w:sz w:val="32"/>
          <w:szCs w:val="32"/>
        </w:rPr>
        <w:t>5</w:t>
      </w:r>
      <w:r>
        <w:rPr>
          <w:rFonts w:hint="eastAsia" w:ascii="仿宋_GB2312" w:eastAsia="仿宋_GB2312"/>
          <w:sz w:val="32"/>
          <w:szCs w:val="32"/>
        </w:rPr>
        <w:t>）协助我局与中标社会资本签订法律协议。</w:t>
      </w:r>
    </w:p>
    <w:p>
      <w:pPr>
        <w:spacing w:line="560" w:lineRule="exact"/>
        <w:ind w:left="141" w:leftChars="67" w:firstLine="643" w:firstLineChars="200"/>
        <w:rPr>
          <w:rFonts w:ascii="仿宋_GB2312" w:eastAsia="仿宋_GB2312"/>
          <w:b/>
          <w:sz w:val="32"/>
          <w:szCs w:val="32"/>
        </w:rPr>
      </w:pPr>
      <w:r>
        <w:rPr>
          <w:rFonts w:ascii="仿宋_GB2312" w:eastAsia="仿宋_GB2312"/>
          <w:b/>
          <w:sz w:val="32"/>
          <w:szCs w:val="32"/>
        </w:rPr>
        <w:t>2</w:t>
      </w:r>
      <w:r>
        <w:rPr>
          <w:rFonts w:hint="eastAsia" w:ascii="仿宋_GB2312" w:eastAsia="仿宋_GB2312"/>
          <w:b/>
          <w:sz w:val="32"/>
          <w:szCs w:val="32"/>
        </w:rPr>
        <w:t>.招标文件编制与实施</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（1）编制社会资本招标文件。</w:t>
      </w:r>
    </w:p>
    <w:p>
      <w:pPr>
        <w:spacing w:line="560" w:lineRule="exact"/>
        <w:ind w:left="141" w:leftChars="67" w:firstLine="643" w:firstLineChars="200"/>
        <w:rPr>
          <w:rFonts w:ascii="仿宋_GB2312" w:eastAsia="仿宋_GB2312"/>
          <w:b/>
          <w:sz w:val="32"/>
          <w:szCs w:val="32"/>
        </w:rPr>
      </w:pPr>
      <w:r>
        <w:rPr>
          <w:rFonts w:hint="eastAsia" w:ascii="仿宋_GB2312" w:eastAsia="仿宋_GB2312"/>
          <w:b/>
          <w:sz w:val="32"/>
          <w:szCs w:val="32"/>
        </w:rPr>
        <w:t>3.PPP一评一案编制（或有工作内容）</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（1）编制PPP实施方案；</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（2）编制《物有所值评价报告》。</w:t>
      </w:r>
    </w:p>
    <w:p>
      <w:pPr>
        <w:spacing w:line="560" w:lineRule="exact"/>
        <w:ind w:firstLine="640" w:firstLineChars="200"/>
        <w:rPr>
          <w:rFonts w:ascii="黑体" w:hAnsi="黑体" w:eastAsia="黑体"/>
          <w:sz w:val="32"/>
          <w:szCs w:val="32"/>
        </w:rPr>
      </w:pPr>
      <w:r>
        <w:rPr>
          <w:rFonts w:hint="eastAsia" w:ascii="黑体" w:hAnsi="黑体" w:eastAsia="黑体"/>
          <w:sz w:val="32"/>
          <w:szCs w:val="32"/>
        </w:rPr>
        <w:t>三、资格要求</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（一）</w:t>
      </w:r>
      <w:r>
        <w:rPr>
          <w:rFonts w:hint="eastAsia" w:ascii="仿宋" w:hAnsi="仿宋" w:eastAsia="仿宋" w:cs="仿宋"/>
          <w:sz w:val="32"/>
          <w:szCs w:val="32"/>
        </w:rPr>
        <w:t>需在深圳市市场监督管理局平台备案；</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（二）具有独立法人资格且经营范围须包含投资咨询。</w:t>
      </w:r>
    </w:p>
    <w:p>
      <w:pPr>
        <w:spacing w:line="560" w:lineRule="exact"/>
        <w:ind w:firstLine="640" w:firstLineChars="200"/>
        <w:rPr>
          <w:rFonts w:ascii="黑体" w:hAnsi="黑体" w:eastAsia="黑体"/>
          <w:sz w:val="32"/>
          <w:szCs w:val="32"/>
        </w:rPr>
      </w:pPr>
      <w:r>
        <w:rPr>
          <w:rFonts w:hint="eastAsia" w:ascii="黑体" w:hAnsi="黑体" w:eastAsia="黑体"/>
          <w:sz w:val="32"/>
          <w:szCs w:val="32"/>
        </w:rPr>
        <w:t>四、技术目标</w:t>
      </w:r>
    </w:p>
    <w:p>
      <w:pPr>
        <w:spacing w:line="560" w:lineRule="exact"/>
        <w:ind w:firstLine="640" w:firstLineChars="200"/>
        <w:rPr>
          <w:rFonts w:ascii="仿宋_GB2312" w:eastAsia="仿宋_GB2312"/>
          <w:sz w:val="32"/>
          <w:szCs w:val="32"/>
        </w:rPr>
      </w:pPr>
      <w:r>
        <w:rPr>
          <w:rFonts w:hint="eastAsia" w:ascii="楷体" w:hAnsi="楷体" w:eastAsia="楷体" w:cs="楷体"/>
          <w:sz w:val="32"/>
          <w:szCs w:val="32"/>
        </w:rPr>
        <w:t>服务质量标准：</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（1）服务期内，对于我局提出的相关技术问题，中标人应于提出问题的当天及时响应并解答。</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（2）中标人提交的服务成果均应符合国家相关法律法规要求。</w:t>
      </w:r>
    </w:p>
    <w:p>
      <w:pPr>
        <w:spacing w:line="560" w:lineRule="exact"/>
        <w:ind w:firstLine="640" w:firstLineChars="200"/>
        <w:rPr>
          <w:rFonts w:ascii="仿宋_GB2312" w:eastAsia="仿宋_GB2312"/>
          <w:sz w:val="32"/>
          <w:szCs w:val="32"/>
        </w:rPr>
      </w:pPr>
      <w:r>
        <w:rPr>
          <w:rFonts w:hint="eastAsia" w:ascii="楷体" w:hAnsi="楷体" w:eastAsia="楷体" w:cs="楷体"/>
          <w:sz w:val="32"/>
          <w:szCs w:val="32"/>
        </w:rPr>
        <w:t>服务周期：</w:t>
      </w:r>
      <w:r>
        <w:rPr>
          <w:rFonts w:hint="eastAsia" w:ascii="仿宋_GB2312" w:eastAsia="仿宋_GB2312"/>
          <w:sz w:val="32"/>
          <w:szCs w:val="32"/>
        </w:rPr>
        <w:t>自合同签署后六个月内。</w:t>
      </w:r>
    </w:p>
    <w:p>
      <w:pPr>
        <w:spacing w:line="560" w:lineRule="exact"/>
        <w:ind w:firstLine="640" w:firstLineChars="200"/>
        <w:rPr>
          <w:rFonts w:ascii="黑体" w:hAnsi="黑体" w:eastAsia="黑体"/>
          <w:sz w:val="32"/>
          <w:szCs w:val="32"/>
        </w:rPr>
      </w:pPr>
      <w:r>
        <w:rPr>
          <w:rFonts w:hint="eastAsia" w:ascii="黑体" w:hAnsi="黑体" w:eastAsia="黑体"/>
          <w:sz w:val="32"/>
          <w:szCs w:val="32"/>
        </w:rPr>
        <w:t>五、其他要求</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（一）服务工作结束后，需向我局提交《光明文化艺术中心项目法律协议》等书面成果。</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（二）在与意向运营商签订运营协议前，须根据我局的需求对成果进行修改、修补、完善等工作。</w:t>
      </w:r>
    </w:p>
    <w:p>
      <w:pPr>
        <w:spacing w:line="560" w:lineRule="exact"/>
        <w:ind w:firstLine="640" w:firstLineChars="200"/>
        <w:rPr>
          <w:rFonts w:ascii="黑体" w:hAnsi="黑体" w:eastAsia="黑体"/>
          <w:sz w:val="32"/>
          <w:szCs w:val="32"/>
        </w:rPr>
      </w:pPr>
      <w:r>
        <w:rPr>
          <w:rFonts w:hint="eastAsia" w:ascii="黑体" w:hAnsi="黑体" w:eastAsia="黑体"/>
          <w:sz w:val="32"/>
          <w:szCs w:val="32"/>
        </w:rPr>
        <w:t>六、评分标准</w:t>
      </w:r>
    </w:p>
    <w:tbl>
      <w:tblPr>
        <w:tblStyle w:val="5"/>
        <w:tblW w:w="9662" w:type="dxa"/>
        <w:jc w:val="center"/>
        <w:tblInd w:w="0" w:type="dxa"/>
        <w:tblLayout w:type="fixed"/>
        <w:tblCellMar>
          <w:top w:w="0" w:type="dxa"/>
          <w:left w:w="108" w:type="dxa"/>
          <w:bottom w:w="0" w:type="dxa"/>
          <w:right w:w="108" w:type="dxa"/>
        </w:tblCellMar>
      </w:tblPr>
      <w:tblGrid>
        <w:gridCol w:w="616"/>
        <w:gridCol w:w="797"/>
        <w:gridCol w:w="1843"/>
        <w:gridCol w:w="708"/>
        <w:gridCol w:w="5698"/>
      </w:tblGrid>
      <w:tr>
        <w:tblPrEx>
          <w:tblLayout w:type="fixed"/>
          <w:tblCellMar>
            <w:top w:w="0" w:type="dxa"/>
            <w:left w:w="108" w:type="dxa"/>
            <w:bottom w:w="0" w:type="dxa"/>
            <w:right w:w="108" w:type="dxa"/>
          </w:tblCellMar>
        </w:tblPrEx>
        <w:trPr>
          <w:trHeight w:val="495" w:hRule="atLeast"/>
          <w:jc w:val="center"/>
        </w:trPr>
        <w:tc>
          <w:tcPr>
            <w:tcW w:w="616"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b/>
                <w:bCs/>
              </w:rPr>
            </w:pPr>
            <w:r>
              <w:rPr>
                <w:rFonts w:ascii="仿宋" w:hAnsi="仿宋"/>
                <w:b/>
                <w:bCs/>
              </w:rPr>
              <w:t>序号</w:t>
            </w:r>
          </w:p>
        </w:tc>
        <w:tc>
          <w:tcPr>
            <w:tcW w:w="3348" w:type="dxa"/>
            <w:gridSpan w:val="3"/>
            <w:tcBorders>
              <w:top w:val="single" w:color="auto" w:sz="4" w:space="0"/>
              <w:left w:val="nil"/>
              <w:bottom w:val="single" w:color="auto" w:sz="4" w:space="0"/>
              <w:right w:val="single" w:color="auto" w:sz="4" w:space="0"/>
            </w:tcBorders>
            <w:vAlign w:val="center"/>
          </w:tcPr>
          <w:p>
            <w:pPr>
              <w:jc w:val="center"/>
              <w:rPr>
                <w:rFonts w:ascii="仿宋" w:hAnsi="仿宋"/>
                <w:b/>
                <w:bCs/>
              </w:rPr>
            </w:pPr>
            <w:r>
              <w:rPr>
                <w:rFonts w:ascii="仿宋" w:hAnsi="仿宋"/>
                <w:b/>
                <w:bCs/>
              </w:rPr>
              <w:t>评分项</w:t>
            </w:r>
          </w:p>
        </w:tc>
        <w:tc>
          <w:tcPr>
            <w:tcW w:w="5698" w:type="dxa"/>
            <w:tcBorders>
              <w:top w:val="single" w:color="auto" w:sz="4" w:space="0"/>
              <w:left w:val="nil"/>
              <w:bottom w:val="single" w:color="auto" w:sz="4" w:space="0"/>
              <w:right w:val="single" w:color="auto" w:sz="4" w:space="0"/>
            </w:tcBorders>
            <w:vAlign w:val="center"/>
          </w:tcPr>
          <w:p>
            <w:pPr>
              <w:jc w:val="center"/>
              <w:rPr>
                <w:rFonts w:ascii="仿宋" w:hAnsi="仿宋"/>
                <w:b/>
                <w:bCs/>
              </w:rPr>
            </w:pPr>
            <w:r>
              <w:rPr>
                <w:rFonts w:ascii="仿宋" w:hAnsi="仿宋"/>
                <w:b/>
                <w:bCs/>
              </w:rPr>
              <w:t>权重</w:t>
            </w:r>
          </w:p>
        </w:tc>
      </w:tr>
      <w:tr>
        <w:tblPrEx>
          <w:tblLayout w:type="fixed"/>
          <w:tblCellMar>
            <w:top w:w="0" w:type="dxa"/>
            <w:left w:w="108" w:type="dxa"/>
            <w:bottom w:w="0" w:type="dxa"/>
            <w:right w:w="108" w:type="dxa"/>
          </w:tblCellMar>
        </w:tblPrEx>
        <w:trPr>
          <w:trHeight w:val="458" w:hRule="atLeast"/>
          <w:jc w:val="center"/>
        </w:trPr>
        <w:tc>
          <w:tcPr>
            <w:tcW w:w="616"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b/>
                <w:bCs/>
              </w:rPr>
            </w:pPr>
            <w:r>
              <w:rPr>
                <w:rFonts w:ascii="仿宋" w:hAnsi="仿宋"/>
                <w:b/>
                <w:bCs/>
              </w:rPr>
              <w:t>1</w:t>
            </w:r>
          </w:p>
        </w:tc>
        <w:tc>
          <w:tcPr>
            <w:tcW w:w="3348" w:type="dxa"/>
            <w:gridSpan w:val="3"/>
            <w:tcBorders>
              <w:top w:val="single" w:color="auto" w:sz="4" w:space="0"/>
              <w:left w:val="nil"/>
              <w:bottom w:val="single" w:color="auto" w:sz="4" w:space="0"/>
              <w:right w:val="single" w:color="auto" w:sz="4" w:space="0"/>
            </w:tcBorders>
            <w:vAlign w:val="center"/>
          </w:tcPr>
          <w:p>
            <w:pPr>
              <w:jc w:val="center"/>
              <w:rPr>
                <w:rFonts w:ascii="仿宋" w:hAnsi="仿宋"/>
                <w:b/>
                <w:bCs/>
              </w:rPr>
            </w:pPr>
            <w:r>
              <w:rPr>
                <w:rFonts w:ascii="仿宋" w:hAnsi="仿宋"/>
                <w:b/>
                <w:bCs/>
              </w:rPr>
              <w:t>价格</w:t>
            </w:r>
          </w:p>
        </w:tc>
        <w:tc>
          <w:tcPr>
            <w:tcW w:w="5698" w:type="dxa"/>
            <w:tcBorders>
              <w:top w:val="single" w:color="auto" w:sz="4" w:space="0"/>
              <w:left w:val="nil"/>
              <w:bottom w:val="single" w:color="auto" w:sz="4" w:space="0"/>
              <w:right w:val="single" w:color="auto" w:sz="4" w:space="0"/>
            </w:tcBorders>
            <w:vAlign w:val="center"/>
          </w:tcPr>
          <w:p>
            <w:pPr>
              <w:jc w:val="center"/>
              <w:rPr>
                <w:rFonts w:ascii="仿宋" w:hAnsi="仿宋"/>
                <w:b/>
                <w:bCs/>
              </w:rPr>
            </w:pPr>
            <w:r>
              <w:rPr>
                <w:rFonts w:ascii="仿宋" w:hAnsi="仿宋"/>
                <w:b/>
                <w:bCs/>
              </w:rPr>
              <w:t>20</w:t>
            </w:r>
          </w:p>
        </w:tc>
      </w:tr>
      <w:tr>
        <w:tblPrEx>
          <w:tblLayout w:type="fixed"/>
          <w:tblCellMar>
            <w:top w:w="0" w:type="dxa"/>
            <w:left w:w="108" w:type="dxa"/>
            <w:bottom w:w="0" w:type="dxa"/>
            <w:right w:w="108" w:type="dxa"/>
          </w:tblCellMar>
        </w:tblPrEx>
        <w:trPr>
          <w:trHeight w:val="705" w:hRule="atLeast"/>
          <w:jc w:val="center"/>
        </w:trPr>
        <w:tc>
          <w:tcPr>
            <w:tcW w:w="616" w:type="dxa"/>
            <w:vMerge w:val="restart"/>
            <w:tcBorders>
              <w:top w:val="nil"/>
              <w:left w:val="single" w:color="auto" w:sz="4" w:space="0"/>
              <w:bottom w:val="single" w:color="auto" w:sz="4" w:space="0"/>
              <w:right w:val="single" w:color="auto" w:sz="4" w:space="0"/>
            </w:tcBorders>
            <w:vAlign w:val="center"/>
          </w:tcPr>
          <w:p>
            <w:pPr>
              <w:jc w:val="center"/>
              <w:rPr>
                <w:rFonts w:ascii="仿宋" w:hAnsi="仿宋"/>
              </w:rPr>
            </w:pPr>
          </w:p>
        </w:tc>
        <w:tc>
          <w:tcPr>
            <w:tcW w:w="797" w:type="dxa"/>
            <w:tcBorders>
              <w:top w:val="single" w:color="auto" w:sz="4" w:space="0"/>
              <w:left w:val="nil"/>
              <w:bottom w:val="single" w:color="auto" w:sz="4" w:space="0"/>
              <w:right w:val="single" w:color="auto" w:sz="4" w:space="0"/>
            </w:tcBorders>
            <w:vAlign w:val="center"/>
          </w:tcPr>
          <w:p>
            <w:pPr>
              <w:spacing w:after="60"/>
              <w:jc w:val="center"/>
              <w:rPr>
                <w:rFonts w:ascii="仿宋" w:hAnsi="仿宋"/>
              </w:rPr>
            </w:pPr>
            <w:r>
              <w:rPr>
                <w:rFonts w:ascii="仿宋" w:hAnsi="仿宋"/>
              </w:rPr>
              <w:t>序号</w:t>
            </w:r>
          </w:p>
        </w:tc>
        <w:tc>
          <w:tcPr>
            <w:tcW w:w="1843" w:type="dxa"/>
            <w:tcBorders>
              <w:top w:val="single" w:color="auto" w:sz="4" w:space="0"/>
              <w:left w:val="nil"/>
              <w:bottom w:val="single" w:color="auto" w:sz="4" w:space="0"/>
              <w:right w:val="single" w:color="auto" w:sz="4" w:space="0"/>
            </w:tcBorders>
            <w:vAlign w:val="center"/>
          </w:tcPr>
          <w:p>
            <w:pPr>
              <w:spacing w:after="60"/>
              <w:jc w:val="center"/>
              <w:rPr>
                <w:rFonts w:ascii="仿宋" w:hAnsi="仿宋"/>
              </w:rPr>
            </w:pPr>
            <w:r>
              <w:rPr>
                <w:rFonts w:ascii="仿宋" w:hAnsi="仿宋"/>
              </w:rPr>
              <w:t>评分因素</w:t>
            </w:r>
          </w:p>
        </w:tc>
        <w:tc>
          <w:tcPr>
            <w:tcW w:w="708" w:type="dxa"/>
            <w:tcBorders>
              <w:top w:val="single" w:color="auto" w:sz="4" w:space="0"/>
              <w:left w:val="nil"/>
              <w:bottom w:val="single" w:color="auto" w:sz="4" w:space="0"/>
              <w:right w:val="single" w:color="auto" w:sz="4" w:space="0"/>
            </w:tcBorders>
            <w:vAlign w:val="center"/>
          </w:tcPr>
          <w:p>
            <w:pPr>
              <w:spacing w:after="60"/>
              <w:jc w:val="center"/>
              <w:rPr>
                <w:rFonts w:ascii="仿宋" w:hAnsi="仿宋"/>
              </w:rPr>
            </w:pPr>
            <w:r>
              <w:rPr>
                <w:rFonts w:ascii="仿宋" w:hAnsi="仿宋"/>
              </w:rPr>
              <w:t>权重</w:t>
            </w:r>
          </w:p>
        </w:tc>
        <w:tc>
          <w:tcPr>
            <w:tcW w:w="5698" w:type="dxa"/>
            <w:tcBorders>
              <w:top w:val="single" w:color="auto" w:sz="4" w:space="0"/>
              <w:left w:val="nil"/>
              <w:bottom w:val="single" w:color="auto" w:sz="4" w:space="0"/>
              <w:right w:val="single" w:color="auto" w:sz="4" w:space="0"/>
            </w:tcBorders>
            <w:vAlign w:val="center"/>
          </w:tcPr>
          <w:p>
            <w:pPr>
              <w:spacing w:after="60"/>
              <w:jc w:val="center"/>
              <w:rPr>
                <w:rFonts w:ascii="仿宋" w:hAnsi="仿宋"/>
              </w:rPr>
            </w:pPr>
            <w:r>
              <w:rPr>
                <w:rFonts w:ascii="仿宋" w:hAnsi="仿宋"/>
              </w:rPr>
              <w:t>评分准则</w:t>
            </w:r>
          </w:p>
        </w:tc>
      </w:tr>
      <w:tr>
        <w:tblPrEx>
          <w:tblLayout w:type="fixed"/>
          <w:tblCellMar>
            <w:top w:w="0" w:type="dxa"/>
            <w:left w:w="108" w:type="dxa"/>
            <w:bottom w:w="0" w:type="dxa"/>
            <w:right w:w="108" w:type="dxa"/>
          </w:tblCellMar>
        </w:tblPrEx>
        <w:trPr>
          <w:trHeight w:val="1654" w:hRule="atLeast"/>
          <w:jc w:val="center"/>
        </w:trPr>
        <w:tc>
          <w:tcPr>
            <w:tcW w:w="616" w:type="dxa"/>
            <w:vMerge w:val="continue"/>
            <w:tcBorders>
              <w:top w:val="nil"/>
              <w:left w:val="single" w:color="auto" w:sz="4" w:space="0"/>
              <w:bottom w:val="single" w:color="auto" w:sz="4" w:space="0"/>
              <w:right w:val="single" w:color="auto" w:sz="4" w:space="0"/>
            </w:tcBorders>
            <w:vAlign w:val="center"/>
          </w:tcPr>
          <w:p>
            <w:pPr>
              <w:widowControl/>
              <w:jc w:val="center"/>
              <w:rPr>
                <w:rFonts w:ascii="仿宋" w:hAnsi="仿宋"/>
              </w:rPr>
            </w:pPr>
          </w:p>
        </w:tc>
        <w:tc>
          <w:tcPr>
            <w:tcW w:w="797" w:type="dxa"/>
            <w:tcBorders>
              <w:top w:val="single" w:color="auto" w:sz="4" w:space="0"/>
              <w:left w:val="nil"/>
              <w:bottom w:val="single" w:color="auto" w:sz="4" w:space="0"/>
              <w:right w:val="single" w:color="auto" w:sz="4" w:space="0"/>
            </w:tcBorders>
            <w:vAlign w:val="center"/>
          </w:tcPr>
          <w:p>
            <w:pPr>
              <w:jc w:val="center"/>
              <w:rPr>
                <w:rFonts w:ascii="仿宋" w:hAnsi="仿宋"/>
              </w:rPr>
            </w:pPr>
            <w:r>
              <w:rPr>
                <w:rFonts w:ascii="仿宋" w:hAnsi="仿宋"/>
              </w:rPr>
              <w:t>1</w:t>
            </w:r>
          </w:p>
        </w:tc>
        <w:tc>
          <w:tcPr>
            <w:tcW w:w="1843" w:type="dxa"/>
            <w:tcBorders>
              <w:top w:val="single" w:color="auto" w:sz="4" w:space="0"/>
              <w:left w:val="nil"/>
              <w:bottom w:val="single" w:color="auto" w:sz="4" w:space="0"/>
              <w:right w:val="single" w:color="auto" w:sz="4" w:space="0"/>
            </w:tcBorders>
            <w:vAlign w:val="center"/>
          </w:tcPr>
          <w:p>
            <w:pPr>
              <w:jc w:val="center"/>
              <w:rPr>
                <w:rFonts w:ascii="仿宋" w:hAnsi="仿宋"/>
              </w:rPr>
            </w:pPr>
            <w:r>
              <w:rPr>
                <w:rFonts w:ascii="仿宋" w:hAnsi="仿宋"/>
              </w:rPr>
              <w:t>价格评分</w:t>
            </w:r>
          </w:p>
        </w:tc>
        <w:tc>
          <w:tcPr>
            <w:tcW w:w="708" w:type="dxa"/>
            <w:tcBorders>
              <w:top w:val="single" w:color="auto" w:sz="4" w:space="0"/>
              <w:left w:val="nil"/>
              <w:bottom w:val="single" w:color="auto" w:sz="4" w:space="0"/>
              <w:right w:val="single" w:color="auto" w:sz="4" w:space="0"/>
            </w:tcBorders>
            <w:vAlign w:val="center"/>
          </w:tcPr>
          <w:p>
            <w:pPr>
              <w:jc w:val="center"/>
              <w:rPr>
                <w:rFonts w:ascii="仿宋" w:hAnsi="仿宋"/>
              </w:rPr>
            </w:pPr>
            <w:r>
              <w:rPr>
                <w:rFonts w:ascii="仿宋" w:hAnsi="仿宋"/>
              </w:rPr>
              <w:t>20</w:t>
            </w:r>
          </w:p>
        </w:tc>
        <w:tc>
          <w:tcPr>
            <w:tcW w:w="5698" w:type="dxa"/>
            <w:tcBorders>
              <w:top w:val="single" w:color="auto" w:sz="4" w:space="0"/>
              <w:left w:val="nil"/>
              <w:bottom w:val="single" w:color="auto" w:sz="4" w:space="0"/>
              <w:right w:val="single" w:color="auto" w:sz="4" w:space="0"/>
            </w:tcBorders>
            <w:vAlign w:val="center"/>
          </w:tcPr>
          <w:p>
            <w:pPr>
              <w:rPr>
                <w:rFonts w:ascii="仿宋" w:hAnsi="仿宋"/>
                <w:kern w:val="0"/>
              </w:rPr>
            </w:pPr>
            <w:r>
              <w:rPr>
                <w:rFonts w:ascii="仿宋" w:hAnsi="仿宋"/>
                <w:kern w:val="0"/>
              </w:rPr>
              <w:t>评标基准价：</w:t>
            </w:r>
            <w:r>
              <w:rPr>
                <w:rFonts w:hint="eastAsia" w:ascii="仿宋" w:hAnsi="仿宋"/>
                <w:kern w:val="0"/>
              </w:rPr>
              <w:t>需</w:t>
            </w:r>
            <w:r>
              <w:rPr>
                <w:rFonts w:ascii="仿宋" w:hAnsi="仿宋"/>
                <w:kern w:val="0"/>
              </w:rPr>
              <w:t>满足招标文件要求</w:t>
            </w:r>
            <w:r>
              <w:rPr>
                <w:rFonts w:hint="eastAsia" w:ascii="仿宋" w:hAnsi="仿宋"/>
                <w:kern w:val="0"/>
              </w:rPr>
              <w:t>，</w:t>
            </w:r>
            <w:r>
              <w:rPr>
                <w:rFonts w:ascii="仿宋" w:hAnsi="仿宋"/>
                <w:kern w:val="0"/>
              </w:rPr>
              <w:t>价格清单不详或报价不合理的酌情扣分。</w:t>
            </w:r>
          </w:p>
          <w:p>
            <w:pPr>
              <w:numPr>
                <w:ilvl w:val="0"/>
                <w:numId w:val="2"/>
              </w:numPr>
              <w:rPr>
                <w:rFonts w:ascii="仿宋" w:hAnsi="仿宋"/>
                <w:kern w:val="0"/>
              </w:rPr>
            </w:pPr>
            <w:r>
              <w:rPr>
                <w:rFonts w:hint="eastAsia" w:ascii="仿宋" w:hAnsi="仿宋"/>
                <w:kern w:val="0"/>
              </w:rPr>
              <w:t>报价最低者，得满分；</w:t>
            </w:r>
          </w:p>
          <w:p>
            <w:pPr>
              <w:numPr>
                <w:ilvl w:val="0"/>
                <w:numId w:val="2"/>
              </w:numPr>
              <w:rPr>
                <w:rFonts w:ascii="仿宋" w:hAnsi="仿宋"/>
                <w:kern w:val="0"/>
              </w:rPr>
            </w:pPr>
            <w:r>
              <w:rPr>
                <w:rFonts w:ascii="仿宋" w:hAnsi="仿宋"/>
                <w:kern w:val="0"/>
              </w:rPr>
              <w:t>报价次低者，得</w:t>
            </w:r>
            <w:r>
              <w:rPr>
                <w:rFonts w:hint="eastAsia" w:ascii="仿宋" w:hAnsi="仿宋"/>
                <w:kern w:val="0"/>
              </w:rPr>
              <w:t>15分；</w:t>
            </w:r>
          </w:p>
          <w:p>
            <w:pPr>
              <w:numPr>
                <w:ilvl w:val="0"/>
                <w:numId w:val="2"/>
              </w:numPr>
              <w:rPr>
                <w:rFonts w:ascii="仿宋" w:hAnsi="仿宋"/>
                <w:kern w:val="0"/>
              </w:rPr>
            </w:pPr>
            <w:r>
              <w:rPr>
                <w:rFonts w:ascii="仿宋" w:hAnsi="仿宋"/>
                <w:kern w:val="0"/>
              </w:rPr>
              <w:t>报价第三低及以上，得</w:t>
            </w:r>
            <w:r>
              <w:rPr>
                <w:rFonts w:hint="eastAsia" w:ascii="仿宋" w:hAnsi="仿宋"/>
                <w:kern w:val="0"/>
              </w:rPr>
              <w:t>10分。</w:t>
            </w:r>
          </w:p>
          <w:p>
            <w:pPr>
              <w:rPr>
                <w:rFonts w:ascii="仿宋" w:hAnsi="仿宋"/>
              </w:rPr>
            </w:pPr>
            <w:r>
              <w:rPr>
                <w:rFonts w:ascii="仿宋" w:hAnsi="仿宋"/>
              </w:rPr>
              <w:t>（为保证成果品质，按本项目深度及研究范围要求，投标报价不得低于最高价格限额的80%，否则做废标处理。）</w:t>
            </w:r>
          </w:p>
        </w:tc>
      </w:tr>
      <w:tr>
        <w:tblPrEx>
          <w:tblLayout w:type="fixed"/>
          <w:tblCellMar>
            <w:top w:w="0" w:type="dxa"/>
            <w:left w:w="108" w:type="dxa"/>
            <w:bottom w:w="0" w:type="dxa"/>
            <w:right w:w="108" w:type="dxa"/>
          </w:tblCellMar>
        </w:tblPrEx>
        <w:trPr>
          <w:trHeight w:val="373" w:hRule="atLeast"/>
          <w:jc w:val="center"/>
        </w:trPr>
        <w:tc>
          <w:tcPr>
            <w:tcW w:w="616"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b/>
                <w:bCs/>
              </w:rPr>
            </w:pPr>
            <w:r>
              <w:rPr>
                <w:rFonts w:ascii="仿宋" w:hAnsi="仿宋"/>
                <w:b/>
                <w:bCs/>
              </w:rPr>
              <w:t>2</w:t>
            </w:r>
          </w:p>
        </w:tc>
        <w:tc>
          <w:tcPr>
            <w:tcW w:w="3348" w:type="dxa"/>
            <w:gridSpan w:val="3"/>
            <w:tcBorders>
              <w:top w:val="single" w:color="auto" w:sz="4" w:space="0"/>
              <w:left w:val="nil"/>
              <w:bottom w:val="single" w:color="auto" w:sz="4" w:space="0"/>
              <w:right w:val="single" w:color="auto" w:sz="4" w:space="0"/>
            </w:tcBorders>
            <w:vAlign w:val="center"/>
          </w:tcPr>
          <w:p>
            <w:pPr>
              <w:jc w:val="center"/>
              <w:rPr>
                <w:rFonts w:ascii="仿宋" w:hAnsi="仿宋"/>
                <w:b/>
                <w:bCs/>
              </w:rPr>
            </w:pPr>
            <w:r>
              <w:rPr>
                <w:rFonts w:ascii="仿宋" w:hAnsi="仿宋"/>
                <w:b/>
                <w:bCs/>
              </w:rPr>
              <w:t>综合实力</w:t>
            </w:r>
          </w:p>
        </w:tc>
        <w:tc>
          <w:tcPr>
            <w:tcW w:w="5698" w:type="dxa"/>
            <w:tcBorders>
              <w:top w:val="single" w:color="auto" w:sz="4" w:space="0"/>
              <w:left w:val="nil"/>
              <w:bottom w:val="single" w:color="auto" w:sz="4" w:space="0"/>
              <w:right w:val="single" w:color="auto" w:sz="4" w:space="0"/>
            </w:tcBorders>
            <w:vAlign w:val="center"/>
          </w:tcPr>
          <w:p>
            <w:pPr>
              <w:jc w:val="center"/>
              <w:rPr>
                <w:rFonts w:ascii="仿宋" w:hAnsi="仿宋"/>
                <w:b/>
                <w:bCs/>
              </w:rPr>
            </w:pPr>
            <w:r>
              <w:rPr>
                <w:rFonts w:ascii="仿宋" w:hAnsi="仿宋"/>
                <w:b/>
                <w:bCs/>
              </w:rPr>
              <w:t>50</w:t>
            </w:r>
          </w:p>
        </w:tc>
      </w:tr>
      <w:tr>
        <w:tblPrEx>
          <w:tblLayout w:type="fixed"/>
          <w:tblCellMar>
            <w:top w:w="0" w:type="dxa"/>
            <w:left w:w="108" w:type="dxa"/>
            <w:bottom w:w="0" w:type="dxa"/>
            <w:right w:w="108" w:type="dxa"/>
          </w:tblCellMar>
        </w:tblPrEx>
        <w:trPr>
          <w:trHeight w:val="421" w:hRule="atLeast"/>
          <w:jc w:val="center"/>
        </w:trPr>
        <w:tc>
          <w:tcPr>
            <w:tcW w:w="616" w:type="dxa"/>
            <w:tcBorders>
              <w:top w:val="nil"/>
              <w:left w:val="single" w:color="auto" w:sz="4" w:space="0"/>
              <w:bottom w:val="single" w:color="auto" w:sz="4" w:space="0"/>
              <w:right w:val="single" w:color="auto" w:sz="4" w:space="0"/>
            </w:tcBorders>
            <w:vAlign w:val="center"/>
          </w:tcPr>
          <w:p>
            <w:pPr>
              <w:spacing w:after="60"/>
              <w:jc w:val="center"/>
              <w:rPr>
                <w:rFonts w:ascii="仿宋" w:hAnsi="仿宋"/>
              </w:rPr>
            </w:pPr>
          </w:p>
        </w:tc>
        <w:tc>
          <w:tcPr>
            <w:tcW w:w="797" w:type="dxa"/>
            <w:tcBorders>
              <w:top w:val="single" w:color="auto" w:sz="4" w:space="0"/>
              <w:left w:val="nil"/>
              <w:bottom w:val="single" w:color="auto" w:sz="4" w:space="0"/>
              <w:right w:val="single" w:color="auto" w:sz="4" w:space="0"/>
            </w:tcBorders>
            <w:vAlign w:val="center"/>
          </w:tcPr>
          <w:p>
            <w:pPr>
              <w:spacing w:after="60"/>
              <w:jc w:val="center"/>
              <w:rPr>
                <w:rFonts w:ascii="仿宋" w:hAnsi="仿宋"/>
              </w:rPr>
            </w:pPr>
            <w:r>
              <w:rPr>
                <w:rFonts w:ascii="仿宋" w:hAnsi="仿宋"/>
              </w:rPr>
              <w:t>序号</w:t>
            </w:r>
          </w:p>
        </w:tc>
        <w:tc>
          <w:tcPr>
            <w:tcW w:w="1843" w:type="dxa"/>
            <w:tcBorders>
              <w:top w:val="single" w:color="auto" w:sz="4" w:space="0"/>
              <w:left w:val="nil"/>
              <w:bottom w:val="single" w:color="auto" w:sz="4" w:space="0"/>
              <w:right w:val="single" w:color="auto" w:sz="4" w:space="0"/>
            </w:tcBorders>
            <w:vAlign w:val="center"/>
          </w:tcPr>
          <w:p>
            <w:pPr>
              <w:spacing w:after="60"/>
              <w:jc w:val="center"/>
              <w:rPr>
                <w:rFonts w:ascii="仿宋" w:hAnsi="仿宋"/>
              </w:rPr>
            </w:pPr>
            <w:r>
              <w:rPr>
                <w:rFonts w:ascii="仿宋" w:hAnsi="仿宋"/>
              </w:rPr>
              <w:t>评分因素</w:t>
            </w:r>
          </w:p>
        </w:tc>
        <w:tc>
          <w:tcPr>
            <w:tcW w:w="708" w:type="dxa"/>
            <w:tcBorders>
              <w:top w:val="single" w:color="auto" w:sz="4" w:space="0"/>
              <w:left w:val="nil"/>
              <w:bottom w:val="single" w:color="auto" w:sz="4" w:space="0"/>
              <w:right w:val="single" w:color="auto" w:sz="4" w:space="0"/>
            </w:tcBorders>
            <w:vAlign w:val="center"/>
          </w:tcPr>
          <w:p>
            <w:pPr>
              <w:spacing w:after="60"/>
              <w:jc w:val="center"/>
              <w:rPr>
                <w:rFonts w:ascii="仿宋" w:hAnsi="仿宋"/>
              </w:rPr>
            </w:pPr>
            <w:r>
              <w:rPr>
                <w:rFonts w:ascii="仿宋" w:hAnsi="仿宋"/>
              </w:rPr>
              <w:t>权重</w:t>
            </w:r>
          </w:p>
        </w:tc>
        <w:tc>
          <w:tcPr>
            <w:tcW w:w="5698" w:type="dxa"/>
            <w:tcBorders>
              <w:top w:val="single" w:color="auto" w:sz="4" w:space="0"/>
              <w:left w:val="nil"/>
              <w:bottom w:val="single" w:color="auto" w:sz="4" w:space="0"/>
              <w:right w:val="single" w:color="auto" w:sz="4" w:space="0"/>
            </w:tcBorders>
            <w:vAlign w:val="center"/>
          </w:tcPr>
          <w:p>
            <w:pPr>
              <w:spacing w:after="60"/>
              <w:jc w:val="center"/>
              <w:rPr>
                <w:rFonts w:ascii="仿宋" w:hAnsi="仿宋"/>
              </w:rPr>
            </w:pPr>
            <w:r>
              <w:rPr>
                <w:rFonts w:ascii="仿宋" w:hAnsi="仿宋"/>
              </w:rPr>
              <w:t>评分准则</w:t>
            </w:r>
          </w:p>
        </w:tc>
      </w:tr>
      <w:tr>
        <w:tblPrEx>
          <w:tblLayout w:type="fixed"/>
          <w:tblCellMar>
            <w:top w:w="0" w:type="dxa"/>
            <w:left w:w="108" w:type="dxa"/>
            <w:bottom w:w="0" w:type="dxa"/>
            <w:right w:w="108" w:type="dxa"/>
          </w:tblCellMar>
        </w:tblPrEx>
        <w:trPr>
          <w:trHeight w:val="767" w:hRule="atLeast"/>
          <w:jc w:val="center"/>
        </w:trPr>
        <w:tc>
          <w:tcPr>
            <w:tcW w:w="616" w:type="dxa"/>
            <w:vMerge w:val="restart"/>
            <w:tcBorders>
              <w:top w:val="single" w:color="auto" w:sz="4" w:space="0"/>
              <w:left w:val="single" w:color="auto" w:sz="4" w:space="0"/>
              <w:right w:val="single" w:color="auto" w:sz="4" w:space="0"/>
            </w:tcBorders>
            <w:vAlign w:val="center"/>
          </w:tcPr>
          <w:p>
            <w:pPr>
              <w:spacing w:after="60"/>
              <w:jc w:val="center"/>
              <w:rPr>
                <w:rFonts w:ascii="仿宋" w:hAnsi="仿宋"/>
              </w:rPr>
            </w:pPr>
          </w:p>
        </w:tc>
        <w:tc>
          <w:tcPr>
            <w:tcW w:w="797" w:type="dxa"/>
            <w:tcBorders>
              <w:top w:val="single" w:color="auto" w:sz="4" w:space="0"/>
              <w:left w:val="nil"/>
              <w:bottom w:val="single" w:color="auto" w:sz="4" w:space="0"/>
              <w:right w:val="single" w:color="auto" w:sz="4" w:space="0"/>
            </w:tcBorders>
            <w:vAlign w:val="center"/>
          </w:tcPr>
          <w:p>
            <w:pPr>
              <w:spacing w:after="60"/>
              <w:ind w:firstLine="210" w:firstLineChars="100"/>
              <w:jc w:val="center"/>
              <w:rPr>
                <w:rFonts w:ascii="仿宋" w:hAnsi="仿宋"/>
              </w:rPr>
            </w:pPr>
            <w:r>
              <w:rPr>
                <w:rFonts w:ascii="仿宋" w:hAnsi="仿宋"/>
              </w:rPr>
              <w:t>1</w:t>
            </w:r>
          </w:p>
        </w:tc>
        <w:tc>
          <w:tcPr>
            <w:tcW w:w="1843" w:type="dxa"/>
            <w:tcBorders>
              <w:top w:val="single" w:color="auto" w:sz="4" w:space="0"/>
              <w:left w:val="nil"/>
              <w:bottom w:val="single" w:color="auto" w:sz="4" w:space="0"/>
              <w:right w:val="single" w:color="auto" w:sz="4" w:space="0"/>
            </w:tcBorders>
            <w:vAlign w:val="center"/>
          </w:tcPr>
          <w:p>
            <w:pPr>
              <w:jc w:val="center"/>
              <w:rPr>
                <w:rFonts w:ascii="仿宋" w:hAnsi="仿宋"/>
              </w:rPr>
            </w:pPr>
            <w:r>
              <w:rPr>
                <w:rFonts w:ascii="仿宋" w:hAnsi="仿宋" w:cs="Arial"/>
              </w:rPr>
              <w:t>国内一线城市文化场馆项目运营咨询服务业绩</w:t>
            </w:r>
          </w:p>
        </w:tc>
        <w:tc>
          <w:tcPr>
            <w:tcW w:w="708" w:type="dxa"/>
            <w:tcBorders>
              <w:top w:val="single" w:color="auto" w:sz="4" w:space="0"/>
              <w:left w:val="nil"/>
              <w:bottom w:val="single" w:color="auto" w:sz="4" w:space="0"/>
              <w:right w:val="single" w:color="auto" w:sz="4" w:space="0"/>
            </w:tcBorders>
            <w:vAlign w:val="center"/>
          </w:tcPr>
          <w:p>
            <w:pPr>
              <w:ind w:firstLine="105" w:firstLineChars="50"/>
              <w:jc w:val="center"/>
              <w:rPr>
                <w:rFonts w:ascii="仿宋" w:hAnsi="仿宋"/>
              </w:rPr>
            </w:pPr>
            <w:r>
              <w:rPr>
                <w:rFonts w:ascii="仿宋" w:hAnsi="仿宋"/>
              </w:rPr>
              <w:t>24</w:t>
            </w:r>
          </w:p>
        </w:tc>
        <w:tc>
          <w:tcPr>
            <w:tcW w:w="5698" w:type="dxa"/>
            <w:tcBorders>
              <w:top w:val="single" w:color="auto" w:sz="4" w:space="0"/>
              <w:left w:val="nil"/>
              <w:bottom w:val="single" w:color="auto" w:sz="4" w:space="0"/>
              <w:right w:val="single" w:color="auto" w:sz="4" w:space="0"/>
            </w:tcBorders>
            <w:vAlign w:val="center"/>
          </w:tcPr>
          <w:p>
            <w:pPr>
              <w:pStyle w:val="11"/>
              <w:ind w:firstLine="0" w:firstLineChars="0"/>
              <w:rPr>
                <w:rFonts w:ascii="仿宋" w:hAnsi="仿宋" w:cs="Arial"/>
                <w:szCs w:val="21"/>
              </w:rPr>
            </w:pPr>
            <w:r>
              <w:rPr>
                <w:rFonts w:ascii="仿宋" w:hAnsi="仿宋" w:cs="Arial"/>
                <w:szCs w:val="21"/>
              </w:rPr>
              <w:t>投标人具有</w:t>
            </w:r>
            <w:r>
              <w:rPr>
                <w:rFonts w:hint="eastAsia" w:ascii="仿宋" w:hAnsi="仿宋" w:cs="Arial"/>
                <w:szCs w:val="21"/>
              </w:rPr>
              <w:t>：</w:t>
            </w:r>
          </w:p>
          <w:p>
            <w:pPr>
              <w:pStyle w:val="11"/>
              <w:numPr>
                <w:ilvl w:val="0"/>
                <w:numId w:val="3"/>
              </w:numPr>
              <w:ind w:left="582" w:leftChars="7" w:hanging="567" w:hangingChars="270"/>
              <w:rPr>
                <w:rFonts w:ascii="仿宋" w:hAnsi="仿宋" w:cs="DengXian"/>
              </w:rPr>
            </w:pPr>
            <w:r>
              <w:rPr>
                <w:rFonts w:ascii="仿宋" w:hAnsi="仿宋" w:cs="Arial"/>
                <w:szCs w:val="21"/>
              </w:rPr>
              <w:t>一线城市文化场馆项目运营咨询服务业绩的得8分</w:t>
            </w:r>
            <w:r>
              <w:rPr>
                <w:rFonts w:hint="eastAsia" w:ascii="仿宋" w:hAnsi="仿宋" w:cs="Arial"/>
                <w:szCs w:val="21"/>
              </w:rPr>
              <w:t>。</w:t>
            </w:r>
          </w:p>
          <w:p>
            <w:pPr>
              <w:pStyle w:val="11"/>
              <w:numPr>
                <w:ilvl w:val="0"/>
                <w:numId w:val="3"/>
              </w:numPr>
              <w:ind w:left="582" w:leftChars="7" w:hanging="567" w:hangingChars="270"/>
              <w:rPr>
                <w:rFonts w:ascii="仿宋" w:hAnsi="仿宋" w:cs="DengXian"/>
              </w:rPr>
            </w:pPr>
            <w:r>
              <w:rPr>
                <w:rFonts w:ascii="仿宋" w:hAnsi="仿宋" w:cs="DengXian"/>
              </w:rPr>
              <w:t>前述项目功能单元覆盖演艺中心、文化综合中心（文化馆）、图书馆、美术馆、展览馆的加8分。</w:t>
            </w:r>
          </w:p>
          <w:p>
            <w:pPr>
              <w:pStyle w:val="11"/>
              <w:numPr>
                <w:ilvl w:val="0"/>
                <w:numId w:val="3"/>
              </w:numPr>
              <w:ind w:left="582" w:leftChars="7" w:hanging="567" w:hangingChars="270"/>
              <w:rPr>
                <w:rFonts w:ascii="仿宋" w:hAnsi="仿宋" w:cs="DengXian"/>
              </w:rPr>
            </w:pPr>
            <w:r>
              <w:rPr>
                <w:rFonts w:ascii="仿宋" w:hAnsi="仿宋" w:cs="DengXian"/>
              </w:rPr>
              <w:t>前述项目的投资总额超过10亿元的加8分。</w:t>
            </w:r>
          </w:p>
          <w:p>
            <w:pPr>
              <w:pStyle w:val="11"/>
              <w:ind w:firstLine="0" w:firstLineChars="0"/>
              <w:rPr>
                <w:rFonts w:ascii="仿宋" w:hAnsi="仿宋" w:cs="DengXian"/>
              </w:rPr>
            </w:pPr>
            <w:r>
              <w:rPr>
                <w:rFonts w:ascii="仿宋" w:hAnsi="仿宋" w:cs="DengXian"/>
              </w:rPr>
              <w:t>注：</w:t>
            </w:r>
          </w:p>
          <w:p>
            <w:pPr>
              <w:pStyle w:val="11"/>
              <w:ind w:firstLine="0" w:firstLineChars="0"/>
              <w:rPr>
                <w:rFonts w:ascii="仿宋" w:hAnsi="仿宋" w:cs="Arial"/>
                <w:szCs w:val="21"/>
              </w:rPr>
            </w:pPr>
            <w:r>
              <w:rPr>
                <w:rFonts w:ascii="仿宋" w:hAnsi="仿宋" w:cs="Arial"/>
                <w:szCs w:val="21"/>
              </w:rPr>
              <w:t>国内一线城市指：北京、上海、广州、深圳。</w:t>
            </w:r>
          </w:p>
          <w:p>
            <w:pPr>
              <w:pStyle w:val="11"/>
              <w:ind w:firstLine="0" w:firstLineChars="0"/>
              <w:rPr>
                <w:rFonts w:ascii="仿宋" w:hAnsi="仿宋" w:cs="DengXian"/>
              </w:rPr>
            </w:pPr>
            <w:r>
              <w:rPr>
                <w:rFonts w:ascii="仿宋" w:hAnsi="仿宋" w:cs="Arial"/>
                <w:szCs w:val="21"/>
              </w:rPr>
              <w:t>运营咨询服务业绩指：项目名称注明“运营咨询”的咨询服务业绩。</w:t>
            </w:r>
          </w:p>
          <w:p>
            <w:pPr>
              <w:pStyle w:val="11"/>
              <w:ind w:firstLine="0" w:firstLineChars="0"/>
              <w:rPr>
                <w:rFonts w:ascii="仿宋" w:hAnsi="仿宋" w:cs="DengXian"/>
              </w:rPr>
            </w:pPr>
            <w:r>
              <w:rPr>
                <w:rFonts w:ascii="仿宋" w:hAnsi="仿宋" w:cs="DengXian"/>
              </w:rPr>
              <w:t>提供：签订的咨询委托协议或合同关键页扫描件，其他情况或无法判定的不得分。</w:t>
            </w:r>
          </w:p>
        </w:tc>
      </w:tr>
      <w:tr>
        <w:tblPrEx>
          <w:tblLayout w:type="fixed"/>
          <w:tblCellMar>
            <w:top w:w="0" w:type="dxa"/>
            <w:left w:w="108" w:type="dxa"/>
            <w:bottom w:w="0" w:type="dxa"/>
            <w:right w:w="108" w:type="dxa"/>
          </w:tblCellMar>
        </w:tblPrEx>
        <w:trPr>
          <w:trHeight w:val="75" w:hRule="atLeast"/>
          <w:jc w:val="center"/>
        </w:trPr>
        <w:tc>
          <w:tcPr>
            <w:tcW w:w="616" w:type="dxa"/>
            <w:vMerge w:val="continue"/>
            <w:tcBorders>
              <w:left w:val="single" w:color="auto" w:sz="4" w:space="0"/>
              <w:bottom w:val="single" w:color="auto" w:sz="4" w:space="0"/>
              <w:right w:val="single" w:color="auto" w:sz="4" w:space="0"/>
            </w:tcBorders>
            <w:vAlign w:val="center"/>
          </w:tcPr>
          <w:p>
            <w:pPr>
              <w:spacing w:after="60"/>
              <w:jc w:val="center"/>
              <w:rPr>
                <w:rFonts w:ascii="仿宋" w:hAnsi="仿宋"/>
              </w:rPr>
            </w:pPr>
          </w:p>
        </w:tc>
        <w:tc>
          <w:tcPr>
            <w:tcW w:w="797" w:type="dxa"/>
            <w:tcBorders>
              <w:top w:val="single" w:color="auto" w:sz="4" w:space="0"/>
              <w:left w:val="nil"/>
              <w:bottom w:val="single" w:color="auto" w:sz="4" w:space="0"/>
              <w:right w:val="single" w:color="auto" w:sz="4" w:space="0"/>
            </w:tcBorders>
            <w:vAlign w:val="center"/>
          </w:tcPr>
          <w:p>
            <w:pPr>
              <w:spacing w:after="60"/>
              <w:ind w:firstLine="210" w:firstLineChars="100"/>
              <w:jc w:val="center"/>
              <w:rPr>
                <w:rFonts w:ascii="仿宋" w:hAnsi="仿宋"/>
              </w:rPr>
            </w:pPr>
            <w:r>
              <w:rPr>
                <w:rFonts w:ascii="仿宋" w:hAnsi="仿宋"/>
              </w:rPr>
              <w:t>2</w:t>
            </w:r>
          </w:p>
        </w:tc>
        <w:tc>
          <w:tcPr>
            <w:tcW w:w="1843" w:type="dxa"/>
            <w:tcBorders>
              <w:top w:val="single" w:color="auto" w:sz="4" w:space="0"/>
              <w:left w:val="nil"/>
              <w:bottom w:val="single" w:color="auto" w:sz="4" w:space="0"/>
              <w:right w:val="single" w:color="auto" w:sz="4" w:space="0"/>
            </w:tcBorders>
            <w:vAlign w:val="center"/>
          </w:tcPr>
          <w:p>
            <w:pPr>
              <w:jc w:val="center"/>
              <w:rPr>
                <w:rFonts w:ascii="仿宋" w:hAnsi="仿宋"/>
              </w:rPr>
            </w:pPr>
            <w:r>
              <w:rPr>
                <w:rFonts w:ascii="仿宋" w:hAnsi="仿宋"/>
              </w:rPr>
              <w:t>投标人拟派服务团队实力</w:t>
            </w:r>
          </w:p>
        </w:tc>
        <w:tc>
          <w:tcPr>
            <w:tcW w:w="708" w:type="dxa"/>
            <w:tcBorders>
              <w:top w:val="single" w:color="auto" w:sz="4" w:space="0"/>
              <w:left w:val="nil"/>
              <w:bottom w:val="single" w:color="auto" w:sz="4" w:space="0"/>
              <w:right w:val="single" w:color="auto" w:sz="4" w:space="0"/>
            </w:tcBorders>
            <w:vAlign w:val="center"/>
          </w:tcPr>
          <w:p>
            <w:pPr>
              <w:ind w:firstLine="105" w:firstLineChars="50"/>
              <w:jc w:val="center"/>
              <w:rPr>
                <w:rFonts w:ascii="仿宋" w:hAnsi="仿宋"/>
              </w:rPr>
            </w:pPr>
            <w:r>
              <w:rPr>
                <w:rFonts w:ascii="仿宋" w:hAnsi="仿宋"/>
              </w:rPr>
              <w:t>26</w:t>
            </w:r>
          </w:p>
        </w:tc>
        <w:tc>
          <w:tcPr>
            <w:tcW w:w="5698" w:type="dxa"/>
            <w:tcBorders>
              <w:top w:val="single" w:color="auto" w:sz="4" w:space="0"/>
              <w:left w:val="nil"/>
              <w:bottom w:val="single" w:color="auto" w:sz="4" w:space="0"/>
              <w:right w:val="single" w:color="auto" w:sz="4" w:space="0"/>
            </w:tcBorders>
            <w:vAlign w:val="center"/>
          </w:tcPr>
          <w:p>
            <w:pPr>
              <w:pStyle w:val="11"/>
              <w:numPr>
                <w:ilvl w:val="0"/>
                <w:numId w:val="4"/>
              </w:numPr>
              <w:ind w:firstLineChars="0"/>
              <w:rPr>
                <w:rFonts w:ascii="仿宋" w:hAnsi="仿宋" w:cs="DengXian"/>
              </w:rPr>
            </w:pPr>
            <w:r>
              <w:rPr>
                <w:rFonts w:ascii="仿宋" w:hAnsi="仿宋" w:cs="DengXian"/>
              </w:rPr>
              <w:t>项目负责人为法学（限法律专业）或经济（限金融或金融工程专业）专业，并具有《中华人民共和国法律职业资格证书》A类或《中华人民共和国注册会计师证》的8分，否则不得分；</w:t>
            </w:r>
          </w:p>
          <w:p>
            <w:pPr>
              <w:pStyle w:val="11"/>
              <w:numPr>
                <w:ilvl w:val="0"/>
                <w:numId w:val="4"/>
              </w:numPr>
              <w:ind w:firstLineChars="0"/>
              <w:rPr>
                <w:rFonts w:ascii="仿宋" w:hAnsi="仿宋" w:cs="DengXian"/>
              </w:rPr>
            </w:pPr>
            <w:r>
              <w:rPr>
                <w:rFonts w:ascii="仿宋" w:hAnsi="仿宋" w:cs="DengXian"/>
              </w:rPr>
              <w:t>目负责人具有10年以上工作经验（按项目负责人大学本科毕业至今的总年限扣减硕士、博士、研究生阶段的学习年限即为工作年限）的得8分，否则不得分；</w:t>
            </w:r>
          </w:p>
          <w:p>
            <w:pPr>
              <w:pStyle w:val="11"/>
              <w:widowControl/>
              <w:numPr>
                <w:ilvl w:val="0"/>
                <w:numId w:val="4"/>
              </w:numPr>
              <w:spacing w:line="360" w:lineRule="exact"/>
              <w:ind w:firstLineChars="0"/>
              <w:rPr>
                <w:rFonts w:ascii="仿宋" w:hAnsi="仿宋" w:cs="DengXian"/>
                <w:kern w:val="0"/>
              </w:rPr>
            </w:pPr>
            <w:r>
              <w:rPr>
                <w:rFonts w:ascii="仿宋" w:hAnsi="仿宋" w:cs="DengXian"/>
              </w:rPr>
              <w:t>服务团队具备金融、法律、工程管理、土木工程、土地资源管理等专业人员，每覆盖一个领域得2分，最高得10分</w:t>
            </w:r>
            <w:r>
              <w:rPr>
                <w:rFonts w:ascii="仿宋" w:hAnsi="仿宋" w:cs="DengXian"/>
                <w:kern w:val="0"/>
              </w:rPr>
              <w:t>。</w:t>
            </w:r>
          </w:p>
          <w:p>
            <w:pPr>
              <w:rPr>
                <w:rFonts w:ascii="仿宋" w:hAnsi="仿宋" w:cs="DengXian"/>
              </w:rPr>
            </w:pPr>
            <w:r>
              <w:rPr>
                <w:rFonts w:ascii="仿宋" w:hAnsi="仿宋" w:cs="DengXian"/>
              </w:rPr>
              <w:t>注：</w:t>
            </w:r>
          </w:p>
          <w:p>
            <w:pPr>
              <w:pStyle w:val="11"/>
              <w:widowControl/>
              <w:spacing w:line="360" w:lineRule="exact"/>
              <w:ind w:firstLine="0" w:firstLineChars="0"/>
              <w:rPr>
                <w:rFonts w:ascii="仿宋" w:hAnsi="仿宋" w:cs="宋体"/>
                <w:color w:val="FF0000"/>
              </w:rPr>
            </w:pPr>
            <w:r>
              <w:rPr>
                <w:rFonts w:ascii="仿宋" w:hAnsi="仿宋" w:cs="DengXian"/>
              </w:rPr>
              <w:t>须提供</w:t>
            </w:r>
            <w:r>
              <w:rPr>
                <w:rFonts w:hint="eastAsia" w:ascii="仿宋" w:hAnsi="仿宋" w:cs="DengXian"/>
              </w:rPr>
              <w:t>相关</w:t>
            </w:r>
            <w:r>
              <w:rPr>
                <w:rFonts w:ascii="仿宋" w:hAnsi="仿宋" w:cs="DengXian"/>
              </w:rPr>
              <w:t>资格证书</w:t>
            </w:r>
            <w:r>
              <w:rPr>
                <w:rFonts w:hint="eastAsia" w:ascii="仿宋" w:hAnsi="仿宋" w:cs="DengXian"/>
              </w:rPr>
              <w:t>、</w:t>
            </w:r>
            <w:r>
              <w:rPr>
                <w:rFonts w:ascii="仿宋" w:hAnsi="仿宋" w:cs="DengXian"/>
              </w:rPr>
              <w:t>专业证书、投标人为团队成员购买2019年1-6月的社保等相关证明材料复印件。</w:t>
            </w:r>
          </w:p>
        </w:tc>
      </w:tr>
      <w:tr>
        <w:tblPrEx>
          <w:tblLayout w:type="fixed"/>
          <w:tblCellMar>
            <w:top w:w="0" w:type="dxa"/>
            <w:left w:w="108" w:type="dxa"/>
            <w:bottom w:w="0" w:type="dxa"/>
            <w:right w:w="108" w:type="dxa"/>
          </w:tblCellMar>
        </w:tblPrEx>
        <w:trPr>
          <w:trHeight w:val="572" w:hRule="atLeast"/>
          <w:jc w:val="center"/>
        </w:trPr>
        <w:tc>
          <w:tcPr>
            <w:tcW w:w="616"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b/>
                <w:bCs/>
              </w:rPr>
            </w:pPr>
            <w:r>
              <w:rPr>
                <w:rFonts w:ascii="仿宋" w:hAnsi="仿宋"/>
                <w:b/>
                <w:bCs/>
              </w:rPr>
              <w:t>3</w:t>
            </w:r>
          </w:p>
        </w:tc>
        <w:tc>
          <w:tcPr>
            <w:tcW w:w="3348" w:type="dxa"/>
            <w:gridSpan w:val="3"/>
            <w:tcBorders>
              <w:top w:val="single" w:color="auto" w:sz="4" w:space="0"/>
              <w:left w:val="nil"/>
              <w:bottom w:val="single" w:color="auto" w:sz="4" w:space="0"/>
              <w:right w:val="single" w:color="auto" w:sz="4" w:space="0"/>
            </w:tcBorders>
            <w:vAlign w:val="center"/>
          </w:tcPr>
          <w:p>
            <w:pPr>
              <w:jc w:val="center"/>
              <w:rPr>
                <w:rFonts w:ascii="仿宋" w:hAnsi="仿宋"/>
                <w:b/>
                <w:bCs/>
              </w:rPr>
            </w:pPr>
            <w:r>
              <w:rPr>
                <w:rFonts w:ascii="仿宋" w:hAnsi="仿宋"/>
                <w:b/>
                <w:bCs/>
              </w:rPr>
              <w:t>技术服务部分</w:t>
            </w:r>
          </w:p>
        </w:tc>
        <w:tc>
          <w:tcPr>
            <w:tcW w:w="5698" w:type="dxa"/>
            <w:tcBorders>
              <w:top w:val="single" w:color="auto" w:sz="4" w:space="0"/>
              <w:left w:val="nil"/>
              <w:bottom w:val="single" w:color="auto" w:sz="4" w:space="0"/>
              <w:right w:val="single" w:color="auto" w:sz="4" w:space="0"/>
            </w:tcBorders>
            <w:vAlign w:val="center"/>
          </w:tcPr>
          <w:p>
            <w:pPr>
              <w:jc w:val="center"/>
              <w:rPr>
                <w:rFonts w:ascii="仿宋" w:hAnsi="仿宋"/>
                <w:b/>
                <w:bCs/>
              </w:rPr>
            </w:pPr>
            <w:r>
              <w:rPr>
                <w:rFonts w:ascii="仿宋" w:hAnsi="仿宋"/>
                <w:b/>
                <w:bCs/>
              </w:rPr>
              <w:t>30</w:t>
            </w:r>
          </w:p>
        </w:tc>
      </w:tr>
      <w:tr>
        <w:tblPrEx>
          <w:tblLayout w:type="fixed"/>
          <w:tblCellMar>
            <w:top w:w="0" w:type="dxa"/>
            <w:left w:w="108" w:type="dxa"/>
            <w:bottom w:w="0" w:type="dxa"/>
            <w:right w:w="108" w:type="dxa"/>
          </w:tblCellMar>
        </w:tblPrEx>
        <w:trPr>
          <w:trHeight w:val="80" w:hRule="atLeast"/>
          <w:jc w:val="center"/>
        </w:trPr>
        <w:tc>
          <w:tcPr>
            <w:tcW w:w="616" w:type="dxa"/>
            <w:vMerge w:val="restart"/>
            <w:tcBorders>
              <w:top w:val="nil"/>
              <w:left w:val="single" w:color="auto" w:sz="4" w:space="0"/>
              <w:bottom w:val="single" w:color="auto" w:sz="4" w:space="0"/>
              <w:right w:val="single" w:color="auto" w:sz="4" w:space="0"/>
            </w:tcBorders>
            <w:vAlign w:val="center"/>
          </w:tcPr>
          <w:p>
            <w:pPr>
              <w:spacing w:after="60"/>
              <w:jc w:val="center"/>
              <w:rPr>
                <w:rFonts w:ascii="仿宋" w:hAnsi="仿宋"/>
              </w:rPr>
            </w:pPr>
          </w:p>
        </w:tc>
        <w:tc>
          <w:tcPr>
            <w:tcW w:w="797" w:type="dxa"/>
            <w:tcBorders>
              <w:top w:val="single" w:color="auto" w:sz="4" w:space="0"/>
              <w:left w:val="nil"/>
              <w:bottom w:val="single" w:color="auto" w:sz="4" w:space="0"/>
              <w:right w:val="single" w:color="auto" w:sz="4" w:space="0"/>
            </w:tcBorders>
            <w:vAlign w:val="center"/>
          </w:tcPr>
          <w:p>
            <w:pPr>
              <w:spacing w:after="60"/>
              <w:jc w:val="center"/>
              <w:rPr>
                <w:rFonts w:ascii="仿宋" w:hAnsi="仿宋"/>
              </w:rPr>
            </w:pPr>
            <w:r>
              <w:rPr>
                <w:rFonts w:ascii="仿宋" w:hAnsi="仿宋"/>
              </w:rPr>
              <w:t>序号</w:t>
            </w:r>
          </w:p>
        </w:tc>
        <w:tc>
          <w:tcPr>
            <w:tcW w:w="1843" w:type="dxa"/>
            <w:tcBorders>
              <w:top w:val="single" w:color="auto" w:sz="4" w:space="0"/>
              <w:left w:val="nil"/>
              <w:bottom w:val="single" w:color="auto" w:sz="4" w:space="0"/>
              <w:right w:val="single" w:color="auto" w:sz="4" w:space="0"/>
            </w:tcBorders>
            <w:vAlign w:val="center"/>
          </w:tcPr>
          <w:p>
            <w:pPr>
              <w:jc w:val="center"/>
              <w:rPr>
                <w:rFonts w:ascii="仿宋" w:hAnsi="仿宋"/>
              </w:rPr>
            </w:pPr>
            <w:r>
              <w:rPr>
                <w:rFonts w:ascii="仿宋" w:hAnsi="仿宋"/>
              </w:rPr>
              <w:t>评分因素</w:t>
            </w:r>
          </w:p>
        </w:tc>
        <w:tc>
          <w:tcPr>
            <w:tcW w:w="708" w:type="dxa"/>
            <w:tcBorders>
              <w:top w:val="single" w:color="auto" w:sz="4" w:space="0"/>
              <w:left w:val="nil"/>
              <w:bottom w:val="single" w:color="auto" w:sz="4" w:space="0"/>
              <w:right w:val="single" w:color="auto" w:sz="4" w:space="0"/>
            </w:tcBorders>
            <w:vAlign w:val="center"/>
          </w:tcPr>
          <w:p>
            <w:pPr>
              <w:spacing w:after="60"/>
              <w:jc w:val="center"/>
              <w:rPr>
                <w:rFonts w:ascii="仿宋" w:hAnsi="仿宋"/>
              </w:rPr>
            </w:pPr>
            <w:r>
              <w:rPr>
                <w:rFonts w:ascii="仿宋" w:hAnsi="仿宋"/>
              </w:rPr>
              <w:t>权重</w:t>
            </w:r>
          </w:p>
        </w:tc>
        <w:tc>
          <w:tcPr>
            <w:tcW w:w="5698" w:type="dxa"/>
            <w:tcBorders>
              <w:top w:val="single" w:color="auto" w:sz="4" w:space="0"/>
              <w:left w:val="nil"/>
              <w:bottom w:val="single" w:color="auto" w:sz="4" w:space="0"/>
              <w:right w:val="single" w:color="auto" w:sz="4" w:space="0"/>
            </w:tcBorders>
            <w:vAlign w:val="center"/>
          </w:tcPr>
          <w:p>
            <w:pPr>
              <w:jc w:val="center"/>
              <w:rPr>
                <w:rFonts w:ascii="仿宋" w:hAnsi="仿宋"/>
              </w:rPr>
            </w:pPr>
            <w:r>
              <w:rPr>
                <w:rFonts w:ascii="仿宋" w:hAnsi="仿宋"/>
              </w:rPr>
              <w:t>评分准则</w:t>
            </w:r>
          </w:p>
        </w:tc>
      </w:tr>
      <w:tr>
        <w:tblPrEx>
          <w:tblLayout w:type="fixed"/>
          <w:tblCellMar>
            <w:top w:w="0" w:type="dxa"/>
            <w:left w:w="108" w:type="dxa"/>
            <w:bottom w:w="0" w:type="dxa"/>
            <w:right w:w="108" w:type="dxa"/>
          </w:tblCellMar>
        </w:tblPrEx>
        <w:trPr>
          <w:trHeight w:val="450" w:hRule="atLeast"/>
          <w:jc w:val="center"/>
        </w:trPr>
        <w:tc>
          <w:tcPr>
            <w:tcW w:w="616" w:type="dxa"/>
            <w:vMerge w:val="continue"/>
            <w:tcBorders>
              <w:top w:val="nil"/>
              <w:left w:val="single" w:color="auto" w:sz="4" w:space="0"/>
              <w:bottom w:val="single" w:color="auto" w:sz="4" w:space="0"/>
              <w:right w:val="single" w:color="auto" w:sz="4" w:space="0"/>
            </w:tcBorders>
            <w:vAlign w:val="center"/>
          </w:tcPr>
          <w:p>
            <w:pPr>
              <w:widowControl/>
              <w:jc w:val="center"/>
              <w:rPr>
                <w:rFonts w:ascii="仿宋" w:hAnsi="仿宋"/>
              </w:rPr>
            </w:pPr>
          </w:p>
        </w:tc>
        <w:tc>
          <w:tcPr>
            <w:tcW w:w="797" w:type="dxa"/>
            <w:tcBorders>
              <w:top w:val="single" w:color="auto" w:sz="4" w:space="0"/>
              <w:left w:val="nil"/>
              <w:bottom w:val="single" w:color="auto" w:sz="4" w:space="0"/>
              <w:right w:val="single" w:color="auto" w:sz="4" w:space="0"/>
            </w:tcBorders>
            <w:vAlign w:val="center"/>
          </w:tcPr>
          <w:p>
            <w:pPr>
              <w:jc w:val="center"/>
              <w:rPr>
                <w:rFonts w:ascii="仿宋" w:hAnsi="仿宋"/>
              </w:rPr>
            </w:pPr>
            <w:r>
              <w:rPr>
                <w:rFonts w:ascii="仿宋" w:hAnsi="仿宋"/>
              </w:rPr>
              <w:t>1</w:t>
            </w:r>
          </w:p>
        </w:tc>
        <w:tc>
          <w:tcPr>
            <w:tcW w:w="1843" w:type="dxa"/>
            <w:tcBorders>
              <w:top w:val="single" w:color="auto" w:sz="4" w:space="0"/>
              <w:left w:val="nil"/>
              <w:bottom w:val="single" w:color="auto" w:sz="4" w:space="0"/>
              <w:right w:val="single" w:color="auto" w:sz="4" w:space="0"/>
            </w:tcBorders>
            <w:vAlign w:val="center"/>
          </w:tcPr>
          <w:p>
            <w:pPr>
              <w:jc w:val="center"/>
              <w:rPr>
                <w:rFonts w:ascii="仿宋" w:hAnsi="仿宋"/>
              </w:rPr>
            </w:pPr>
            <w:r>
              <w:rPr>
                <w:rFonts w:ascii="仿宋" w:hAnsi="仿宋"/>
              </w:rPr>
              <w:t>项目服务方案</w:t>
            </w:r>
          </w:p>
        </w:tc>
        <w:tc>
          <w:tcPr>
            <w:tcW w:w="708" w:type="dxa"/>
            <w:tcBorders>
              <w:top w:val="single" w:color="auto" w:sz="4" w:space="0"/>
              <w:left w:val="nil"/>
              <w:bottom w:val="single" w:color="auto" w:sz="4" w:space="0"/>
              <w:right w:val="single" w:color="auto" w:sz="4" w:space="0"/>
            </w:tcBorders>
            <w:vAlign w:val="center"/>
          </w:tcPr>
          <w:p>
            <w:pPr>
              <w:widowControl/>
              <w:jc w:val="center"/>
              <w:rPr>
                <w:rFonts w:ascii="仿宋" w:hAnsi="仿宋"/>
              </w:rPr>
            </w:pPr>
            <w:r>
              <w:rPr>
                <w:rFonts w:ascii="仿宋" w:hAnsi="仿宋"/>
              </w:rPr>
              <w:t>30</w:t>
            </w:r>
          </w:p>
        </w:tc>
        <w:tc>
          <w:tcPr>
            <w:tcW w:w="5698" w:type="dxa"/>
            <w:tcBorders>
              <w:top w:val="single" w:color="auto" w:sz="4" w:space="0"/>
              <w:left w:val="nil"/>
              <w:bottom w:val="single" w:color="auto" w:sz="4" w:space="0"/>
              <w:right w:val="single" w:color="auto" w:sz="4" w:space="0"/>
            </w:tcBorders>
            <w:vAlign w:val="center"/>
          </w:tcPr>
          <w:p>
            <w:pPr>
              <w:rPr>
                <w:rFonts w:asciiTheme="minorEastAsia" w:hAnsiTheme="minorEastAsia" w:cstheme="minorEastAsia"/>
                <w:szCs w:val="21"/>
              </w:rPr>
            </w:pPr>
            <w:r>
              <w:rPr>
                <w:rFonts w:hint="eastAsia" w:asciiTheme="minorEastAsia" w:hAnsiTheme="minorEastAsia" w:cstheme="minorEastAsia"/>
                <w:szCs w:val="21"/>
              </w:rPr>
              <w:t>A.对项目所在片区和项目的理解到位，分析透彻，工作方案可操作性强，工作时间计划安排合理的得</w:t>
            </w:r>
            <w:r>
              <w:rPr>
                <w:rFonts w:asciiTheme="minorEastAsia" w:hAnsiTheme="minorEastAsia" w:cstheme="minorEastAsia"/>
                <w:szCs w:val="21"/>
              </w:rPr>
              <w:t>30</w:t>
            </w:r>
            <w:r>
              <w:rPr>
                <w:rFonts w:hint="eastAsia" w:asciiTheme="minorEastAsia" w:hAnsiTheme="minorEastAsia" w:cstheme="minorEastAsia"/>
                <w:szCs w:val="21"/>
              </w:rPr>
              <w:t>分；</w:t>
            </w:r>
          </w:p>
          <w:p>
            <w:pPr>
              <w:rPr>
                <w:rFonts w:asciiTheme="minorEastAsia" w:hAnsiTheme="minorEastAsia" w:cstheme="minorEastAsia"/>
                <w:szCs w:val="21"/>
              </w:rPr>
            </w:pPr>
            <w:r>
              <w:rPr>
                <w:rFonts w:hint="eastAsia" w:asciiTheme="minorEastAsia" w:hAnsiTheme="minorEastAsia" w:cstheme="minorEastAsia"/>
                <w:szCs w:val="21"/>
              </w:rPr>
              <w:t>B.分析不透彻，工作方案具备一定可操作性，工作时间计划安排基本完整的得</w:t>
            </w:r>
            <w:r>
              <w:rPr>
                <w:rFonts w:asciiTheme="minorEastAsia" w:hAnsiTheme="minorEastAsia" w:cstheme="minorEastAsia"/>
                <w:szCs w:val="21"/>
              </w:rPr>
              <w:t>10</w:t>
            </w:r>
            <w:r>
              <w:rPr>
                <w:rFonts w:hint="eastAsia" w:asciiTheme="minorEastAsia" w:hAnsiTheme="minorEastAsia" w:cstheme="minorEastAsia"/>
                <w:szCs w:val="21"/>
              </w:rPr>
              <w:t>分；</w:t>
            </w:r>
          </w:p>
          <w:p>
            <w:pPr>
              <w:rPr>
                <w:rFonts w:ascii="仿宋" w:hAnsi="仿宋"/>
              </w:rPr>
            </w:pPr>
            <w:r>
              <w:rPr>
                <w:rFonts w:hint="eastAsia" w:asciiTheme="minorEastAsia" w:hAnsiTheme="minorEastAsia" w:cstheme="minorEastAsia"/>
                <w:szCs w:val="21"/>
              </w:rPr>
              <w:t>C.否则不得分。</w:t>
            </w:r>
          </w:p>
        </w:tc>
      </w:tr>
      <w:tr>
        <w:tblPrEx>
          <w:tblLayout w:type="fixed"/>
          <w:tblCellMar>
            <w:top w:w="0" w:type="dxa"/>
            <w:left w:w="108" w:type="dxa"/>
            <w:bottom w:w="0" w:type="dxa"/>
            <w:right w:w="108" w:type="dxa"/>
          </w:tblCellMar>
        </w:tblPrEx>
        <w:trPr>
          <w:trHeight w:val="572" w:hRule="atLeast"/>
          <w:jc w:val="center"/>
        </w:trPr>
        <w:tc>
          <w:tcPr>
            <w:tcW w:w="616"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b/>
                <w:bCs/>
              </w:rPr>
            </w:pPr>
            <w:r>
              <w:rPr>
                <w:rFonts w:ascii="仿宋" w:hAnsi="仿宋"/>
                <w:b/>
                <w:bCs/>
              </w:rPr>
              <w:t>4</w:t>
            </w:r>
          </w:p>
        </w:tc>
        <w:tc>
          <w:tcPr>
            <w:tcW w:w="3348" w:type="dxa"/>
            <w:gridSpan w:val="3"/>
            <w:tcBorders>
              <w:top w:val="single" w:color="auto" w:sz="4" w:space="0"/>
              <w:left w:val="nil"/>
              <w:bottom w:val="single" w:color="auto" w:sz="4" w:space="0"/>
              <w:right w:val="single" w:color="auto" w:sz="4" w:space="0"/>
            </w:tcBorders>
            <w:vAlign w:val="center"/>
          </w:tcPr>
          <w:p>
            <w:pPr>
              <w:jc w:val="center"/>
              <w:rPr>
                <w:rFonts w:ascii="仿宋" w:hAnsi="仿宋"/>
                <w:b/>
                <w:bCs/>
              </w:rPr>
            </w:pPr>
            <w:r>
              <w:rPr>
                <w:rFonts w:ascii="仿宋" w:hAnsi="仿宋"/>
                <w:b/>
                <w:bCs/>
              </w:rPr>
              <w:t>合计</w:t>
            </w:r>
          </w:p>
        </w:tc>
        <w:tc>
          <w:tcPr>
            <w:tcW w:w="5698" w:type="dxa"/>
            <w:tcBorders>
              <w:top w:val="single" w:color="auto" w:sz="4" w:space="0"/>
              <w:left w:val="nil"/>
              <w:bottom w:val="single" w:color="auto" w:sz="4" w:space="0"/>
              <w:right w:val="single" w:color="auto" w:sz="4" w:space="0"/>
            </w:tcBorders>
            <w:vAlign w:val="center"/>
          </w:tcPr>
          <w:p>
            <w:pPr>
              <w:jc w:val="center"/>
              <w:rPr>
                <w:rFonts w:ascii="仿宋" w:hAnsi="仿宋"/>
                <w:b/>
                <w:bCs/>
              </w:rPr>
            </w:pPr>
            <w:r>
              <w:rPr>
                <w:rFonts w:ascii="仿宋" w:hAnsi="仿宋"/>
                <w:b/>
                <w:bCs/>
              </w:rPr>
              <w:t>100</w:t>
            </w:r>
          </w:p>
        </w:tc>
      </w:tr>
    </w:tbl>
    <w:p>
      <w:pPr>
        <w:spacing w:line="560" w:lineRule="exact"/>
        <w:ind w:firstLine="640" w:firstLineChars="200"/>
        <w:rPr>
          <w:rFonts w:ascii="仿宋_GB2312" w:eastAsia="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B0604020202020204"/>
    <w:charset w:val="86"/>
    <w:family w:val="modern"/>
    <w:pitch w:val="default"/>
    <w:sig w:usb0="00000000" w:usb1="00000000" w:usb2="00000010" w:usb3="00000000" w:csb0="00040000" w:csb1="00000000"/>
  </w:font>
  <w:font w:name="楷体_GB2312">
    <w:altName w:val="楷体"/>
    <w:panose1 w:val="020B0604020202020204"/>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DengXian">
    <w:altName w:val="宋体"/>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C5DAAE"/>
    <w:multiLevelType w:val="singleLevel"/>
    <w:tmpl w:val="9AC5DAAE"/>
    <w:lvl w:ilvl="0" w:tentative="0">
      <w:start w:val="1"/>
      <w:numFmt w:val="upperLetter"/>
      <w:lvlText w:val="%1."/>
      <w:lvlJc w:val="left"/>
      <w:pPr>
        <w:tabs>
          <w:tab w:val="left" w:pos="312"/>
        </w:tabs>
      </w:pPr>
    </w:lvl>
  </w:abstractNum>
  <w:abstractNum w:abstractNumId="1">
    <w:nsid w:val="0BD637B5"/>
    <w:multiLevelType w:val="multilevel"/>
    <w:tmpl w:val="0BD637B5"/>
    <w:lvl w:ilvl="0" w:tentative="0">
      <w:start w:val="1"/>
      <w:numFmt w:val="decimal"/>
      <w:lvlText w:val="（%1）"/>
      <w:lvlJc w:val="left"/>
      <w:pPr>
        <w:ind w:left="360" w:hanging="360"/>
      </w:pPr>
      <w:rPr>
        <w:rFonts w:ascii="仿宋" w:hAnsi="仿宋" w:eastAsia="宋体" w:cs="Arial"/>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48D0F8A"/>
    <w:multiLevelType w:val="multilevel"/>
    <w:tmpl w:val="148D0F8A"/>
    <w:lvl w:ilvl="0" w:tentative="0">
      <w:start w:val="1"/>
      <w:numFmt w:val="upperLetter"/>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718957E0"/>
    <w:multiLevelType w:val="multilevel"/>
    <w:tmpl w:val="718957E0"/>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E44F8C"/>
    <w:rsid w:val="00001C38"/>
    <w:rsid w:val="000143A7"/>
    <w:rsid w:val="00015EB6"/>
    <w:rsid w:val="000A745F"/>
    <w:rsid w:val="001235D0"/>
    <w:rsid w:val="0013428B"/>
    <w:rsid w:val="00142972"/>
    <w:rsid w:val="001D7401"/>
    <w:rsid w:val="00247C88"/>
    <w:rsid w:val="00271898"/>
    <w:rsid w:val="002B7467"/>
    <w:rsid w:val="00377240"/>
    <w:rsid w:val="0048216C"/>
    <w:rsid w:val="004E4F65"/>
    <w:rsid w:val="00500403"/>
    <w:rsid w:val="00503FB6"/>
    <w:rsid w:val="00530ECB"/>
    <w:rsid w:val="005607B8"/>
    <w:rsid w:val="00567931"/>
    <w:rsid w:val="006058E2"/>
    <w:rsid w:val="00630B77"/>
    <w:rsid w:val="00632D53"/>
    <w:rsid w:val="0070133F"/>
    <w:rsid w:val="007307DF"/>
    <w:rsid w:val="0079523E"/>
    <w:rsid w:val="007C73A7"/>
    <w:rsid w:val="007F2CDA"/>
    <w:rsid w:val="008D4DED"/>
    <w:rsid w:val="008F0EFF"/>
    <w:rsid w:val="00906E07"/>
    <w:rsid w:val="00942773"/>
    <w:rsid w:val="009718D0"/>
    <w:rsid w:val="009921F0"/>
    <w:rsid w:val="009C5498"/>
    <w:rsid w:val="009F56CC"/>
    <w:rsid w:val="00A205E7"/>
    <w:rsid w:val="00A36D53"/>
    <w:rsid w:val="00A703B0"/>
    <w:rsid w:val="00A709A8"/>
    <w:rsid w:val="00AA0177"/>
    <w:rsid w:val="00AC07A3"/>
    <w:rsid w:val="00B3315B"/>
    <w:rsid w:val="00B926D0"/>
    <w:rsid w:val="00BC6BD3"/>
    <w:rsid w:val="00BD55AC"/>
    <w:rsid w:val="00C37773"/>
    <w:rsid w:val="00C552C9"/>
    <w:rsid w:val="00C90B5E"/>
    <w:rsid w:val="00CF2189"/>
    <w:rsid w:val="00E0542D"/>
    <w:rsid w:val="00E07FB4"/>
    <w:rsid w:val="00E44F8C"/>
    <w:rsid w:val="00E63464"/>
    <w:rsid w:val="00EC1F3E"/>
    <w:rsid w:val="00ED04EA"/>
    <w:rsid w:val="00EF4DB9"/>
    <w:rsid w:val="00F6284C"/>
    <w:rsid w:val="00FB4FD4"/>
    <w:rsid w:val="00FE42F4"/>
    <w:rsid w:val="18B839FD"/>
    <w:rsid w:val="1F336406"/>
    <w:rsid w:val="232F14D6"/>
    <w:rsid w:val="28BA77BF"/>
    <w:rsid w:val="5CA103F3"/>
    <w:rsid w:val="7C8761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8"/>
    <w:semiHidden/>
    <w:unhideWhenUsed/>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toc 1"/>
    <w:basedOn w:val="1"/>
    <w:next w:val="1"/>
    <w:qFormat/>
    <w:uiPriority w:val="0"/>
    <w:pPr>
      <w:spacing w:before="120" w:after="120"/>
      <w:jc w:val="left"/>
    </w:pPr>
    <w:rPr>
      <w:rFonts w:ascii="Times New Roman" w:hAnsi="Times New Roman" w:eastAsia="宋体" w:cs="Times New Roman"/>
      <w:b/>
      <w:bCs/>
      <w:caps/>
      <w:szCs w:val="24"/>
    </w:rPr>
  </w:style>
  <w:style w:type="character" w:customStyle="1" w:styleId="7">
    <w:name w:val="页眉 字符"/>
    <w:basedOn w:val="6"/>
    <w:link w:val="3"/>
    <w:semiHidden/>
    <w:qFormat/>
    <w:uiPriority w:val="99"/>
    <w:rPr>
      <w:sz w:val="18"/>
      <w:szCs w:val="18"/>
    </w:rPr>
  </w:style>
  <w:style w:type="character" w:customStyle="1" w:styleId="8">
    <w:name w:val="页脚 字符"/>
    <w:basedOn w:val="6"/>
    <w:link w:val="2"/>
    <w:semiHidden/>
    <w:qFormat/>
    <w:uiPriority w:val="99"/>
    <w:rPr>
      <w:sz w:val="18"/>
      <w:szCs w:val="18"/>
    </w:rPr>
  </w:style>
  <w:style w:type="paragraph" w:customStyle="1" w:styleId="9">
    <w:name w:val="_Style 7"/>
    <w:basedOn w:val="1"/>
    <w:next w:val="10"/>
    <w:qFormat/>
    <w:uiPriority w:val="34"/>
    <w:pPr>
      <w:ind w:firstLine="420" w:firstLineChars="200"/>
    </w:pPr>
    <w:rPr>
      <w:rFonts w:ascii="Calibri" w:hAnsi="Calibri" w:eastAsia="宋体" w:cs="Times New Roman"/>
    </w:rPr>
  </w:style>
  <w:style w:type="paragraph" w:styleId="10">
    <w:name w:val="List Paragraph"/>
    <w:basedOn w:val="1"/>
    <w:qFormat/>
    <w:uiPriority w:val="34"/>
    <w:pPr>
      <w:ind w:firstLine="420" w:firstLineChars="200"/>
    </w:pPr>
  </w:style>
  <w:style w:type="paragraph" w:customStyle="1" w:styleId="11">
    <w:name w:val="_Style 10"/>
    <w:basedOn w:val="1"/>
    <w:next w:val="10"/>
    <w:qFormat/>
    <w:uiPriority w:val="34"/>
    <w:pPr>
      <w:ind w:firstLine="420" w:firstLineChars="200"/>
    </w:pPr>
    <w:rPr>
      <w:rFonts w:ascii="Calibri" w:hAnsi="Calibri" w:eastAsia="宋体"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285</Words>
  <Characters>1627</Characters>
  <Lines>13</Lines>
  <Paragraphs>3</Paragraphs>
  <TotalTime>2</TotalTime>
  <ScaleCrop>false</ScaleCrop>
  <LinksUpToDate>false</LinksUpToDate>
  <CharactersWithSpaces>1909</CharactersWithSpaces>
  <Application>WPS Office_11.1.0.8863_F1E327BC-269C-435d-A152-05C5408002CA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2019-01-23T03:11:00Z</dcterms:created>
  <dc:creator>欧嘉诚</dc:creator>
  <cp:lastModifiedBy>魚菓</cp:lastModifiedBy>
  <dcterms:modified xsi:type="dcterms:W3CDTF">2019-07-10T02:46:56Z</dcterms:modified>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2052-11.1.0.8863</vt:lpwstr>
  </property>
</Properties>
</file>