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9" w:lineRule="exact"/>
        <w:ind w:firstLine="0" w:firstLineChars="0"/>
        <w:jc w:val="center"/>
        <w:rPr>
          <w:rFonts w:hint="eastAsia" w:ascii="仿宋_GB2312" w:hAnsi="仿宋_GB2312" w:eastAsia="仿宋_GB2312" w:cs="仿宋_GB2312"/>
          <w:b/>
          <w:kern w:val="0"/>
          <w:sz w:val="32"/>
          <w:szCs w:val="32"/>
        </w:rPr>
      </w:pPr>
      <w:bookmarkStart w:id="0" w:name="_GoBack"/>
      <w:r>
        <w:rPr>
          <w:rFonts w:hint="eastAsia" w:ascii="仿宋_GB2312" w:hAnsi="仿宋_GB2312" w:eastAsia="仿宋_GB2312" w:cs="仿宋_GB2312"/>
          <w:b/>
          <w:kern w:val="0"/>
          <w:sz w:val="32"/>
          <w:szCs w:val="32"/>
        </w:rPr>
        <w:t>附表10  拆除重建类城市更新项目修正系数计算表</w:t>
      </w:r>
      <w:bookmarkEnd w:id="0"/>
    </w:p>
    <w:tbl>
      <w:tblPr>
        <w:tblStyle w:val="3"/>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053"/>
        <w:gridCol w:w="993"/>
        <w:gridCol w:w="993"/>
        <w:gridCol w:w="992"/>
        <w:gridCol w:w="992"/>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3" w:type="dxa"/>
            <w:vAlign w:val="center"/>
          </w:tcPr>
          <w:p>
            <w:pPr>
              <w:spacing w:beforeLines="0" w:afterLines="0" w:line="360" w:lineRule="exact"/>
              <w:ind w:left="0" w:leftChars="0" w:right="0" w:rightChars="0"/>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rPr>
              <w:t>测算次序</w:t>
            </w:r>
          </w:p>
        </w:tc>
        <w:tc>
          <w:tcPr>
            <w:tcW w:w="2053" w:type="dxa"/>
            <w:vAlign w:val="center"/>
          </w:tcPr>
          <w:p>
            <w:pPr>
              <w:spacing w:beforeLines="0" w:afterLines="0" w:line="360" w:lineRule="exact"/>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rPr>
              <w:t>用地类别或改造类型</w:t>
            </w:r>
          </w:p>
        </w:tc>
        <w:tc>
          <w:tcPr>
            <w:tcW w:w="993" w:type="dxa"/>
            <w:vAlign w:val="center"/>
          </w:tcPr>
          <w:p>
            <w:pPr>
              <w:spacing w:beforeLines="0" w:afterLines="0" w:line="360" w:lineRule="exact"/>
              <w:ind w:left="0" w:leftChars="0" w:right="0" w:rightChars="0"/>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rPr>
              <w:t>适用住宅地价修正因子</w:t>
            </w:r>
          </w:p>
        </w:tc>
        <w:tc>
          <w:tcPr>
            <w:tcW w:w="993" w:type="dxa"/>
            <w:vAlign w:val="center"/>
          </w:tcPr>
          <w:p>
            <w:pPr>
              <w:spacing w:beforeLines="0" w:afterLines="0" w:line="360" w:lineRule="exact"/>
              <w:ind w:left="0" w:leftChars="0" w:right="0" w:rightChars="0"/>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rPr>
              <w:t>适用商业地价修正因子</w:t>
            </w:r>
          </w:p>
        </w:tc>
        <w:tc>
          <w:tcPr>
            <w:tcW w:w="992" w:type="dxa"/>
            <w:vAlign w:val="center"/>
          </w:tcPr>
          <w:p>
            <w:pPr>
              <w:spacing w:beforeLines="0" w:afterLines="0" w:line="360" w:lineRule="exact"/>
              <w:ind w:left="0" w:leftChars="0" w:right="0" w:rightChars="0"/>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rPr>
              <w:t>适用办公地价修正因子</w:t>
            </w:r>
          </w:p>
        </w:tc>
        <w:tc>
          <w:tcPr>
            <w:tcW w:w="992" w:type="dxa"/>
            <w:vAlign w:val="center"/>
          </w:tcPr>
          <w:p>
            <w:pPr>
              <w:spacing w:beforeLines="0" w:afterLines="0" w:line="360" w:lineRule="exact"/>
              <w:ind w:left="0" w:leftChars="0" w:right="0" w:rightChars="0"/>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rPr>
              <w:t>适用工业地价修正因子</w:t>
            </w:r>
          </w:p>
        </w:tc>
        <w:tc>
          <w:tcPr>
            <w:tcW w:w="2267" w:type="dxa"/>
            <w:vAlign w:val="center"/>
          </w:tcPr>
          <w:p>
            <w:pPr>
              <w:spacing w:beforeLines="0" w:afterLines="0" w:line="360" w:lineRule="exact"/>
              <w:ind w:left="0" w:leftChars="0" w:right="0" w:rightChars="0"/>
              <w:jc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3"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w:t>
            </w:r>
          </w:p>
        </w:tc>
        <w:tc>
          <w:tcPr>
            <w:tcW w:w="2053" w:type="dxa"/>
            <w:vAlign w:val="center"/>
          </w:tcPr>
          <w:p>
            <w:pPr>
              <w:spacing w:beforeLines="0" w:afterLines="0" w:line="29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小地块城市更新项目应移交未移交用地</w:t>
            </w:r>
          </w:p>
        </w:tc>
        <w:tc>
          <w:tcPr>
            <w:tcW w:w="993"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1.1</w:t>
            </w:r>
          </w:p>
        </w:tc>
        <w:tc>
          <w:tcPr>
            <w:tcW w:w="993"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1.1</w:t>
            </w:r>
          </w:p>
        </w:tc>
        <w:tc>
          <w:tcPr>
            <w:tcW w:w="992"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1.1</w:t>
            </w:r>
          </w:p>
        </w:tc>
        <w:tc>
          <w:tcPr>
            <w:tcW w:w="992"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1.1</w:t>
            </w:r>
          </w:p>
        </w:tc>
        <w:tc>
          <w:tcPr>
            <w:tcW w:w="2267" w:type="dxa"/>
            <w:vAlign w:val="top"/>
          </w:tcPr>
          <w:p>
            <w:pPr>
              <w:spacing w:beforeLines="0" w:afterLines="0" w:line="290" w:lineRule="exact"/>
              <w:rPr>
                <w:rFonts w:hint="eastAsia" w:ascii="仿宋_GB2312" w:hAnsi="仿宋_GB2312" w:eastAsia="仿宋_GB2312" w:cs="仿宋_GB2312"/>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63" w:type="dxa"/>
            <w:vMerge w:val="restart"/>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2</w:t>
            </w:r>
          </w:p>
        </w:tc>
        <w:tc>
          <w:tcPr>
            <w:tcW w:w="2053" w:type="dxa"/>
            <w:vAlign w:val="center"/>
          </w:tcPr>
          <w:p>
            <w:pPr>
              <w:spacing w:beforeLines="0" w:afterLines="0" w:line="29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已办理征转地补偿的零星国有未出让用地</w:t>
            </w:r>
          </w:p>
        </w:tc>
        <w:tc>
          <w:tcPr>
            <w:tcW w:w="993"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1.1</w:t>
            </w:r>
          </w:p>
        </w:tc>
        <w:tc>
          <w:tcPr>
            <w:tcW w:w="993"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1.1</w:t>
            </w:r>
          </w:p>
        </w:tc>
        <w:tc>
          <w:tcPr>
            <w:tcW w:w="992"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1.1</w:t>
            </w:r>
          </w:p>
        </w:tc>
        <w:tc>
          <w:tcPr>
            <w:tcW w:w="992"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1.1</w:t>
            </w:r>
          </w:p>
        </w:tc>
        <w:tc>
          <w:tcPr>
            <w:tcW w:w="2267" w:type="dxa"/>
            <w:vAlign w:val="top"/>
          </w:tcPr>
          <w:p>
            <w:pPr>
              <w:spacing w:beforeLines="0" w:afterLines="0" w:line="290" w:lineRule="exact"/>
              <w:rPr>
                <w:rFonts w:hint="eastAsia" w:ascii="仿宋_GB2312" w:hAnsi="仿宋_GB2312" w:eastAsia="仿宋_GB2312" w:cs="仿宋_GB2312"/>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vAlign w:val="center"/>
          </w:tcPr>
          <w:p>
            <w:pPr>
              <w:spacing w:beforeLines="0" w:afterLines="0" w:line="290" w:lineRule="exact"/>
              <w:jc w:val="center"/>
              <w:rPr>
                <w:rFonts w:hint="eastAsia" w:ascii="仿宋_GB2312" w:hAnsi="仿宋_GB2312" w:eastAsia="仿宋_GB2312" w:cs="仿宋_GB2312"/>
                <w:b w:val="0"/>
                <w:bCs/>
                <w:kern w:val="0"/>
                <w:sz w:val="24"/>
                <w:szCs w:val="24"/>
              </w:rPr>
            </w:pPr>
          </w:p>
        </w:tc>
        <w:tc>
          <w:tcPr>
            <w:tcW w:w="2053" w:type="dxa"/>
            <w:vAlign w:val="center"/>
          </w:tcPr>
          <w:p>
            <w:pPr>
              <w:spacing w:beforeLines="0" w:afterLines="0" w:line="29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未办理征转地补偿的零星国有未出让用地</w:t>
            </w:r>
          </w:p>
        </w:tc>
        <w:tc>
          <w:tcPr>
            <w:tcW w:w="993"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w:t>
            </w:r>
          </w:p>
        </w:tc>
        <w:tc>
          <w:tcPr>
            <w:tcW w:w="993"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0.18</w:t>
            </w:r>
          </w:p>
        </w:tc>
        <w:tc>
          <w:tcPr>
            <w:tcW w:w="992"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w:t>
            </w:r>
          </w:p>
        </w:tc>
        <w:tc>
          <w:tcPr>
            <w:tcW w:w="992" w:type="dxa"/>
            <w:vAlign w:val="center"/>
          </w:tcPr>
          <w:p>
            <w:pPr>
              <w:spacing w:beforeLines="0" w:afterLines="0" w:line="29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w:t>
            </w:r>
          </w:p>
        </w:tc>
        <w:tc>
          <w:tcPr>
            <w:tcW w:w="2267" w:type="dxa"/>
            <w:vAlign w:val="top"/>
          </w:tcPr>
          <w:p>
            <w:pPr>
              <w:spacing w:beforeLines="0" w:afterLines="0" w:line="290" w:lineRule="exact"/>
              <w:rPr>
                <w:rFonts w:hint="eastAsia" w:ascii="仿宋_GB2312" w:hAnsi="仿宋_GB2312" w:eastAsia="仿宋_GB2312" w:cs="仿宋_GB2312"/>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6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3</w:t>
            </w:r>
          </w:p>
        </w:tc>
        <w:tc>
          <w:tcPr>
            <w:tcW w:w="2053" w:type="dxa"/>
            <w:vAlign w:val="center"/>
          </w:tcPr>
          <w:p>
            <w:pPr>
              <w:spacing w:beforeLines="0" w:afterLines="0" w:line="36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城中村用地</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0.1×(1-4.5/r)</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0.18×(1-4.5/r)</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0.15×(1-4.5/r)</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0.15×(1-4.5/r)</w:t>
            </w:r>
          </w:p>
        </w:tc>
        <w:tc>
          <w:tcPr>
            <w:tcW w:w="2267" w:type="dxa"/>
            <w:vMerge w:val="restart"/>
            <w:vAlign w:val="top"/>
          </w:tcPr>
          <w:p>
            <w:pPr>
              <w:spacing w:beforeLines="0" w:afterLines="0" w:line="360" w:lineRule="exact"/>
              <w:ind w:left="0" w:leftChars="0"/>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修正因子计算结果为负数时取零；按</w:t>
            </w:r>
            <w:r>
              <w:rPr>
                <w:rFonts w:hint="eastAsia" w:ascii="仿宋_GB2312" w:hAnsi="仿宋_GB2312" w:eastAsia="仿宋_GB2312" w:cs="仿宋_GB2312"/>
                <w:b w:val="0"/>
                <w:bCs/>
                <w:kern w:val="0"/>
                <w:sz w:val="24"/>
                <w:szCs w:val="24"/>
                <w:lang w:eastAsia="zh-CN"/>
              </w:rPr>
              <w:t>《关于加强和改进城市更新实施工作的暂行措施》（</w:t>
            </w:r>
            <w:r>
              <w:rPr>
                <w:rFonts w:hint="eastAsia" w:ascii="仿宋_GB2312" w:hAnsi="仿宋_GB2312" w:eastAsia="仿宋_GB2312" w:cs="仿宋_GB2312"/>
                <w:b w:val="0"/>
                <w:bCs/>
                <w:kern w:val="0"/>
                <w:sz w:val="24"/>
                <w:szCs w:val="24"/>
              </w:rPr>
              <w:t>深府办〔2016〕38号</w:t>
            </w:r>
            <w:r>
              <w:rPr>
                <w:rFonts w:hint="eastAsia" w:ascii="仿宋_GB2312" w:hAnsi="仿宋_GB2312" w:eastAsia="仿宋_GB2312" w:cs="仿宋_GB2312"/>
                <w:b w:val="0"/>
                <w:bCs/>
                <w:kern w:val="0"/>
                <w:sz w:val="24"/>
                <w:szCs w:val="24"/>
                <w:lang w:eastAsia="zh-CN"/>
              </w:rPr>
              <w:t>）</w:t>
            </w:r>
            <w:r>
              <w:rPr>
                <w:rFonts w:hint="eastAsia" w:ascii="仿宋_GB2312" w:hAnsi="仿宋_GB2312" w:eastAsia="仿宋_GB2312" w:cs="仿宋_GB2312"/>
                <w:b w:val="0"/>
                <w:bCs/>
                <w:kern w:val="0"/>
                <w:sz w:val="24"/>
                <w:szCs w:val="24"/>
              </w:rPr>
              <w:t>文件要求配建人才住房、保障性住房或人才公寓的城市更新项目，按相应修正因子的0.8倍计算。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66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4</w:t>
            </w:r>
          </w:p>
        </w:tc>
        <w:tc>
          <w:tcPr>
            <w:tcW w:w="2053" w:type="dxa"/>
            <w:vAlign w:val="center"/>
          </w:tcPr>
          <w:p>
            <w:pPr>
              <w:spacing w:beforeLines="0" w:afterLines="0" w:line="36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旧屋村用地</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0.1×(1-1.5/r)</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0.18×(1-1.5/r)</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0.15×(1-1.5/r)</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0.15×(1-1.5/r)</w:t>
            </w:r>
          </w:p>
        </w:tc>
        <w:tc>
          <w:tcPr>
            <w:tcW w:w="2267" w:type="dxa"/>
            <w:vMerge w:val="continue"/>
            <w:vAlign w:val="top"/>
          </w:tcPr>
          <w:p>
            <w:pPr>
              <w:spacing w:beforeLines="0" w:afterLines="0" w:line="360" w:lineRule="exact"/>
              <w:rPr>
                <w:rFonts w:hint="eastAsia" w:ascii="仿宋_GB2312" w:hAnsi="仿宋_GB2312" w:eastAsia="仿宋_GB2312" w:cs="仿宋_GB2312"/>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66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5</w:t>
            </w:r>
          </w:p>
        </w:tc>
        <w:tc>
          <w:tcPr>
            <w:tcW w:w="2053" w:type="dxa"/>
            <w:vAlign w:val="center"/>
          </w:tcPr>
          <w:p>
            <w:pPr>
              <w:spacing w:beforeLines="0" w:afterLines="0" w:line="36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70个旧城旧村改造项目除城中村用地、旧屋村用地外的其余用地</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0.18</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w:t>
            </w:r>
          </w:p>
        </w:tc>
        <w:tc>
          <w:tcPr>
            <w:tcW w:w="2267" w:type="dxa"/>
            <w:vAlign w:val="top"/>
          </w:tcPr>
          <w:p>
            <w:pPr>
              <w:spacing w:beforeLines="0" w:afterLines="0" w:line="360" w:lineRule="exact"/>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70个旧城旧村改造项目按照《关于宝安龙岗两区自行开展的新安翻身工业区等70个旧城旧村改造项目的处理意见》（深府〔2006〕258号）确定。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63" w:type="dxa"/>
            <w:vMerge w:val="restart"/>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6</w:t>
            </w:r>
          </w:p>
        </w:tc>
        <w:tc>
          <w:tcPr>
            <w:tcW w:w="2053" w:type="dxa"/>
            <w:vAlign w:val="center"/>
          </w:tcPr>
          <w:p>
            <w:pPr>
              <w:spacing w:beforeLines="0" w:afterLines="0" w:line="36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国有已批用地改造为工业用地、物流仓储用地</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0.4</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0.75</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0.6</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w:t>
            </w:r>
          </w:p>
        </w:tc>
        <w:tc>
          <w:tcPr>
            <w:tcW w:w="2267" w:type="dxa"/>
            <w:vAlign w:val="top"/>
          </w:tcPr>
          <w:p>
            <w:pPr>
              <w:spacing w:beforeLines="0" w:afterLines="0" w:line="36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改造为三类居住用地（R3）的，适用本改造类型。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663" w:type="dxa"/>
            <w:vMerge w:val="continue"/>
            <w:vAlign w:val="center"/>
          </w:tcPr>
          <w:p>
            <w:pPr>
              <w:spacing w:beforeLines="0" w:afterLines="0" w:line="360" w:lineRule="exact"/>
              <w:jc w:val="center"/>
              <w:rPr>
                <w:rFonts w:hint="eastAsia" w:ascii="仿宋_GB2312" w:hAnsi="仿宋_GB2312" w:eastAsia="仿宋_GB2312" w:cs="仿宋_GB2312"/>
                <w:b w:val="0"/>
                <w:bCs/>
                <w:kern w:val="0"/>
                <w:sz w:val="24"/>
                <w:szCs w:val="24"/>
              </w:rPr>
            </w:pPr>
          </w:p>
        </w:tc>
        <w:tc>
          <w:tcPr>
            <w:tcW w:w="2053" w:type="dxa"/>
            <w:vAlign w:val="center"/>
          </w:tcPr>
          <w:p>
            <w:pPr>
              <w:spacing w:beforeLines="0" w:afterLines="0" w:line="36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国有已批居住、商业服务业用地改造为居住、商业服务业用地</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0.18</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w:t>
            </w:r>
          </w:p>
        </w:tc>
        <w:tc>
          <w:tcPr>
            <w:tcW w:w="2267" w:type="dxa"/>
            <w:vAlign w:val="top"/>
          </w:tcPr>
          <w:p>
            <w:pPr>
              <w:spacing w:beforeLines="0" w:afterLines="0" w:line="36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其中，国有已批游乐设施用地经市政府同意改造为居住、商业服务业用地的，按相应修正因子的3.5倍计算。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vAlign w:val="center"/>
          </w:tcPr>
          <w:p>
            <w:pPr>
              <w:spacing w:beforeLines="0" w:afterLines="0" w:line="240" w:lineRule="auto"/>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6</w:t>
            </w:r>
          </w:p>
        </w:tc>
        <w:tc>
          <w:tcPr>
            <w:tcW w:w="2053" w:type="dxa"/>
            <w:vAlign w:val="center"/>
          </w:tcPr>
          <w:p>
            <w:pPr>
              <w:spacing w:beforeLines="0" w:afterLines="0" w:line="240" w:lineRule="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国有已批用地（除居住、商业服务业用地）改造为居住、商业服务业用地</w:t>
            </w:r>
          </w:p>
        </w:tc>
        <w:tc>
          <w:tcPr>
            <w:tcW w:w="993" w:type="dxa"/>
            <w:vAlign w:val="center"/>
          </w:tcPr>
          <w:p>
            <w:pPr>
              <w:spacing w:beforeLines="0" w:afterLines="0" w:line="240" w:lineRule="auto"/>
              <w:jc w:val="both"/>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0.4</w:t>
            </w:r>
          </w:p>
        </w:tc>
        <w:tc>
          <w:tcPr>
            <w:tcW w:w="993" w:type="dxa"/>
            <w:vAlign w:val="center"/>
          </w:tcPr>
          <w:p>
            <w:pPr>
              <w:spacing w:beforeLines="0" w:afterLines="0" w:line="240" w:lineRule="auto"/>
              <w:jc w:val="both"/>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0.9</w:t>
            </w:r>
          </w:p>
        </w:tc>
        <w:tc>
          <w:tcPr>
            <w:tcW w:w="992" w:type="dxa"/>
            <w:vAlign w:val="center"/>
          </w:tcPr>
          <w:p>
            <w:pPr>
              <w:spacing w:beforeLines="0" w:afterLines="0" w:line="240" w:lineRule="auto"/>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0.6</w:t>
            </w:r>
          </w:p>
        </w:tc>
        <w:tc>
          <w:tcPr>
            <w:tcW w:w="992" w:type="dxa"/>
            <w:vAlign w:val="center"/>
          </w:tcPr>
          <w:p>
            <w:pPr>
              <w:spacing w:beforeLines="0" w:afterLines="0" w:line="240" w:lineRule="auto"/>
              <w:jc w:val="both"/>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w:t>
            </w:r>
          </w:p>
        </w:tc>
        <w:tc>
          <w:tcPr>
            <w:tcW w:w="2267" w:type="dxa"/>
            <w:vAlign w:val="top"/>
          </w:tcPr>
          <w:p>
            <w:pPr>
              <w:spacing w:beforeLines="0" w:afterLines="0" w:line="240" w:lineRule="auto"/>
              <w:rPr>
                <w:rFonts w:hint="eastAsia" w:ascii="仿宋_GB2312" w:hAnsi="仿宋_GB2312" w:eastAsia="仿宋_GB2312" w:cs="仿宋_GB2312"/>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63" w:type="dxa"/>
            <w:vMerge w:val="continue"/>
            <w:vAlign w:val="center"/>
          </w:tcPr>
          <w:p>
            <w:pPr>
              <w:spacing w:beforeLines="0" w:afterLines="0" w:line="360" w:lineRule="exact"/>
              <w:jc w:val="center"/>
              <w:rPr>
                <w:rFonts w:hint="eastAsia" w:ascii="仿宋_GB2312" w:hAnsi="仿宋_GB2312" w:eastAsia="仿宋_GB2312" w:cs="仿宋_GB2312"/>
                <w:b w:val="0"/>
                <w:bCs/>
                <w:kern w:val="0"/>
                <w:sz w:val="24"/>
                <w:szCs w:val="24"/>
              </w:rPr>
            </w:pPr>
          </w:p>
        </w:tc>
        <w:tc>
          <w:tcPr>
            <w:tcW w:w="2053" w:type="dxa"/>
            <w:vAlign w:val="center"/>
          </w:tcPr>
          <w:p>
            <w:pPr>
              <w:spacing w:beforeLines="0" w:afterLines="0" w:line="36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国有已批用地改造为公共管理与服务设施用地（包括文体设施、医疗卫生、教育设施、社会福利用地）</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0.18</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w:t>
            </w:r>
          </w:p>
        </w:tc>
        <w:tc>
          <w:tcPr>
            <w:tcW w:w="2267" w:type="dxa"/>
            <w:vAlign w:val="center"/>
          </w:tcPr>
          <w:p>
            <w:pPr>
              <w:spacing w:beforeLines="0" w:afterLines="0" w:line="360" w:lineRule="exact"/>
              <w:jc w:val="both"/>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公共管理与服务设施用地限整体转让。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vAlign w:val="center"/>
          </w:tcPr>
          <w:p>
            <w:pPr>
              <w:spacing w:beforeLines="0" w:afterLines="0" w:line="240" w:lineRule="auto"/>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6</w:t>
            </w:r>
          </w:p>
        </w:tc>
        <w:tc>
          <w:tcPr>
            <w:tcW w:w="2053" w:type="dxa"/>
            <w:vAlign w:val="center"/>
          </w:tcPr>
          <w:p>
            <w:pPr>
              <w:spacing w:beforeLines="0" w:afterLines="0" w:line="240" w:lineRule="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国有已批用地属于按农村城市化历史遗留违法建筑处理规定处理给原农村集体经济组织及其继受单位且权属未转移的用地</w:t>
            </w:r>
          </w:p>
        </w:tc>
        <w:tc>
          <w:tcPr>
            <w:tcW w:w="993" w:type="dxa"/>
            <w:vAlign w:val="center"/>
          </w:tcPr>
          <w:p>
            <w:pPr>
              <w:spacing w:beforeLines="0" w:afterLines="0" w:line="240" w:lineRule="auto"/>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w:t>
            </w:r>
          </w:p>
        </w:tc>
        <w:tc>
          <w:tcPr>
            <w:tcW w:w="993" w:type="dxa"/>
            <w:vAlign w:val="center"/>
          </w:tcPr>
          <w:p>
            <w:pPr>
              <w:spacing w:beforeLines="0" w:afterLines="0" w:line="240" w:lineRule="auto"/>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0.18</w:t>
            </w:r>
          </w:p>
        </w:tc>
        <w:tc>
          <w:tcPr>
            <w:tcW w:w="992" w:type="dxa"/>
            <w:vAlign w:val="center"/>
          </w:tcPr>
          <w:p>
            <w:pPr>
              <w:spacing w:beforeLines="0" w:afterLines="0" w:line="240" w:lineRule="auto"/>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w:t>
            </w:r>
          </w:p>
        </w:tc>
        <w:tc>
          <w:tcPr>
            <w:tcW w:w="992" w:type="dxa"/>
            <w:vAlign w:val="center"/>
          </w:tcPr>
          <w:p>
            <w:pPr>
              <w:spacing w:beforeLines="0" w:afterLines="0" w:line="240" w:lineRule="auto"/>
              <w:jc w:val="both"/>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0.15</w:t>
            </w:r>
          </w:p>
        </w:tc>
        <w:tc>
          <w:tcPr>
            <w:tcW w:w="2267" w:type="dxa"/>
            <w:vAlign w:val="top"/>
          </w:tcPr>
          <w:p>
            <w:pPr>
              <w:spacing w:beforeLines="0" w:afterLines="0" w:line="240" w:lineRule="auto"/>
              <w:rPr>
                <w:rFonts w:hint="eastAsia" w:ascii="仿宋_GB2312" w:hAnsi="仿宋_GB2312" w:eastAsia="仿宋_GB2312" w:cs="仿宋_GB2312"/>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7</w:t>
            </w:r>
          </w:p>
        </w:tc>
        <w:tc>
          <w:tcPr>
            <w:tcW w:w="2053" w:type="dxa"/>
            <w:vAlign w:val="center"/>
          </w:tcPr>
          <w:p>
            <w:pPr>
              <w:spacing w:beforeLines="0" w:afterLines="0" w:line="36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历史用地处置</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0.11</w:t>
            </w:r>
          </w:p>
        </w:tc>
        <w:tc>
          <w:tcPr>
            <w:tcW w:w="993"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0.2</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0.16</w:t>
            </w:r>
          </w:p>
        </w:tc>
        <w:tc>
          <w:tcPr>
            <w:tcW w:w="992" w:type="dxa"/>
            <w:vAlign w:val="center"/>
          </w:tcPr>
          <w:p>
            <w:pPr>
              <w:spacing w:beforeLines="0" w:afterLines="0"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0.16</w:t>
            </w:r>
          </w:p>
        </w:tc>
        <w:tc>
          <w:tcPr>
            <w:tcW w:w="2267" w:type="dxa"/>
            <w:vAlign w:val="top"/>
          </w:tcPr>
          <w:p>
            <w:pPr>
              <w:spacing w:beforeLines="0" w:afterLines="0" w:line="360" w:lineRule="exact"/>
              <w:rPr>
                <w:rFonts w:hint="eastAsia" w:ascii="仿宋_GB2312" w:hAnsi="仿宋_GB2312" w:eastAsia="仿宋_GB2312" w:cs="仿宋_GB2312"/>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53" w:type="dxa"/>
            <w:gridSpan w:val="7"/>
            <w:vAlign w:val="top"/>
          </w:tcPr>
          <w:p>
            <w:pPr>
              <w:spacing w:beforeLines="0" w:afterLines="0" w:line="360" w:lineRule="exact"/>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备注：</w:t>
            </w:r>
          </w:p>
          <w:p>
            <w:pPr>
              <w:spacing w:beforeLines="0" w:afterLines="0" w:line="360" w:lineRule="exact"/>
              <w:ind w:firstLine="480" w:firstLineChars="200"/>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w:t>
            </w:r>
            <w:r>
              <w:rPr>
                <w:rFonts w:hint="eastAsia" w:ascii="仿宋_GB2312" w:hAnsi="仿宋_GB2312" w:eastAsia="仿宋_GB2312" w:cs="仿宋_GB2312"/>
                <w:b w:val="0"/>
                <w:bCs/>
                <w:kern w:val="0"/>
                <w:sz w:val="24"/>
                <w:szCs w:val="24"/>
                <w:lang w:eastAsia="zh-CN"/>
              </w:rPr>
              <w:t>．</w:t>
            </w:r>
            <w:r>
              <w:rPr>
                <w:rFonts w:hint="eastAsia" w:ascii="仿宋_GB2312" w:hAnsi="仿宋_GB2312" w:eastAsia="仿宋_GB2312" w:cs="仿宋_GB2312"/>
                <w:b w:val="0"/>
                <w:bCs/>
                <w:kern w:val="0"/>
                <w:sz w:val="24"/>
                <w:szCs w:val="24"/>
              </w:rPr>
              <w:t>城市更新项目以用地审批中确定的一个整体为地价测算单位，按住宅、商业、办公、工业确定项目修正系数，各修正系数按照各“用地类别或改造类型”的面积占比及相应地价修正因子加权平均确定，公式为：各修正系数 = ∑（各“用地类别或改造类型”面积占比×相应修正因子）。</w:t>
            </w:r>
          </w:p>
          <w:p>
            <w:pPr>
              <w:numPr>
                <w:ilvl w:val="0"/>
                <w:numId w:val="1"/>
              </w:numPr>
              <w:spacing w:beforeLines="0" w:afterLines="0" w:line="360" w:lineRule="exact"/>
              <w:ind w:firstLine="480" w:firstLineChars="200"/>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r为一个整体范围内全部开发建设用地的地上规定建筑面积+地下规定建筑面积之和与总用地面积的比值。</w:t>
            </w:r>
          </w:p>
          <w:p>
            <w:pPr>
              <w:spacing w:beforeLines="0" w:afterLines="0" w:line="360" w:lineRule="exact"/>
              <w:ind w:firstLine="480" w:firstLineChars="200"/>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3. “用地类别或改造类型”面积占比为相应用地面积与开发建设用地面积的比值，并按照本表中“测算次序”依次计算，累计面积占比超出100%的部分不再参与计算。其中测算次序6存在多种“用地类别或改造类型”的，测算次序6应计入的面积占比按照相应用地面积占国有已批用地面积的比例分摊至各“用地类别或改造类型”。</w:t>
            </w:r>
          </w:p>
          <w:p>
            <w:pPr>
              <w:spacing w:beforeLines="0" w:afterLines="0" w:line="270" w:lineRule="exact"/>
              <w:ind w:firstLine="480" w:firstLineChars="200"/>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4. 按深府办〔2016〕38号文要求配建人才住房、保障性住房的城市更新项目，适用“国有已批用地（除居住、商业服务业用地</w:t>
            </w:r>
            <w:r>
              <w:rPr>
                <w:rFonts w:hint="eastAsia" w:ascii="仿宋_GB2312" w:hAnsi="仿宋_GB2312" w:eastAsia="仿宋_GB2312" w:cs="仿宋_GB2312"/>
                <w:b w:val="0"/>
                <w:bCs/>
                <w:kern w:val="0"/>
                <w:sz w:val="24"/>
                <w:szCs w:val="24"/>
                <w:lang w:eastAsia="zh-CN"/>
              </w:rPr>
              <w:t>外</w:t>
            </w:r>
            <w:r>
              <w:rPr>
                <w:rFonts w:hint="eastAsia" w:ascii="仿宋_GB2312" w:hAnsi="仿宋_GB2312" w:eastAsia="仿宋_GB2312" w:cs="仿宋_GB2312"/>
                <w:b w:val="0"/>
                <w:bCs/>
                <w:kern w:val="0"/>
                <w:sz w:val="24"/>
                <w:szCs w:val="24"/>
              </w:rPr>
              <w:t>）改造为居住、商业服务业用地”类型的，除人才住房及保障性住房外的住宅建筑面积按住宅修正因子的0.8倍计算。按深府办〔2016〕38号文要求配建人才公寓的城市更新项目，适用“国有已批用地（除居住、商业服务业用地</w:t>
            </w:r>
            <w:r>
              <w:rPr>
                <w:rFonts w:hint="eastAsia" w:ascii="仿宋_GB2312" w:hAnsi="仿宋_GB2312" w:eastAsia="仿宋_GB2312" w:cs="仿宋_GB2312"/>
                <w:b w:val="0"/>
                <w:bCs/>
                <w:kern w:val="0"/>
                <w:sz w:val="24"/>
                <w:szCs w:val="24"/>
                <w:lang w:eastAsia="zh-CN"/>
              </w:rPr>
              <w:t>外</w:t>
            </w:r>
            <w:r>
              <w:rPr>
                <w:rFonts w:hint="eastAsia" w:ascii="仿宋_GB2312" w:hAnsi="仿宋_GB2312" w:eastAsia="仿宋_GB2312" w:cs="仿宋_GB2312"/>
                <w:b w:val="0"/>
                <w:bCs/>
                <w:kern w:val="0"/>
                <w:sz w:val="24"/>
                <w:szCs w:val="24"/>
              </w:rPr>
              <w:t xml:space="preserve">）改造为居住、商业服务业用地”类型的，除人才公寓外的商务公寓建筑面积按办公修正因子的0.8倍计算。 </w:t>
            </w:r>
          </w:p>
          <w:p>
            <w:pPr>
              <w:spacing w:beforeLines="0" w:afterLines="0" w:line="270" w:lineRule="exact"/>
              <w:ind w:firstLine="480" w:firstLineChars="200"/>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5.《关于加强城市更新单元规</w:t>
            </w:r>
            <w:r>
              <w:rPr>
                <w:rFonts w:hint="eastAsia" w:ascii="仿宋_GB2312" w:hAnsi="仿宋_GB2312" w:eastAsia="仿宋_GB2312" w:cs="仿宋_GB2312"/>
                <w:b w:val="0"/>
                <w:bCs/>
                <w:kern w:val="0"/>
                <w:sz w:val="24"/>
                <w:szCs w:val="24"/>
                <w:lang w:eastAsia="zh-CN"/>
              </w:rPr>
              <w:t>划</w:t>
            </w:r>
            <w:r>
              <w:rPr>
                <w:rFonts w:hint="eastAsia" w:ascii="仿宋_GB2312" w:hAnsi="仿宋_GB2312" w:eastAsia="仿宋_GB2312" w:cs="仿宋_GB2312"/>
                <w:b w:val="0"/>
                <w:bCs/>
                <w:kern w:val="0"/>
                <w:sz w:val="24"/>
                <w:szCs w:val="24"/>
              </w:rPr>
              <w:t>审批管理工作的通知》</w:t>
            </w:r>
            <w:r>
              <w:rPr>
                <w:rFonts w:hint="eastAsia" w:ascii="仿宋_GB2312" w:hAnsi="仿宋_GB2312" w:eastAsia="仿宋_GB2312" w:cs="仿宋_GB2312"/>
                <w:b w:val="0"/>
                <w:bCs/>
                <w:kern w:val="0"/>
                <w:sz w:val="24"/>
                <w:szCs w:val="24"/>
                <w:lang w:eastAsia="zh-CN"/>
              </w:rPr>
              <w:t>（深规土规〔</w:t>
            </w:r>
            <w:r>
              <w:rPr>
                <w:rFonts w:hint="eastAsia" w:ascii="仿宋_GB2312" w:hAnsi="仿宋_GB2312" w:eastAsia="仿宋_GB2312" w:cs="仿宋_GB2312"/>
                <w:b w:val="0"/>
                <w:bCs/>
                <w:kern w:val="0"/>
                <w:sz w:val="24"/>
                <w:szCs w:val="24"/>
                <w:lang w:val="en-US" w:eastAsia="zh-CN"/>
              </w:rPr>
              <w:t>2018〕4号</w:t>
            </w:r>
            <w:r>
              <w:rPr>
                <w:rFonts w:hint="eastAsia" w:ascii="仿宋_GB2312" w:hAnsi="仿宋_GB2312" w:eastAsia="仿宋_GB2312" w:cs="仿宋_GB2312"/>
                <w:b w:val="0"/>
                <w:bCs/>
                <w:kern w:val="0"/>
                <w:sz w:val="24"/>
                <w:szCs w:val="24"/>
                <w:lang w:eastAsia="zh-CN"/>
              </w:rPr>
              <w:t>）</w:t>
            </w:r>
            <w:r>
              <w:rPr>
                <w:rFonts w:hint="eastAsia" w:ascii="仿宋_GB2312" w:hAnsi="仿宋_GB2312" w:eastAsia="仿宋_GB2312" w:cs="仿宋_GB2312"/>
                <w:b w:val="0"/>
                <w:bCs/>
                <w:kern w:val="0"/>
                <w:sz w:val="24"/>
                <w:szCs w:val="24"/>
              </w:rPr>
              <w:t>和《深圳市拆除重建类城市更新单元规划容积率审查规定》</w:t>
            </w:r>
            <w:r>
              <w:rPr>
                <w:rFonts w:hint="eastAsia" w:ascii="仿宋_GB2312" w:hAnsi="仿宋_GB2312" w:eastAsia="仿宋_GB2312" w:cs="仿宋_GB2312"/>
                <w:b w:val="0"/>
                <w:bCs/>
                <w:kern w:val="0"/>
                <w:sz w:val="24"/>
                <w:szCs w:val="24"/>
                <w:lang w:eastAsia="zh-CN"/>
              </w:rPr>
              <w:t>（深规划资源〔</w:t>
            </w:r>
            <w:r>
              <w:rPr>
                <w:rFonts w:hint="eastAsia" w:ascii="仿宋_GB2312" w:hAnsi="仿宋_GB2312" w:eastAsia="仿宋_GB2312" w:cs="仿宋_GB2312"/>
                <w:b w:val="0"/>
                <w:bCs/>
                <w:kern w:val="0"/>
                <w:sz w:val="24"/>
                <w:szCs w:val="24"/>
                <w:lang w:val="en-US" w:eastAsia="zh-CN"/>
              </w:rPr>
              <w:t>2019〕1号</w:t>
            </w:r>
            <w:r>
              <w:rPr>
                <w:rFonts w:hint="eastAsia" w:ascii="仿宋_GB2312" w:hAnsi="仿宋_GB2312" w:eastAsia="仿宋_GB2312" w:cs="仿宋_GB2312"/>
                <w:b w:val="0"/>
                <w:bCs/>
                <w:kern w:val="0"/>
                <w:sz w:val="24"/>
                <w:szCs w:val="24"/>
                <w:lang w:eastAsia="zh-CN"/>
              </w:rPr>
              <w:t>）</w:t>
            </w:r>
            <w:r>
              <w:rPr>
                <w:rFonts w:hint="eastAsia" w:ascii="仿宋_GB2312" w:hAnsi="仿宋_GB2312" w:eastAsia="仿宋_GB2312" w:cs="仿宋_GB2312"/>
                <w:b w:val="0"/>
                <w:bCs/>
                <w:kern w:val="0"/>
                <w:sz w:val="24"/>
                <w:szCs w:val="24"/>
              </w:rPr>
              <w:t>中规定按评估地价标准计收地价的建筑面积，按本规则1.7条公式测算地价，其中项目修正系数为1.1。</w:t>
            </w:r>
          </w:p>
          <w:p>
            <w:pPr>
              <w:spacing w:beforeLines="0" w:afterLines="0" w:line="270" w:lineRule="exact"/>
              <w:ind w:firstLine="480" w:firstLineChars="200"/>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6. 本表测算次序第3至</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项“用地类别或改造类型”中的厂房、研发用房为不得转让情形的，其适用工业地价修正因子按</w:t>
            </w:r>
            <w:r>
              <w:rPr>
                <w:rFonts w:hint="eastAsia" w:ascii="仿宋_GB2312" w:hAnsi="仿宋_GB2312" w:eastAsia="仿宋_GB2312" w:cs="仿宋_GB2312"/>
                <w:b w:val="0"/>
                <w:bCs/>
                <w:kern w:val="0"/>
                <w:sz w:val="24"/>
                <w:szCs w:val="24"/>
                <w:lang w:val="en-US" w:eastAsia="zh-CN"/>
              </w:rPr>
              <w:t>0</w:t>
            </w:r>
            <w:r>
              <w:rPr>
                <w:rFonts w:hint="eastAsia" w:ascii="仿宋_GB2312" w:hAnsi="仿宋_GB2312" w:eastAsia="仿宋_GB2312" w:cs="仿宋_GB2312"/>
                <w:b w:val="0"/>
                <w:bCs/>
                <w:kern w:val="0"/>
                <w:sz w:val="24"/>
                <w:szCs w:val="24"/>
              </w:rPr>
              <w:t>计算（即厂房、研发用房不得转让部分不计收地价）。</w:t>
            </w:r>
          </w:p>
          <w:p>
            <w:pPr>
              <w:spacing w:beforeLines="0" w:afterLines="0" w:line="270" w:lineRule="exact"/>
              <w:ind w:firstLine="480" w:firstLineChars="200"/>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color w:val="000000"/>
                <w:kern w:val="0"/>
                <w:sz w:val="24"/>
                <w:szCs w:val="24"/>
              </w:rPr>
              <w:t>7</w:t>
            </w:r>
            <w:r>
              <w:rPr>
                <w:rFonts w:hint="eastAsia" w:ascii="仿宋_GB2312" w:hAnsi="仿宋_GB2312" w:eastAsia="仿宋_GB2312" w:cs="仿宋_GB2312"/>
                <w:b w:val="0"/>
                <w:bCs/>
                <w:color w:val="000000"/>
                <w:kern w:val="0"/>
                <w:sz w:val="24"/>
                <w:szCs w:val="24"/>
                <w:lang w:val="en-US" w:eastAsia="zh-CN"/>
              </w:rPr>
              <w:t xml:space="preserve">. </w:t>
            </w:r>
            <w:r>
              <w:rPr>
                <w:rFonts w:hint="eastAsia" w:ascii="仿宋_GB2312" w:hAnsi="仿宋_GB2312" w:eastAsia="仿宋_GB2312" w:cs="仿宋_GB2312"/>
                <w:b w:val="0"/>
                <w:bCs/>
                <w:color w:val="000000"/>
                <w:kern w:val="0"/>
                <w:sz w:val="24"/>
                <w:szCs w:val="24"/>
              </w:rPr>
              <w:t>签订供应合同时按本规则测算地价的</w:t>
            </w:r>
            <w:r>
              <w:rPr>
                <w:rFonts w:hint="eastAsia" w:ascii="仿宋_GB2312" w:hAnsi="仿宋_GB2312" w:eastAsia="仿宋_GB2312" w:cs="仿宋_GB2312"/>
                <w:b w:val="0"/>
                <w:bCs/>
                <w:kern w:val="0"/>
                <w:sz w:val="24"/>
                <w:szCs w:val="24"/>
              </w:rPr>
              <w:t>城市更新项目用地，供应合同受让方（不包括转让后的权利主体）申请将工业楼宇及配套用房产权条件变更为整体或分割转让的，应补缴地价＝∑(土地的市场价格×变更后对应建筑面积×变更后基础修正系数×变更后拆除重建类城市更新项目修正系数)-∑(土地的市场价格×变更前对应建筑面积×变更前基础修正系数×变更前拆除重建类城市更新项目修正系数)。如差额为负，不再计收地价。</w:t>
            </w:r>
          </w:p>
          <w:p>
            <w:pPr>
              <w:spacing w:beforeLines="0" w:afterLines="0" w:line="270" w:lineRule="exact"/>
              <w:ind w:firstLine="480" w:firstLineChars="200"/>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签订供应合同时未按本规则测算地价的城市更新项目用地，供应合同受让方（不包括转让后的权利主体）申请将工业楼宇及配套用房产权条件变更为整体或分割转让的，应补缴地价按照前款公式计算，变更后拆除重建类城市更新项目修正系数按照本表中“国有已批用地改造为工业用地、物流仓储用地”改造类型的适用住宅、商业、办公、工业地价修正因子取值；变更前产权条件为不得转让的，变更前拆除重建类城市更新项目修正系数均按0.05取值，变更前产权条件为整体转让的，变更前拆除重建类城市更新项目修正系数均按0.15取值。如差额为负，不再计收地价。</w:t>
            </w:r>
          </w:p>
          <w:p>
            <w:pPr>
              <w:spacing w:beforeLines="0" w:afterLines="0" w:line="270" w:lineRule="exact"/>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 xml:space="preserve">    8.城市更新单元规划确定的开发建设用地范围外的地下停车场（库）部分，按本规则1.7条公式测算地价，其中产权条件修正系数为不得转让情形的系数、项目修正系数为1。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C43C"/>
    <w:multiLevelType w:val="singleLevel"/>
    <w:tmpl w:val="0AE5C43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D0609"/>
    <w:rsid w:val="3E0D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2019-10-21T02:20:00Z</dcterms:created>
  <dc:creator>123456</dc:creator>
  <cp:lastModifiedBy>123456</cp:lastModifiedBy>
  <dcterms:modified xsi:type="dcterms:W3CDTF">2019-10-21T02:20:21Z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