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宋体" w:hAnsi="宋体" w:cs="宋体"/>
          <w:b/>
          <w:bCs/>
          <w:color w:val="000000"/>
          <w:kern w:val="0"/>
          <w:sz w:val="24"/>
        </w:rPr>
      </w:pPr>
      <w:r>
        <w:rPr>
          <w:rFonts w:hint="eastAsia" w:ascii="黑体" w:hAnsi="黑体" w:eastAsia="黑体" w:cs="黑体"/>
          <w:color w:val="000000"/>
          <w:kern w:val="0"/>
          <w:sz w:val="32"/>
          <w:szCs w:val="32"/>
        </w:rPr>
        <w:t>附件</w:t>
      </w:r>
    </w:p>
    <w:p>
      <w:pPr>
        <w:spacing w:line="560" w:lineRule="exact"/>
        <w:jc w:val="center"/>
        <w:rPr>
          <w:rFonts w:hint="eastAsia" w:ascii="方正小标宋简体" w:hAnsi="方正小标宋简体" w:eastAsia="方正小标宋简体" w:cs="方正小标宋简体"/>
          <w:color w:val="000000"/>
          <w:kern w:val="0"/>
          <w:sz w:val="44"/>
          <w:szCs w:val="44"/>
        </w:rPr>
      </w:pPr>
    </w:p>
    <w:p>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kern w:val="0"/>
          <w:sz w:val="44"/>
          <w:szCs w:val="44"/>
        </w:rPr>
        <w:t>重点绩效评价项目</w:t>
      </w:r>
      <w:r>
        <w:rPr>
          <w:rFonts w:hint="eastAsia" w:ascii="方正小标宋简体" w:hAnsi="方正小标宋简体" w:eastAsia="方正小标宋简体" w:cs="方正小标宋简体"/>
          <w:sz w:val="44"/>
          <w:szCs w:val="44"/>
        </w:rPr>
        <w:t>评分细则</w:t>
      </w:r>
    </w:p>
    <w:p>
      <w:pPr>
        <w:spacing w:line="560" w:lineRule="exact"/>
        <w:ind w:firstLine="880" w:firstLineChars="200"/>
        <w:jc w:val="center"/>
        <w:rPr>
          <w:rFonts w:hint="eastAsia" w:ascii="方正小标宋简体" w:hAnsi="方正小标宋简体" w:eastAsia="方正小标宋简体" w:cs="方正小标宋简体"/>
          <w:sz w:val="44"/>
          <w:szCs w:val="44"/>
        </w:rPr>
      </w:pPr>
    </w:p>
    <w:p>
      <w:pPr>
        <w:spacing w:line="560" w:lineRule="exact"/>
        <w:ind w:firstLine="640" w:firstLineChars="200"/>
        <w:rPr>
          <w:rFonts w:hint="eastAsia" w:ascii="宋体" w:hAnsi="宋体" w:cs="宋体"/>
          <w:sz w:val="24"/>
        </w:rPr>
      </w:pPr>
      <w:r>
        <w:rPr>
          <w:rFonts w:hint="eastAsia" w:ascii="仿宋_GB2312" w:hAnsi="仿宋_GB2312" w:eastAsia="仿宋_GB2312" w:cs="仿宋_GB2312"/>
          <w:sz w:val="32"/>
          <w:szCs w:val="32"/>
        </w:rPr>
        <w:t>本次评选采用综合评分法</w:t>
      </w:r>
      <w:r>
        <w:rPr>
          <w:rFonts w:hint="eastAsia" w:ascii="仿宋_GB2312" w:hAnsi="仿宋_GB2312" w:eastAsia="仿宋_GB2312" w:cs="仿宋_GB2312"/>
          <w:kern w:val="0"/>
          <w:sz w:val="32"/>
          <w:szCs w:val="32"/>
        </w:rPr>
        <w:t>（满分100分）</w:t>
      </w:r>
      <w:r>
        <w:rPr>
          <w:rFonts w:hint="eastAsia" w:ascii="仿宋_GB2312" w:hAnsi="仿宋_GB2312" w:eastAsia="仿宋_GB2312" w:cs="仿宋_GB2312"/>
          <w:sz w:val="32"/>
          <w:szCs w:val="32"/>
        </w:rPr>
        <w:t>。每一申报人的最终得分为所有评委给其评分的算术平均值。</w:t>
      </w:r>
    </w:p>
    <w:tbl>
      <w:tblPr>
        <w:tblStyle w:val="3"/>
        <w:tblpPr w:leftFromText="180" w:rightFromText="180" w:vertAnchor="text" w:horzAnchor="page" w:tblpX="1560" w:tblpY="225"/>
        <w:tblOverlap w:val="never"/>
        <w:tblW w:w="85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7"/>
        <w:gridCol w:w="1405"/>
        <w:gridCol w:w="1065"/>
        <w:gridCol w:w="5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97" w:type="dxa"/>
            <w:tcBorders>
              <w:top w:val="single" w:color="auto" w:sz="4" w:space="0"/>
              <w:left w:val="single" w:color="auto" w:sz="4" w:space="0"/>
              <w:bottom w:val="single" w:color="auto" w:sz="4" w:space="0"/>
              <w:right w:val="single" w:color="auto" w:sz="4" w:space="0"/>
            </w:tcBorders>
            <w:noWrap w:val="0"/>
            <w:vAlign w:val="center"/>
          </w:tcPr>
          <w:p>
            <w:pPr>
              <w:spacing w:after="60"/>
              <w:jc w:val="center"/>
              <w:rPr>
                <w:rStyle w:val="5"/>
                <w:rFonts w:ascii="仿宋_GB2312" w:hAnsi="仿宋_GB2312" w:eastAsia="仿宋_GB2312" w:cs="仿宋_GB2312"/>
              </w:rPr>
            </w:pPr>
            <w:r>
              <w:rPr>
                <w:rStyle w:val="5"/>
                <w:rFonts w:ascii="仿宋_GB2312" w:hAnsi="仿宋_GB2312" w:eastAsia="仿宋_GB2312" w:cs="仿宋_GB2312"/>
              </w:rPr>
              <w:t>序号</w:t>
            </w:r>
          </w:p>
        </w:tc>
        <w:tc>
          <w:tcPr>
            <w:tcW w:w="1405" w:type="dxa"/>
            <w:tcBorders>
              <w:top w:val="single" w:color="auto" w:sz="4" w:space="0"/>
              <w:left w:val="nil"/>
              <w:bottom w:val="single" w:color="auto" w:sz="4" w:space="0"/>
              <w:right w:val="single" w:color="auto" w:sz="4" w:space="0"/>
            </w:tcBorders>
            <w:noWrap w:val="0"/>
            <w:vAlign w:val="center"/>
          </w:tcPr>
          <w:p>
            <w:pPr>
              <w:spacing w:after="60" w:line="360" w:lineRule="exact"/>
              <w:jc w:val="center"/>
              <w:rPr>
                <w:rStyle w:val="5"/>
                <w:rFonts w:ascii="仿宋_GB2312" w:hAnsi="仿宋_GB2312" w:eastAsia="仿宋_GB2312" w:cs="仿宋_GB2312"/>
              </w:rPr>
            </w:pPr>
            <w:r>
              <w:rPr>
                <w:rStyle w:val="5"/>
                <w:rFonts w:ascii="仿宋_GB2312" w:hAnsi="仿宋_GB2312" w:eastAsia="仿宋_GB2312" w:cs="仿宋_GB2312"/>
              </w:rPr>
              <w:t>评分指标（100分）</w:t>
            </w:r>
          </w:p>
        </w:tc>
        <w:tc>
          <w:tcPr>
            <w:tcW w:w="1065" w:type="dxa"/>
            <w:tcBorders>
              <w:top w:val="single" w:color="auto" w:sz="4" w:space="0"/>
              <w:left w:val="nil"/>
              <w:bottom w:val="single" w:color="auto" w:sz="4" w:space="0"/>
              <w:right w:val="single" w:color="auto" w:sz="4" w:space="0"/>
            </w:tcBorders>
            <w:noWrap w:val="0"/>
            <w:vAlign w:val="center"/>
          </w:tcPr>
          <w:p>
            <w:pPr>
              <w:spacing w:after="60"/>
              <w:jc w:val="center"/>
              <w:rPr>
                <w:rStyle w:val="5"/>
                <w:rFonts w:ascii="仿宋_GB2312" w:hAnsi="仿宋_GB2312" w:eastAsia="仿宋_GB2312" w:cs="仿宋_GB2312"/>
              </w:rPr>
            </w:pPr>
            <w:r>
              <w:rPr>
                <w:rStyle w:val="5"/>
                <w:rFonts w:ascii="仿宋_GB2312" w:hAnsi="仿宋_GB2312" w:eastAsia="仿宋_GB2312" w:cs="仿宋_GB2312"/>
              </w:rPr>
              <w:t>权重</w:t>
            </w:r>
          </w:p>
        </w:tc>
        <w:tc>
          <w:tcPr>
            <w:tcW w:w="5295" w:type="dxa"/>
            <w:tcBorders>
              <w:top w:val="single" w:color="auto" w:sz="4" w:space="0"/>
              <w:left w:val="nil"/>
              <w:bottom w:val="single" w:color="auto" w:sz="4" w:space="0"/>
              <w:right w:val="single" w:color="auto" w:sz="4" w:space="0"/>
            </w:tcBorders>
            <w:noWrap w:val="0"/>
            <w:vAlign w:val="center"/>
          </w:tcPr>
          <w:p>
            <w:pPr>
              <w:spacing w:after="60"/>
              <w:jc w:val="center"/>
              <w:rPr>
                <w:rStyle w:val="5"/>
                <w:rFonts w:ascii="仿宋_GB2312" w:hAnsi="仿宋_GB2312" w:eastAsia="仿宋_GB2312" w:cs="仿宋_GB2312"/>
              </w:rPr>
            </w:pPr>
            <w:r>
              <w:rPr>
                <w:rStyle w:val="5"/>
                <w:rFonts w:ascii="仿宋_GB2312" w:hAnsi="仿宋_GB2312" w:eastAsia="仿宋_GB2312" w:cs="仿宋_GB2312"/>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86" w:hRule="atLeast"/>
        </w:trPr>
        <w:tc>
          <w:tcPr>
            <w:tcW w:w="797" w:type="dxa"/>
            <w:tcBorders>
              <w:top w:val="single" w:color="auto" w:sz="4" w:space="0"/>
              <w:left w:val="single" w:color="auto" w:sz="4" w:space="0"/>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05" w:type="dxa"/>
            <w:tcBorders>
              <w:top w:val="single" w:color="auto" w:sz="4" w:space="0"/>
              <w:left w:val="nil"/>
              <w:bottom w:val="single" w:color="auto" w:sz="4" w:space="0"/>
              <w:right w:val="single" w:color="auto" w:sz="4" w:space="0"/>
            </w:tcBorders>
            <w:noWrap w:val="0"/>
            <w:vAlign w:val="center"/>
          </w:tcPr>
          <w:p>
            <w:pPr>
              <w:snapToGrid w:val="0"/>
              <w:jc w:val="center"/>
              <w:rPr>
                <w:rStyle w:val="5"/>
                <w:rFonts w:ascii="仿宋_GB2312" w:hAnsi="仿宋_GB2312" w:eastAsia="仿宋_GB2312" w:cs="仿宋_GB2312"/>
                <w:b w:val="0"/>
                <w:bCs w:val="0"/>
              </w:rPr>
            </w:pPr>
            <w:r>
              <w:rPr>
                <w:rStyle w:val="5"/>
                <w:rFonts w:ascii="仿宋_GB2312" w:hAnsi="仿宋_GB2312" w:eastAsia="仿宋_GB2312" w:cs="仿宋_GB2312"/>
                <w:b w:val="0"/>
                <w:bCs w:val="0"/>
              </w:rPr>
              <w:t>项目报价（10分）</w:t>
            </w:r>
          </w:p>
        </w:tc>
        <w:tc>
          <w:tcPr>
            <w:tcW w:w="1065" w:type="dxa"/>
            <w:tcBorders>
              <w:top w:val="single" w:color="auto" w:sz="4" w:space="0"/>
              <w:left w:val="nil"/>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8"/>
                <w:szCs w:val="28"/>
              </w:rPr>
            </w:pPr>
            <w:r>
              <w:rPr>
                <w:rStyle w:val="5"/>
                <w:rFonts w:hint="default"/>
                <w:b w:val="0"/>
                <w:bCs w:val="0"/>
              </w:rPr>
              <w:t>10</w:t>
            </w:r>
          </w:p>
        </w:tc>
        <w:tc>
          <w:tcPr>
            <w:tcW w:w="5295" w:type="dxa"/>
            <w:tcBorders>
              <w:top w:val="single" w:color="auto" w:sz="4" w:space="0"/>
              <w:left w:val="nil"/>
              <w:bottom w:val="single" w:color="auto" w:sz="4" w:space="0"/>
              <w:right w:val="single" w:color="auto" w:sz="4" w:space="0"/>
            </w:tcBorders>
            <w:noWrap w:val="0"/>
            <w:vAlign w:val="center"/>
          </w:tcPr>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价格分=评标基准价</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投标报价×价格权重</w:t>
            </w:r>
          </w:p>
          <w:p>
            <w:pPr>
              <w:numPr>
                <w:ilvl w:val="0"/>
                <w:numId w:val="0"/>
              </w:numPr>
              <w:snapToGrid w:val="0"/>
              <w:jc w:val="left"/>
              <w:rPr>
                <w:rFonts w:hint="eastAsia" w:eastAsia="仿宋_GB2312"/>
                <w:lang w:eastAsia="zh-CN"/>
              </w:rPr>
            </w:pPr>
            <w:r>
              <w:rPr>
                <w:rFonts w:hint="eastAsia" w:ascii="仿宋_GB2312" w:hAnsi="仿宋_GB2312" w:eastAsia="仿宋_GB2312" w:cs="仿宋_GB2312"/>
                <w:sz w:val="28"/>
                <w:szCs w:val="28"/>
                <w:lang w:eastAsia="zh-CN"/>
              </w:rPr>
              <w:t>（满足招标文件要求且投标价格最低的投标报价为评标基准价。对于报价明显偏低可能影响履约的，</w:t>
            </w:r>
            <w:r>
              <w:rPr>
                <w:rFonts w:hint="eastAsia" w:ascii="仿宋_GB2312" w:hAnsi="仿宋_GB2312" w:eastAsia="仿宋_GB2312" w:cs="仿宋_GB2312"/>
                <w:sz w:val="28"/>
                <w:szCs w:val="28"/>
                <w:lang w:val="en-US" w:eastAsia="zh-CN"/>
              </w:rPr>
              <w:t>评审委员会</w:t>
            </w:r>
            <w:r>
              <w:rPr>
                <w:rFonts w:hint="eastAsia" w:ascii="仿宋_GB2312" w:hAnsi="仿宋_GB2312" w:eastAsia="仿宋_GB2312" w:cs="仿宋_GB2312"/>
                <w:sz w:val="28"/>
                <w:szCs w:val="28"/>
                <w:lang w:eastAsia="zh-CN"/>
              </w:rPr>
              <w:t>经集体投票超过半数认为投标人的报价明显低于其他满足资格条件的投标人报价的，将其作为无效投标处理。）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43" w:hRule="atLeast"/>
        </w:trPr>
        <w:tc>
          <w:tcPr>
            <w:tcW w:w="797" w:type="dxa"/>
            <w:tcBorders>
              <w:top w:val="single" w:color="auto" w:sz="4" w:space="0"/>
              <w:left w:val="single" w:color="auto" w:sz="4" w:space="0"/>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05" w:type="dxa"/>
            <w:tcBorders>
              <w:top w:val="single" w:color="auto" w:sz="4" w:space="0"/>
              <w:left w:val="nil"/>
              <w:bottom w:val="single" w:color="auto" w:sz="4" w:space="0"/>
              <w:right w:val="single" w:color="auto" w:sz="4" w:space="0"/>
            </w:tcBorders>
            <w:noWrap w:val="0"/>
            <w:vAlign w:val="center"/>
          </w:tcPr>
          <w:p>
            <w:pPr>
              <w:spacing w:after="60" w:line="400" w:lineRule="exact"/>
              <w:rPr>
                <w:rStyle w:val="5"/>
                <w:rFonts w:ascii="仿宋_GB2312" w:hAnsi="仿宋_GB2312" w:eastAsia="仿宋_GB2312" w:cs="仿宋_GB2312"/>
                <w:b w:val="0"/>
                <w:bCs w:val="0"/>
              </w:rPr>
            </w:pPr>
            <w:r>
              <w:rPr>
                <w:rFonts w:hint="eastAsia" w:ascii="仿宋_GB2312" w:hAnsi="仿宋_GB2312" w:eastAsia="仿宋_GB2312" w:cs="仿宋_GB2312"/>
                <w:sz w:val="28"/>
                <w:szCs w:val="28"/>
              </w:rPr>
              <w:t>项目实施方案（20分）</w:t>
            </w:r>
          </w:p>
        </w:tc>
        <w:tc>
          <w:tcPr>
            <w:tcW w:w="1065" w:type="dxa"/>
            <w:tcBorders>
              <w:top w:val="single" w:color="auto" w:sz="4" w:space="0"/>
              <w:left w:val="nil"/>
              <w:bottom w:val="single" w:color="auto" w:sz="4" w:space="0"/>
              <w:right w:val="single" w:color="auto" w:sz="4" w:space="0"/>
            </w:tcBorders>
            <w:noWrap w:val="0"/>
            <w:vAlign w:val="center"/>
          </w:tcPr>
          <w:p>
            <w:pPr>
              <w:spacing w:after="60"/>
              <w:jc w:val="center"/>
              <w:rPr>
                <w:rStyle w:val="5"/>
                <w:rFonts w:hint="default" w:ascii="仿宋_GB2312" w:hAnsi="仿宋_GB2312" w:eastAsia="仿宋_GB2312" w:cs="仿宋_GB2312"/>
                <w:b w:val="0"/>
                <w:bCs w:val="0"/>
              </w:rPr>
            </w:pPr>
            <w:r>
              <w:rPr>
                <w:rStyle w:val="5"/>
                <w:rFonts w:ascii="仿宋_GB2312" w:hAnsi="仿宋_GB2312" w:eastAsia="仿宋_GB2312" w:cs="仿宋_GB2312"/>
                <w:b w:val="0"/>
                <w:bCs w:val="0"/>
              </w:rPr>
              <w:t>20</w:t>
            </w:r>
          </w:p>
        </w:tc>
        <w:tc>
          <w:tcPr>
            <w:tcW w:w="5295" w:type="dxa"/>
            <w:tcBorders>
              <w:top w:val="single" w:color="auto" w:sz="4" w:space="0"/>
              <w:left w:val="nil"/>
              <w:bottom w:val="single" w:color="auto" w:sz="4" w:space="0"/>
              <w:right w:val="single" w:color="auto" w:sz="4" w:space="0"/>
            </w:tcBorders>
            <w:noWrap w:val="0"/>
            <w:vAlign w:val="top"/>
          </w:tcPr>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项目实施方案全面、具体；</w:t>
            </w:r>
          </w:p>
          <w:p>
            <w:pPr>
              <w:numPr>
                <w:ilvl w:val="0"/>
                <w:numId w:val="0"/>
              </w:numPr>
              <w:snapToGrid w:val="0"/>
              <w:jc w:val="left"/>
              <w:rPr>
                <w:rFonts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项目实施方案科学、合理；</w:t>
            </w:r>
          </w:p>
          <w:p>
            <w:pPr>
              <w:numPr>
                <w:ilvl w:val="0"/>
                <w:numId w:val="0"/>
              </w:numPr>
              <w:snapToGrid w:val="0"/>
              <w:jc w:val="left"/>
              <w:rPr>
                <w:rStyle w:val="5"/>
                <w:rFonts w:ascii="仿宋_GB2312" w:hAnsi="仿宋_GB2312" w:eastAsia="仿宋_GB2312" w:cs="仿宋_GB2312"/>
                <w:b w:val="0"/>
                <w:bCs w:val="0"/>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项目实施方案可操作性强；</w:t>
            </w:r>
          </w:p>
          <w:p>
            <w:pPr>
              <w:numPr>
                <w:ilvl w:val="0"/>
                <w:numId w:val="0"/>
              </w:numPr>
              <w:snapToGrid w:val="0"/>
              <w:jc w:val="left"/>
              <w:rPr>
                <w:rStyle w:val="5"/>
                <w:rFonts w:ascii="仿宋_GB2312" w:hAnsi="仿宋_GB2312" w:eastAsia="仿宋_GB2312" w:cs="仿宋_GB2312"/>
                <w:b w:val="0"/>
                <w:bCs w:val="0"/>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对项目重点、难点把握较为准确，措施有针对性。</w:t>
            </w:r>
          </w:p>
          <w:p>
            <w:pPr>
              <w:snapToGrid w:val="0"/>
              <w:jc w:val="left"/>
              <w:rPr>
                <w:rStyle w:val="5"/>
                <w:rFonts w:ascii="仿宋_GB2312" w:hAnsi="仿宋_GB2312" w:eastAsia="仿宋_GB2312" w:cs="仿宋_GB2312"/>
                <w:b w:val="0"/>
                <w:bCs w:val="0"/>
              </w:rPr>
            </w:pPr>
            <w:r>
              <w:rPr>
                <w:rFonts w:hint="eastAsia" w:ascii="仿宋_GB2312" w:hAnsi="仿宋_GB2312" w:eastAsia="仿宋_GB2312" w:cs="仿宋_GB2312"/>
                <w:sz w:val="28"/>
                <w:szCs w:val="28"/>
              </w:rPr>
              <w:t>满足以上四项要求，评价为优得100%；满足以上三项要求，评价为良得80%；满足以上两项要求，评价为中得60%；</w:t>
            </w:r>
            <w:r>
              <w:rPr>
                <w:rFonts w:hint="eastAsia" w:ascii="仿宋_GB2312" w:hAnsi="仿宋_GB2312" w:eastAsia="仿宋_GB2312" w:cs="仿宋_GB2312"/>
                <w:color w:val="000000"/>
                <w:sz w:val="28"/>
                <w:szCs w:val="28"/>
              </w:rPr>
              <w:t>其他情况，</w:t>
            </w:r>
            <w:r>
              <w:rPr>
                <w:rFonts w:hint="eastAsia" w:ascii="仿宋_GB2312" w:hAnsi="仿宋_GB2312" w:eastAsia="仿宋_GB2312" w:cs="仿宋_GB2312"/>
                <w:sz w:val="28"/>
                <w:szCs w:val="28"/>
              </w:rPr>
              <w:t>评价为差得0分。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81" w:hRule="atLeast"/>
        </w:trPr>
        <w:tc>
          <w:tcPr>
            <w:tcW w:w="797" w:type="dxa"/>
            <w:tcBorders>
              <w:top w:val="single" w:color="auto" w:sz="4" w:space="0"/>
              <w:left w:val="single" w:color="auto" w:sz="4" w:space="0"/>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05" w:type="dxa"/>
            <w:tcBorders>
              <w:top w:val="single" w:color="auto" w:sz="4" w:space="0"/>
              <w:left w:val="nil"/>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kern w:val="0"/>
                <w:sz w:val="28"/>
                <w:szCs w:val="28"/>
              </w:rPr>
              <w:t>项目经验（40分）</w:t>
            </w:r>
          </w:p>
        </w:tc>
        <w:tc>
          <w:tcPr>
            <w:tcW w:w="1065" w:type="dxa"/>
            <w:tcBorders>
              <w:top w:val="single" w:color="auto" w:sz="4" w:space="0"/>
              <w:left w:val="nil"/>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40</w:t>
            </w:r>
          </w:p>
        </w:tc>
        <w:tc>
          <w:tcPr>
            <w:tcW w:w="5295" w:type="dxa"/>
            <w:tcBorders>
              <w:top w:val="single" w:color="auto" w:sz="4" w:space="0"/>
              <w:left w:val="nil"/>
              <w:bottom w:val="single" w:color="auto" w:sz="4" w:space="0"/>
              <w:right w:val="single" w:color="auto" w:sz="4" w:space="0"/>
            </w:tcBorders>
            <w:noWrap w:val="0"/>
            <w:vAlign w:val="top"/>
          </w:tcPr>
          <w:p>
            <w:pPr>
              <w:snapToGrid w:val="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此项包括项目案例基础分20分和质量分20分，总分40分。</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投标人提供近五年从事各级财政部门重点绩效评价服务的案例，每个案例基础分4分，质量分4分，最高得8分；其他</w:t>
            </w:r>
            <w:r>
              <w:rPr>
                <w:rFonts w:hint="eastAsia" w:ascii="仿宋_GB2312" w:hAnsi="仿宋_GB2312" w:eastAsia="仿宋_GB2312" w:cs="仿宋_GB2312"/>
                <w:b/>
                <w:bCs/>
                <w:sz w:val="28"/>
                <w:szCs w:val="28"/>
              </w:rPr>
              <w:t>行政事业单位重点绩效评价服务的案例</w:t>
            </w:r>
            <w:r>
              <w:rPr>
                <w:rFonts w:hint="eastAsia" w:ascii="仿宋_GB2312" w:hAnsi="仿宋_GB2312" w:eastAsia="仿宋_GB2312" w:cs="仿宋_GB2312"/>
                <w:sz w:val="28"/>
                <w:szCs w:val="28"/>
              </w:rPr>
              <w:t>，每个案例基础分2分，质量分2分，最高得4分。</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根据以下标准评价服务案例质量：</w:t>
            </w:r>
          </w:p>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报告结构规范、严谨；</w:t>
            </w:r>
          </w:p>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文字表述准确、精炼；</w:t>
            </w:r>
          </w:p>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问题分析深入、充分；</w:t>
            </w:r>
          </w:p>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整改建议切实、具体。</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满足以上四项要求，评价为优，质量分得100%；满足以上三项要求，评价为良，质量分得80%；满足以上两项要求，评价为中，质量分得60%；其他情况，评价为差，质量分得0分。</w:t>
            </w:r>
          </w:p>
          <w:p>
            <w:pPr>
              <w:snapToGrid w:val="0"/>
              <w:jc w:val="left"/>
              <w:rPr>
                <w:rFonts w:hint="eastAsia" w:ascii="仿宋_GB2312" w:hAnsi="仿宋_GB2312" w:eastAsia="仿宋_GB2312" w:cs="仿宋_GB2312"/>
                <w:kern w:val="0"/>
                <w:sz w:val="28"/>
                <w:szCs w:val="28"/>
              </w:rPr>
            </w:pPr>
            <w:r>
              <w:rPr>
                <w:rFonts w:hint="eastAsia" w:ascii="仿宋_GB2312" w:hAnsi="仿宋_GB2312" w:eastAsia="仿宋_GB2312" w:cs="仿宋_GB2312"/>
                <w:sz w:val="28"/>
                <w:szCs w:val="28"/>
              </w:rPr>
              <w:t>【须提供合同复印件（合同首页、签署页以及有关项目内容的相关页）和评价报告复印件，复印件</w:t>
            </w:r>
            <w:r>
              <w:rPr>
                <w:rFonts w:hint="eastAsia" w:ascii="仿宋_GB2312" w:hAnsi="仿宋_GB2312" w:eastAsia="仿宋_GB2312" w:cs="仿宋_GB2312"/>
                <w:sz w:val="28"/>
                <w:szCs w:val="28"/>
                <w:lang w:val="en-US" w:eastAsia="zh-CN"/>
              </w:rPr>
              <w:t>需</w:t>
            </w:r>
            <w:r>
              <w:rPr>
                <w:rFonts w:hint="eastAsia" w:ascii="仿宋_GB2312" w:hAnsi="仿宋_GB2312" w:eastAsia="仿宋_GB2312" w:cs="仿宋_GB2312"/>
                <w:sz w:val="28"/>
                <w:szCs w:val="28"/>
              </w:rPr>
              <w:t>加盖供应商</w:t>
            </w:r>
            <w:bookmarkStart w:id="0" w:name="_GoBack"/>
            <w:bookmarkEnd w:id="0"/>
            <w:r>
              <w:rPr>
                <w:rFonts w:hint="eastAsia" w:ascii="仿宋_GB2312" w:hAnsi="仿宋_GB2312" w:eastAsia="仿宋_GB2312" w:cs="仿宋_GB2312"/>
                <w:sz w:val="28"/>
                <w:szCs w:val="28"/>
              </w:rPr>
              <w:t>公章，未附有效证明材料的业绩在评分时将不予承认。以上证明材料原件备查，不提供证明材料不得分。】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3" w:hRule="atLeast"/>
        </w:trPr>
        <w:tc>
          <w:tcPr>
            <w:tcW w:w="797" w:type="dxa"/>
            <w:tcBorders>
              <w:top w:val="single" w:color="auto" w:sz="4" w:space="0"/>
              <w:left w:val="single" w:color="auto" w:sz="4" w:space="0"/>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05" w:type="dxa"/>
            <w:tcBorders>
              <w:top w:val="single" w:color="auto" w:sz="4" w:space="0"/>
              <w:left w:val="nil"/>
              <w:bottom w:val="single" w:color="auto" w:sz="4" w:space="0"/>
              <w:right w:val="single" w:color="auto" w:sz="4" w:space="0"/>
            </w:tcBorders>
            <w:noWrap w:val="0"/>
            <w:vAlign w:val="center"/>
          </w:tcPr>
          <w:p>
            <w:pPr>
              <w:snapToGrid w:val="0"/>
              <w:jc w:val="center"/>
              <w:rPr>
                <w:rStyle w:val="5"/>
                <w:rFonts w:ascii="仿宋_GB2312" w:hAnsi="仿宋_GB2312" w:eastAsia="仿宋_GB2312" w:cs="仿宋_GB2312"/>
                <w:b w:val="0"/>
                <w:bCs w:val="0"/>
              </w:rPr>
            </w:pPr>
            <w:r>
              <w:rPr>
                <w:rFonts w:hint="eastAsia" w:ascii="仿宋_GB2312" w:hAnsi="仿宋_GB2312" w:eastAsia="仿宋_GB2312" w:cs="仿宋_GB2312"/>
                <w:kern w:val="0"/>
                <w:sz w:val="28"/>
                <w:szCs w:val="28"/>
              </w:rPr>
              <w:t>项目负责人（20分）</w:t>
            </w:r>
          </w:p>
        </w:tc>
        <w:tc>
          <w:tcPr>
            <w:tcW w:w="1065" w:type="dxa"/>
            <w:tcBorders>
              <w:top w:val="single" w:color="auto" w:sz="4" w:space="0"/>
              <w:left w:val="nil"/>
              <w:bottom w:val="single" w:color="auto" w:sz="4" w:space="0"/>
              <w:right w:val="single" w:color="auto" w:sz="4" w:space="0"/>
            </w:tcBorders>
            <w:noWrap w:val="0"/>
            <w:vAlign w:val="center"/>
          </w:tcPr>
          <w:p>
            <w:pPr>
              <w:snapToGrid w:val="0"/>
              <w:jc w:val="center"/>
              <w:rPr>
                <w:rStyle w:val="5"/>
                <w:rFonts w:ascii="仿宋_GB2312" w:hAnsi="仿宋_GB2312" w:eastAsia="仿宋_GB2312" w:cs="仿宋_GB2312"/>
                <w:b w:val="0"/>
                <w:bCs w:val="0"/>
              </w:rPr>
            </w:pPr>
            <w:r>
              <w:rPr>
                <w:rStyle w:val="5"/>
                <w:rFonts w:ascii="仿宋_GB2312" w:hAnsi="仿宋_GB2312" w:eastAsia="仿宋_GB2312" w:cs="仿宋_GB2312"/>
                <w:b w:val="0"/>
                <w:bCs w:val="0"/>
              </w:rPr>
              <w:t>20</w:t>
            </w:r>
          </w:p>
        </w:tc>
        <w:tc>
          <w:tcPr>
            <w:tcW w:w="5295" w:type="dxa"/>
            <w:tcBorders>
              <w:top w:val="single" w:color="auto" w:sz="4" w:space="0"/>
              <w:left w:val="nil"/>
              <w:bottom w:val="single" w:color="auto" w:sz="4" w:space="0"/>
              <w:right w:val="single" w:color="auto" w:sz="4" w:space="0"/>
            </w:tcBorders>
            <w:noWrap w:val="0"/>
            <w:vAlign w:val="top"/>
          </w:tcPr>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项目经验。项目负责人具有2年或以上预算绩效管理工作从业经验的得15分；具有2年以下1年（含）以上预算绩效管理工作从业经验的得10分。</w:t>
            </w:r>
          </w:p>
          <w:p>
            <w:pPr>
              <w:numPr>
                <w:ilvl w:val="0"/>
                <w:numId w:val="0"/>
              </w:num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职称证书。项目负责人具有中级及以上职称得5分。</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以上两项分项打分，总分20分。</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须为投标人自有员工，提供工作经验、社保证明资料、职称证书作为得分依据（均要求复印件，原件备查）。工作经验证明资料可以是合同关键信息，通过合同关键信息无法判断是否得分的，也可以提供能证明得分的其它证明资料，如合同甲方出具的证明文件等；投标人在提供证明资料时要特别注意，证明资料中必须要体现相关情况是否满足得分条件，以便专家判断得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71" w:hRule="atLeast"/>
        </w:trPr>
        <w:tc>
          <w:tcPr>
            <w:tcW w:w="797" w:type="dxa"/>
            <w:tcBorders>
              <w:top w:val="single" w:color="auto" w:sz="4" w:space="0"/>
              <w:left w:val="single" w:color="auto" w:sz="4" w:space="0"/>
              <w:bottom w:val="single" w:color="auto" w:sz="4" w:space="0"/>
              <w:right w:val="single" w:color="auto" w:sz="4" w:space="0"/>
            </w:tcBorders>
            <w:noWrap w:val="0"/>
            <w:vAlign w:val="center"/>
          </w:tcPr>
          <w:p>
            <w:pPr>
              <w:spacing w:after="6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p>
        </w:tc>
        <w:tc>
          <w:tcPr>
            <w:tcW w:w="1405" w:type="dxa"/>
            <w:tcBorders>
              <w:top w:val="single" w:color="auto" w:sz="4" w:space="0"/>
              <w:left w:val="nil"/>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项目组成人员</w:t>
            </w:r>
          </w:p>
          <w:p>
            <w:pPr>
              <w:snapToGrid w:val="0"/>
              <w:jc w:val="center"/>
              <w:rPr>
                <w:rFonts w:hint="eastAsia" w:ascii="仿宋_GB2312" w:hAnsi="仿宋_GB2312" w:eastAsia="仿宋_GB2312" w:cs="仿宋_GB2312"/>
                <w:kern w:val="0"/>
                <w:sz w:val="28"/>
                <w:szCs w:val="28"/>
              </w:rPr>
            </w:pPr>
            <w:r>
              <w:rPr>
                <w:rFonts w:hint="eastAsia" w:ascii="仿宋_GB2312" w:hAnsi="仿宋_GB2312" w:eastAsia="仿宋_GB2312" w:cs="仿宋_GB2312"/>
                <w:kern w:val="0"/>
                <w:sz w:val="28"/>
                <w:szCs w:val="28"/>
              </w:rPr>
              <w:t>（10分）</w:t>
            </w:r>
          </w:p>
        </w:tc>
        <w:tc>
          <w:tcPr>
            <w:tcW w:w="1065" w:type="dxa"/>
            <w:tcBorders>
              <w:top w:val="single" w:color="auto" w:sz="4" w:space="0"/>
              <w:left w:val="nil"/>
              <w:bottom w:val="single" w:color="auto" w:sz="4" w:space="0"/>
              <w:right w:val="single" w:color="auto" w:sz="4" w:space="0"/>
            </w:tcBorders>
            <w:noWrap w:val="0"/>
            <w:vAlign w:val="center"/>
          </w:tcPr>
          <w:p>
            <w:pPr>
              <w:snapToGrid w:val="0"/>
              <w:jc w:val="center"/>
              <w:rPr>
                <w:rStyle w:val="5"/>
                <w:rFonts w:ascii="仿宋_GB2312" w:hAnsi="仿宋_GB2312" w:eastAsia="仿宋_GB2312" w:cs="仿宋_GB2312"/>
                <w:b w:val="0"/>
                <w:bCs w:val="0"/>
              </w:rPr>
            </w:pPr>
            <w:r>
              <w:rPr>
                <w:rStyle w:val="5"/>
                <w:rFonts w:ascii="仿宋_GB2312" w:hAnsi="仿宋_GB2312" w:eastAsia="仿宋_GB2312" w:cs="仿宋_GB2312"/>
                <w:b w:val="0"/>
                <w:bCs w:val="0"/>
              </w:rPr>
              <w:t>10</w:t>
            </w:r>
          </w:p>
        </w:tc>
        <w:tc>
          <w:tcPr>
            <w:tcW w:w="5295" w:type="dxa"/>
            <w:tcBorders>
              <w:top w:val="single" w:color="auto" w:sz="4" w:space="0"/>
              <w:left w:val="nil"/>
              <w:bottom w:val="single" w:color="auto" w:sz="4" w:space="0"/>
              <w:right w:val="single" w:color="auto" w:sz="4" w:space="0"/>
            </w:tcBorders>
            <w:noWrap w:val="0"/>
            <w:vAlign w:val="top"/>
          </w:tcPr>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项目组成人员：</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具有1年以上预算绩效管理工作从业经验的，每提供1人得2分，此项最高得10分。</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同一人不重复计分。</w:t>
            </w:r>
          </w:p>
          <w:p>
            <w:pPr>
              <w:snapToGrid w:val="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【须为投标人自有员工，</w:t>
            </w:r>
            <w:r>
              <w:rPr>
                <w:rStyle w:val="5"/>
                <w:rFonts w:ascii="仿宋_GB2312" w:hAnsi="仿宋_GB2312" w:eastAsia="仿宋_GB2312" w:cs="仿宋_GB2312"/>
                <w:b w:val="0"/>
                <w:bCs w:val="0"/>
              </w:rPr>
              <w:t>提供</w:t>
            </w:r>
            <w:r>
              <w:rPr>
                <w:rFonts w:hint="eastAsia" w:ascii="仿宋_GB2312" w:hAnsi="仿宋_GB2312" w:eastAsia="仿宋_GB2312" w:cs="仿宋_GB2312"/>
                <w:sz w:val="28"/>
                <w:szCs w:val="28"/>
              </w:rPr>
              <w:t>相关</w:t>
            </w:r>
            <w:r>
              <w:rPr>
                <w:rStyle w:val="5"/>
                <w:rFonts w:ascii="仿宋_GB2312" w:hAnsi="仿宋_GB2312" w:eastAsia="仿宋_GB2312" w:cs="仿宋_GB2312"/>
                <w:b w:val="0"/>
                <w:bCs w:val="0"/>
              </w:rPr>
              <w:t>人员</w:t>
            </w:r>
            <w:r>
              <w:rPr>
                <w:rFonts w:hint="eastAsia" w:ascii="仿宋_GB2312" w:hAnsi="仿宋_GB2312" w:eastAsia="仿宋_GB2312" w:cs="仿宋_GB2312"/>
                <w:sz w:val="28"/>
                <w:szCs w:val="28"/>
              </w:rPr>
              <w:t>工作经验及社保证明资料。】</w:t>
            </w:r>
          </w:p>
        </w:tc>
      </w:tr>
    </w:tbl>
    <w:p>
      <w:pPr>
        <w:spacing w:line="340" w:lineRule="exact"/>
        <w:ind w:firstLine="422" w:firstLineChars="200"/>
        <w:rPr>
          <w:rFonts w:ascii="宋体" w:hAnsi="宋体"/>
          <w:color w:val="000000"/>
          <w:szCs w:val="21"/>
        </w:rPr>
      </w:pPr>
      <w:r>
        <w:rPr>
          <w:rFonts w:hint="eastAsia" w:ascii="宋体" w:hAnsi="宋体"/>
          <w:b/>
          <w:color w:val="000000"/>
          <w:szCs w:val="21"/>
        </w:rPr>
        <w:t>说明：</w:t>
      </w:r>
      <w:r>
        <w:rPr>
          <w:rFonts w:hint="eastAsia" w:ascii="宋体" w:hAnsi="宋体"/>
          <w:color w:val="000000"/>
          <w:szCs w:val="21"/>
        </w:rPr>
        <w:t>1</w:t>
      </w:r>
      <w:r>
        <w:rPr>
          <w:rFonts w:hint="eastAsia" w:ascii="宋体" w:hAnsi="宋体"/>
          <w:color w:val="000000"/>
          <w:szCs w:val="21"/>
          <w:lang w:val="en-US" w:eastAsia="zh-CN"/>
        </w:rPr>
        <w:t>.</w:t>
      </w:r>
      <w:r>
        <w:rPr>
          <w:rFonts w:hint="eastAsia" w:ascii="宋体" w:hAnsi="宋体"/>
          <w:color w:val="000000"/>
          <w:szCs w:val="21"/>
        </w:rPr>
        <w:t>本评分表中每一栏的得分最高不得超过该项评分指标的分值。</w:t>
      </w:r>
    </w:p>
    <w:p>
      <w:pPr>
        <w:numPr>
          <w:ilvl w:val="0"/>
          <w:numId w:val="0"/>
        </w:numPr>
        <w:spacing w:line="340" w:lineRule="exact"/>
        <w:ind w:left="1048" w:leftChars="499" w:firstLine="0" w:firstLineChars="0"/>
        <w:rPr>
          <w:rFonts w:ascii="宋体" w:hAnsi="宋体"/>
          <w:color w:val="000000"/>
          <w:szCs w:val="21"/>
        </w:rPr>
      </w:pPr>
      <w:r>
        <w:rPr>
          <w:rFonts w:hint="eastAsia" w:ascii="宋体" w:hAnsi="宋体"/>
          <w:color w:val="000000"/>
          <w:szCs w:val="21"/>
          <w:lang w:val="en-US" w:eastAsia="zh-CN"/>
        </w:rPr>
        <w:t>2.</w:t>
      </w:r>
      <w:r>
        <w:rPr>
          <w:rFonts w:hint="eastAsia" w:ascii="宋体" w:hAnsi="宋体"/>
          <w:color w:val="000000"/>
          <w:szCs w:val="21"/>
        </w:rPr>
        <w:t>表中要求提供相关计分证明文件的内容，投标文件中须明确加以说明，未按要求提供相关文件或说明不清楚的按不符合要求处理。</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4B4942"/>
    <w:rsid w:val="4A9F32BF"/>
    <w:rsid w:val="4D4B4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100" w:beforeAutospacing="1" w:after="120"/>
    </w:pPr>
    <w:rPr>
      <w:rFonts w:ascii="Times New Roman" w:hAnsi="Times New Roman" w:eastAsia="宋体" w:cs="Times New Roman"/>
    </w:rPr>
  </w:style>
  <w:style w:type="character" w:customStyle="1" w:styleId="5">
    <w:name w:val="15"/>
    <w:uiPriority w:val="0"/>
    <w:rPr>
      <w:rFonts w:hint="eastAsia" w:ascii="宋体" w:hAnsi="宋体" w:eastAsia="黑体"/>
      <w:b/>
      <w:bCs/>
      <w:kern w:val="44"/>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19</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2020-07-20T03:14:00Z</dcterms:created>
  <dc:creator>邓武焘</dc:creator>
  <cp:lastModifiedBy>邓武焘</cp:lastModifiedBy>
  <dcterms:modified xsi:type="dcterms:W3CDTF">2020-07-20T09:39:43Z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