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5</w:t>
      </w:r>
    </w:p>
    <w:p>
      <w:pPr>
        <w:spacing w:line="580" w:lineRule="exact"/>
        <w:jc w:val="left"/>
        <w:rPr>
          <w:rFonts w:hint="eastAsia" w:ascii="黑体" w:hAnsi="黑体" w:eastAsia="黑体" w:cs="黑体"/>
          <w:color w:val="000000" w:themeColor="text1"/>
          <w:sz w:val="32"/>
          <w:szCs w:val="32"/>
          <w:lang w:val="en-US" w:eastAsia="zh-CN"/>
        </w:rPr>
      </w:pPr>
    </w:p>
    <w:p>
      <w:pPr>
        <w:spacing w:line="580" w:lineRule="exact"/>
        <w:jc w:val="center"/>
        <w:rPr>
          <w:rFonts w:ascii="方正小标宋简体" w:eastAsia="方正小标宋简体"/>
          <w:color w:val="000000" w:themeColor="text1"/>
          <w:sz w:val="44"/>
          <w:szCs w:val="44"/>
        </w:rPr>
      </w:pPr>
      <w:bookmarkStart w:id="0" w:name="_GoBack"/>
      <w:r>
        <w:rPr>
          <w:rFonts w:hint="eastAsia" w:ascii="方正小标宋简体" w:eastAsia="方正小标宋简体"/>
          <w:color w:val="000000" w:themeColor="text1"/>
          <w:sz w:val="44"/>
          <w:szCs w:val="44"/>
        </w:rPr>
        <w:t>深圳市普通高中通用技术学业水平考试</w:t>
      </w:r>
    </w:p>
    <w:bookmarkEnd w:id="0"/>
    <w:p>
      <w:pPr>
        <w:spacing w:line="58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实施方案</w:t>
      </w:r>
    </w:p>
    <w:p>
      <w:pPr>
        <w:spacing w:line="580" w:lineRule="exact"/>
        <w:jc w:val="center"/>
        <w:rPr>
          <w:b/>
          <w:color w:val="000000" w:themeColor="text1"/>
          <w:sz w:val="28"/>
          <w:szCs w:val="28"/>
        </w:rPr>
      </w:pP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贯彻落实《广东省教育厅关于印发广东省普通高中学业水平考试实施办法的通知》（粤教考〔2019〕18号）、《广东省教育厅关于普通高中体育与健康等科目学业水平考试工作的指导意见》（粤教考〔2019〕19号）精神，依据《高中通用技术学科课程标准（2017年版2020年修订）》，结合我市实际，制定本实施方案。</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一、指导思想</w:t>
      </w:r>
    </w:p>
    <w:p>
      <w:pPr>
        <w:widowControl w:val="0"/>
        <w:shd w:val="clear" w:color="auto" w:fill="FFFFFF"/>
        <w:spacing w:line="580" w:lineRule="exact"/>
        <w:ind w:firstLine="640"/>
        <w:jc w:val="left"/>
        <w:rPr>
          <w:rFonts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全面贯彻党的教育方针</w:t>
      </w:r>
      <w:r>
        <w:rPr>
          <w:rFonts w:hint="eastAsia" w:ascii="仿宋_GB2312" w:hAnsi="宋体" w:eastAsia="仿宋_GB2312"/>
          <w:color w:val="000000" w:themeColor="text1"/>
          <w:sz w:val="32"/>
          <w:szCs w:val="32"/>
        </w:rPr>
        <w:t>和《中共中央、国务院关于支持深圳建设中国特色社会主义先行示范区的意见》精神</w:t>
      </w:r>
      <w:r>
        <w:rPr>
          <w:rFonts w:hint="eastAsia" w:ascii="仿宋_GB2312" w:hAnsi="仿宋_GB2312" w:eastAsia="仿宋_GB2312" w:cs="仿宋_GB2312"/>
          <w:color w:val="000000" w:themeColor="text1"/>
          <w:sz w:val="32"/>
          <w:szCs w:val="32"/>
        </w:rPr>
        <w:t>，以立德树人为根本任务</w:t>
      </w:r>
      <w:r>
        <w:rPr>
          <w:rFonts w:hint="eastAsia" w:hAnsi="宋体" w:eastAsia="仿宋_GB2312"/>
          <w:color w:val="000000" w:themeColor="text1"/>
          <w:kern w:val="0"/>
          <w:sz w:val="32"/>
          <w:szCs w:val="32"/>
        </w:rPr>
        <w:t>，落实课程方案，培养学生技术核心素养，提升创新意识和实践能力，促进全面而有个性发展。</w:t>
      </w:r>
    </w:p>
    <w:p>
      <w:pPr>
        <w:widowControl w:val="0"/>
        <w:shd w:val="clear" w:color="auto" w:fill="FFFFFF"/>
        <w:spacing w:line="580" w:lineRule="exact"/>
        <w:ind w:firstLine="640"/>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二、基本原则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坚持立德树人的根本要求，强调过程性评价与终结性测试相结合，突出学科思想方法、核心素养和动手能力的考核。</w:t>
      </w:r>
    </w:p>
    <w:p>
      <w:pPr>
        <w:numPr>
          <w:ilvl w:val="0"/>
          <w:numId w:val="1"/>
        </w:numPr>
        <w:spacing w:line="580" w:lineRule="exact"/>
        <w:ind w:firstLine="643" w:firstLineChars="200"/>
        <w:rPr>
          <w:rFonts w:ascii="楷体_GB2312" w:hAnsi="楷体_GB2312" w:eastAsia="楷体_GB2312" w:cs="楷体_GB2312"/>
          <w:b/>
          <w:bCs w:val="0"/>
          <w:color w:val="000000" w:themeColor="text1"/>
          <w:sz w:val="32"/>
          <w:szCs w:val="32"/>
        </w:rPr>
      </w:pPr>
      <w:r>
        <w:rPr>
          <w:rFonts w:hint="eastAsia" w:ascii="楷体_GB2312" w:hAnsi="楷体_GB2312" w:eastAsia="楷体_GB2312" w:cs="楷体_GB2312"/>
          <w:b/>
          <w:bCs w:val="0"/>
          <w:color w:val="000000" w:themeColor="text1"/>
          <w:sz w:val="32"/>
          <w:szCs w:val="32"/>
        </w:rPr>
        <w:t>实践性原则</w:t>
      </w:r>
    </w:p>
    <w:p>
      <w:pPr>
        <w:spacing w:line="580" w:lineRule="exact"/>
        <w:ind w:firstLine="640" w:firstLineChars="200"/>
        <w:rPr>
          <w:rFonts w:hint="eastAsia" w:ascii="仿宋_GB2312" w:hAnsi="Times New Roman" w:eastAsia="仿宋_GB2312" w:cs="Times New Roman"/>
          <w:sz w:val="32"/>
          <w:szCs w:val="24"/>
        </w:rPr>
      </w:pPr>
      <w:r>
        <w:rPr>
          <w:rFonts w:hint="eastAsia" w:ascii="仿宋_GB2312" w:hAnsi="仿宋_GB2312" w:eastAsia="仿宋_GB2312" w:cs="仿宋_GB2312"/>
          <w:color w:val="000000" w:themeColor="text1"/>
          <w:sz w:val="32"/>
          <w:szCs w:val="32"/>
        </w:rPr>
        <w:t>突出学科“设计学习、操作学习”主要特征，立足实践，注重学生动手操作，彰显技术意识、工程思维、创新设计、图样表</w:t>
      </w:r>
      <w:r>
        <w:rPr>
          <w:rFonts w:hint="eastAsia" w:ascii="仿宋_GB2312" w:hAnsi="Times New Roman" w:eastAsia="仿宋_GB2312" w:cs="Times New Roman"/>
          <w:sz w:val="32"/>
          <w:szCs w:val="24"/>
        </w:rPr>
        <w:t>达、物化能力五个方面的学科核心素养，培养学生探究能力和创新实践能力。</w:t>
      </w:r>
    </w:p>
    <w:p>
      <w:pPr>
        <w:numPr>
          <w:ilvl w:val="0"/>
          <w:numId w:val="1"/>
        </w:numPr>
        <w:spacing w:line="580" w:lineRule="exact"/>
        <w:ind w:firstLine="643" w:firstLineChars="200"/>
        <w:rPr>
          <w:rFonts w:ascii="楷体_GB2312" w:hAnsi="楷体_GB2312" w:eastAsia="楷体_GB2312" w:cs="楷体_GB2312"/>
          <w:b/>
          <w:bCs w:val="0"/>
          <w:color w:val="000000" w:themeColor="text1"/>
          <w:sz w:val="32"/>
          <w:szCs w:val="32"/>
        </w:rPr>
      </w:pPr>
      <w:r>
        <w:rPr>
          <w:rFonts w:hint="eastAsia" w:ascii="楷体_GB2312" w:hAnsi="楷体_GB2312" w:eastAsia="楷体_GB2312" w:cs="楷体_GB2312"/>
          <w:b/>
          <w:bCs w:val="0"/>
          <w:color w:val="000000" w:themeColor="text1"/>
          <w:sz w:val="32"/>
          <w:szCs w:val="32"/>
        </w:rPr>
        <w:t>过程性原则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过程性评价，在学业质量水平划分的基础上进行科学评测，既关注学生技术知识掌握、实践技能习得、技术作品形成等，也关注学生技术思想方法、情感态度价值观的发展情况，还关注学生技术学习活动中技术经验的积累、原理的应用、方法的融合、设计的创新、技能的迁移、文化的感悟等，注重学生技术思维的形成和发展。</w:t>
      </w:r>
    </w:p>
    <w:p>
      <w:pPr>
        <w:numPr>
          <w:ilvl w:val="0"/>
          <w:numId w:val="1"/>
        </w:numPr>
        <w:spacing w:line="580" w:lineRule="exact"/>
        <w:ind w:firstLine="643" w:firstLineChars="200"/>
        <w:rPr>
          <w:rFonts w:ascii="楷体_GB2312" w:hAnsi="楷体_GB2312" w:eastAsia="楷体_GB2312" w:cs="楷体_GB2312"/>
          <w:b/>
          <w:bCs w:val="0"/>
          <w:color w:val="000000" w:themeColor="text1"/>
          <w:sz w:val="32"/>
          <w:szCs w:val="32"/>
        </w:rPr>
      </w:pPr>
      <w:r>
        <w:rPr>
          <w:rFonts w:hint="eastAsia" w:ascii="楷体_GB2312" w:hAnsi="楷体_GB2312" w:eastAsia="楷体_GB2312" w:cs="楷体_GB2312"/>
          <w:b/>
          <w:bCs w:val="0"/>
          <w:color w:val="000000" w:themeColor="text1"/>
          <w:sz w:val="32"/>
          <w:szCs w:val="32"/>
        </w:rPr>
        <w:t>公平性原则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坚持公平公正，考试标准公开、程序规范、结果公正，主动接受监督。</w:t>
      </w:r>
    </w:p>
    <w:p>
      <w:pPr>
        <w:widowControl w:val="0"/>
        <w:shd w:val="clear" w:color="auto" w:fill="FFFFFF"/>
        <w:spacing w:line="580" w:lineRule="exact"/>
        <w:ind w:firstLine="640"/>
        <w:jc w:val="left"/>
        <w:rPr>
          <w:rFonts w:hAnsi="宋体" w:eastAsia="黑体"/>
          <w:bCs/>
          <w:color w:val="000000" w:themeColor="text1"/>
          <w:kern w:val="0"/>
          <w:sz w:val="32"/>
          <w:szCs w:val="32"/>
        </w:rPr>
      </w:pPr>
      <w:r>
        <w:rPr>
          <w:rFonts w:hint="eastAsia" w:hAnsi="宋体" w:eastAsia="黑体"/>
          <w:bCs/>
          <w:color w:val="000000" w:themeColor="text1"/>
          <w:kern w:val="0"/>
          <w:sz w:val="32"/>
          <w:szCs w:val="32"/>
        </w:rPr>
        <w:t>三、考试内容和方式</w:t>
      </w:r>
    </w:p>
    <w:p>
      <w:pPr>
        <w:spacing w:line="580" w:lineRule="exact"/>
        <w:ind w:firstLine="643" w:firstLineChars="200"/>
        <w:rPr>
          <w:rFonts w:ascii="楷体_GB2312" w:hAnsi="楷体_GB2312" w:eastAsia="楷体_GB2312" w:cs="楷体_GB2312"/>
          <w:b/>
          <w:bCs w:val="0"/>
          <w:color w:val="000000" w:themeColor="text1"/>
          <w:sz w:val="32"/>
          <w:szCs w:val="32"/>
        </w:rPr>
      </w:pPr>
      <w:r>
        <w:rPr>
          <w:rFonts w:hint="eastAsia" w:ascii="楷体_GB2312" w:hAnsi="楷体_GB2312" w:eastAsia="楷体_GB2312" w:cs="楷体_GB2312"/>
          <w:b/>
          <w:bCs w:val="0"/>
          <w:color w:val="000000" w:themeColor="text1"/>
          <w:sz w:val="32"/>
          <w:szCs w:val="32"/>
        </w:rPr>
        <w:t>（一）考试内容</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《普通高中通用技术课程标准（2017年版2020年修订）》必修模块课程《技术与设计1》、《技术与设计2》全部内容。</w:t>
      </w:r>
    </w:p>
    <w:p>
      <w:pPr>
        <w:spacing w:line="580" w:lineRule="exact"/>
        <w:ind w:firstLine="643" w:firstLineChars="200"/>
        <w:rPr>
          <w:rFonts w:ascii="楷体_GB2312" w:hAnsi="楷体_GB2312" w:eastAsia="楷体_GB2312" w:cs="楷体_GB2312"/>
          <w:b/>
          <w:bCs w:val="0"/>
          <w:color w:val="000000" w:themeColor="text1"/>
          <w:sz w:val="32"/>
          <w:szCs w:val="32"/>
        </w:rPr>
      </w:pPr>
      <w:r>
        <w:rPr>
          <w:rFonts w:hint="eastAsia" w:ascii="楷体_GB2312" w:hAnsi="楷体_GB2312" w:eastAsia="楷体_GB2312" w:cs="楷体_GB2312"/>
          <w:b/>
          <w:bCs w:val="0"/>
          <w:color w:val="000000" w:themeColor="text1"/>
          <w:sz w:val="32"/>
          <w:szCs w:val="32"/>
        </w:rPr>
        <w:t>（二）考试方式</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普通高中通用技术学业水平考试分为基础知识测试和实操测试两部分，其中基础知识测试部分以</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宋体" w:eastAsia="仿宋_GB2312"/>
          <w:color w:val="000000" w:themeColor="text1"/>
          <w:kern w:val="0"/>
          <w:sz w:val="32"/>
          <w:szCs w:val="32"/>
        </w:rPr>
        <w:t>形式进行。</w:t>
      </w:r>
      <w:r>
        <w:rPr>
          <w:rFonts w:hint="eastAsia" w:ascii="仿宋_GB2312" w:hAnsi="仿宋_GB2312" w:eastAsia="仿宋_GB2312" w:cs="仿宋_GB2312"/>
          <w:color w:val="000000" w:themeColor="text1"/>
          <w:kern w:val="0"/>
          <w:sz w:val="32"/>
          <w:szCs w:val="32"/>
        </w:rPr>
        <w:t>实操测试部分主要由学生上课出勤、课堂综合表现、技术作品制作以及创新实践能力（参加各级各类科技、实践类比赛加分）四部分构成，其中技术作品制作部分由学生以个人或团队形式</w:t>
      </w:r>
      <w:r>
        <w:rPr>
          <w:rFonts w:hint="eastAsia" w:ascii="仿宋_GB2312" w:hAnsi="宋体" w:eastAsia="仿宋_GB2312"/>
          <w:color w:val="000000" w:themeColor="text1"/>
          <w:kern w:val="0"/>
          <w:sz w:val="32"/>
          <w:szCs w:val="32"/>
        </w:rPr>
        <w:t>完成1-2件有代表性技术作品，相关材料及作品作为</w:t>
      </w:r>
      <w:r>
        <w:rPr>
          <w:rFonts w:hint="eastAsia" w:ascii="仿宋_GB2312" w:hAnsi="仿宋_GB2312" w:eastAsia="仿宋_GB2312" w:cs="仿宋_GB2312"/>
          <w:color w:val="000000" w:themeColor="text1"/>
          <w:kern w:val="0"/>
          <w:sz w:val="32"/>
          <w:szCs w:val="32"/>
        </w:rPr>
        <w:t>技术作品制作</w:t>
      </w:r>
      <w:r>
        <w:rPr>
          <w:rFonts w:hint="eastAsia" w:ascii="仿宋_GB2312" w:hAnsi="宋体" w:eastAsia="仿宋_GB2312"/>
          <w:color w:val="000000" w:themeColor="text1"/>
          <w:kern w:val="0"/>
          <w:sz w:val="32"/>
          <w:szCs w:val="32"/>
        </w:rPr>
        <w:t>成绩认定的主要依据。</w:t>
      </w:r>
      <w:r>
        <w:rPr>
          <w:rFonts w:hint="eastAsia" w:ascii="仿宋_GB2312" w:hAnsi="仿宋_GB2312" w:eastAsia="仿宋_GB2312" w:cs="仿宋_GB2312"/>
          <w:color w:val="000000" w:themeColor="text1"/>
          <w:kern w:val="0"/>
          <w:sz w:val="32"/>
          <w:szCs w:val="32"/>
        </w:rPr>
        <w:t>实操测试部分</w:t>
      </w:r>
      <w:r>
        <w:rPr>
          <w:rFonts w:hint="eastAsia" w:ascii="仿宋_GB2312" w:hAnsi="仿宋_GB2312" w:eastAsia="仿宋_GB2312" w:cs="仿宋_GB2312"/>
          <w:color w:val="000000" w:themeColor="text1"/>
          <w:sz w:val="32"/>
          <w:szCs w:val="32"/>
        </w:rPr>
        <w:t>参照《深圳市普通高中通用技术学业水平考试过程性评价建议表》评定，其中</w:t>
      </w:r>
      <w:r>
        <w:rPr>
          <w:rFonts w:hint="eastAsia" w:ascii="仿宋_GB2312" w:hAnsi="仿宋_GB2312" w:eastAsia="仿宋_GB2312" w:cs="仿宋_GB2312"/>
          <w:color w:val="000000" w:themeColor="text1"/>
          <w:kern w:val="0"/>
          <w:sz w:val="32"/>
          <w:szCs w:val="32"/>
        </w:rPr>
        <w:t>出勤成绩占20%，综合表现成绩占20%，技术作品制作成绩占45%，创新实践能力成绩占15%。</w:t>
      </w:r>
    </w:p>
    <w:p>
      <w:pPr>
        <w:spacing w:line="580" w:lineRule="exact"/>
        <w:ind w:firstLine="640" w:firstLineChars="200"/>
        <w:rPr>
          <w:rFonts w:hAnsi="宋体" w:eastAsia="黑体"/>
          <w:bCs/>
          <w:color w:val="000000" w:themeColor="text1"/>
          <w:kern w:val="0"/>
          <w:sz w:val="32"/>
          <w:szCs w:val="32"/>
        </w:rPr>
      </w:pPr>
      <w:r>
        <w:rPr>
          <w:rFonts w:hint="eastAsia" w:hAnsi="宋体" w:eastAsia="黑体"/>
          <w:bCs/>
          <w:color w:val="000000" w:themeColor="text1"/>
          <w:kern w:val="0"/>
          <w:sz w:val="32"/>
          <w:szCs w:val="32"/>
        </w:rPr>
        <w:t>四、考试对象和时间</w:t>
      </w:r>
    </w:p>
    <w:p>
      <w:pPr>
        <w:spacing w:line="580" w:lineRule="exact"/>
        <w:ind w:firstLine="640" w:firstLineChars="200"/>
        <w:rPr>
          <w:rFonts w:hAnsi="宋体" w:eastAsia="仿宋_GB2312"/>
          <w:color w:val="000000" w:themeColor="text1"/>
          <w:kern w:val="0"/>
          <w:sz w:val="32"/>
          <w:szCs w:val="32"/>
        </w:rPr>
      </w:pPr>
      <w:r>
        <w:rPr>
          <w:rFonts w:hint="eastAsia" w:hAnsi="宋体" w:eastAsia="仿宋_GB2312"/>
          <w:color w:val="000000" w:themeColor="text1"/>
          <w:kern w:val="0"/>
          <w:sz w:val="32"/>
          <w:szCs w:val="32"/>
        </w:rPr>
        <w:t>具有普通高中学籍的在校学生和申请普通高中同等学力的人员均应参加普通高中通用技术科目学业水平考试。</w:t>
      </w:r>
    </w:p>
    <w:p>
      <w:pPr>
        <w:spacing w:line="58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首次终结性测试安</w:t>
      </w:r>
      <w:r>
        <w:rPr>
          <w:rFonts w:hint="eastAsia" w:ascii="仿宋_GB2312" w:hAnsi="仿宋_GB2312" w:eastAsia="仿宋_GB2312" w:cs="仿宋_GB2312"/>
          <w:color w:val="000000" w:themeColor="text1"/>
          <w:sz w:val="32"/>
          <w:szCs w:val="32"/>
        </w:rPr>
        <w:t>排在第3学期末</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有特殊情况需补考的，与同下一学年度学生一起安排补考</w:t>
      </w:r>
      <w:r>
        <w:rPr>
          <w:rFonts w:hint="eastAsia" w:ascii="仿宋_GB2312" w:eastAsia="仿宋_GB2312"/>
          <w:color w:val="000000" w:themeColor="text1"/>
          <w:sz w:val="32"/>
          <w:szCs w:val="32"/>
        </w:rPr>
        <w:t>。实操测试评定安排在模块修习结束后进行。</w:t>
      </w:r>
    </w:p>
    <w:p>
      <w:pPr>
        <w:spacing w:line="580" w:lineRule="exact"/>
        <w:ind w:firstLine="640" w:firstLineChars="200"/>
        <w:rPr>
          <w:rFonts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申请同等学力人员只参加</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宋体" w:eastAsia="仿宋_GB2312"/>
          <w:color w:val="000000" w:themeColor="text1"/>
          <w:kern w:val="0"/>
          <w:sz w:val="32"/>
          <w:szCs w:val="32"/>
        </w:rPr>
        <w:t>。</w:t>
      </w:r>
    </w:p>
    <w:p>
      <w:pPr>
        <w:spacing w:line="580" w:lineRule="exact"/>
        <w:ind w:firstLine="640" w:firstLineChars="200"/>
        <w:rPr>
          <w:rFonts w:hAnsi="宋体" w:eastAsia="黑体"/>
          <w:bCs/>
          <w:color w:val="000000" w:themeColor="text1"/>
          <w:kern w:val="0"/>
          <w:sz w:val="32"/>
          <w:szCs w:val="32"/>
        </w:rPr>
      </w:pPr>
      <w:r>
        <w:rPr>
          <w:rFonts w:hint="eastAsia" w:hAnsi="宋体" w:eastAsia="黑体"/>
          <w:bCs/>
          <w:color w:val="000000" w:themeColor="text1"/>
          <w:kern w:val="0"/>
          <w:sz w:val="32"/>
          <w:szCs w:val="32"/>
        </w:rPr>
        <w:t>五、考试组织实施</w:t>
      </w:r>
    </w:p>
    <w:p>
      <w:pPr>
        <w:pStyle w:val="12"/>
        <w:spacing w:line="580" w:lineRule="exact"/>
        <w:ind w:firstLine="640"/>
        <w:rPr>
          <w:rFonts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普通高中</w:t>
      </w:r>
      <w:r>
        <w:rPr>
          <w:rFonts w:hint="eastAsia" w:hAnsi="宋体" w:eastAsia="仿宋_GB2312"/>
          <w:color w:val="000000" w:themeColor="text1"/>
          <w:kern w:val="0"/>
          <w:sz w:val="32"/>
          <w:szCs w:val="32"/>
        </w:rPr>
        <w:t>通用技术</w:t>
      </w:r>
      <w:r>
        <w:rPr>
          <w:rFonts w:hint="eastAsia" w:ascii="仿宋_GB2312" w:hAnsi="仿宋_GB2312" w:eastAsia="仿宋_GB2312" w:cs="仿宋_GB2312"/>
          <w:color w:val="000000" w:themeColor="text1"/>
          <w:sz w:val="32"/>
          <w:szCs w:val="32"/>
        </w:rPr>
        <w:t>学业水平考试过程性评价由学校组织实施。</w:t>
      </w:r>
      <w:r>
        <w:rPr>
          <w:rFonts w:hint="eastAsia" w:ascii="仿宋_GB2312" w:hAnsi="宋体" w:eastAsia="仿宋_GB2312"/>
          <w:color w:val="000000" w:themeColor="text1"/>
          <w:kern w:val="0"/>
          <w:sz w:val="32"/>
          <w:szCs w:val="32"/>
        </w:rPr>
        <w:t>终结性测试</w:t>
      </w:r>
      <w:r>
        <w:rPr>
          <w:rFonts w:hint="eastAsia" w:ascii="仿宋_GB2312" w:hAnsi="仿宋_GB2312" w:eastAsia="仿宋_GB2312" w:cs="仿宋_GB2312"/>
          <w:color w:val="000000" w:themeColor="text1"/>
          <w:sz w:val="32"/>
          <w:szCs w:val="32"/>
        </w:rPr>
        <w:t>由市教科院统一提供试题。区教育行政部门统一组织，学校具体实施。</w:t>
      </w:r>
    </w:p>
    <w:p>
      <w:pPr>
        <w:spacing w:line="580" w:lineRule="exact"/>
        <w:ind w:firstLine="640" w:firstLineChars="200"/>
        <w:rPr>
          <w:rFonts w:hAnsi="宋体" w:eastAsia="黑体"/>
          <w:bCs/>
          <w:color w:val="000000" w:themeColor="text1"/>
          <w:kern w:val="0"/>
          <w:sz w:val="32"/>
          <w:szCs w:val="32"/>
        </w:rPr>
      </w:pPr>
      <w:r>
        <w:rPr>
          <w:rFonts w:hint="eastAsia" w:hAnsi="宋体" w:eastAsia="黑体"/>
          <w:bCs/>
          <w:color w:val="000000" w:themeColor="text1"/>
          <w:kern w:val="0"/>
          <w:sz w:val="32"/>
          <w:szCs w:val="32"/>
        </w:rPr>
        <w:t>六、考试成绩呈现</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普通高中通用技术学科学业水平考试总成绩为：实操测试部分成绩×50%+纸笔测试（或上机测试）部分成绩×50%。</w:t>
      </w:r>
      <w:r>
        <w:rPr>
          <w:rFonts w:hint="eastAsia" w:ascii="仿宋_GB2312" w:hAnsi="宋体" w:eastAsia="仿宋_GB2312" w:cs="仿宋_GB2312"/>
          <w:color w:val="000000" w:themeColor="text1"/>
          <w:sz w:val="32"/>
          <w:szCs w:val="32"/>
        </w:rPr>
        <w:t>最终成绩呈现方式为“合格”或“不合格”</w:t>
      </w:r>
      <w:r>
        <w:rPr>
          <w:rFonts w:hint="eastAsia" w:ascii="仿宋_GB2312" w:hAnsi="仿宋_GB2312" w:eastAsia="仿宋_GB2312" w:cs="仿宋_GB2312"/>
          <w:color w:val="000000" w:themeColor="text1"/>
          <w:sz w:val="32"/>
          <w:szCs w:val="32"/>
        </w:rPr>
        <w:t>。</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考试不合格的，</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仿宋_GB2312" w:eastAsia="仿宋_GB2312" w:cs="仿宋_GB2312"/>
          <w:color w:val="000000" w:themeColor="text1"/>
          <w:sz w:val="32"/>
          <w:szCs w:val="32"/>
        </w:rPr>
        <w:t>可根据考试安排参加补考。考试成绩在学生综合素质评价档案中分项如实记录。</w:t>
      </w:r>
    </w:p>
    <w:p>
      <w:pPr>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申请同等学力人员以</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仿宋_GB2312" w:eastAsia="仿宋_GB2312" w:cs="仿宋_GB2312"/>
          <w:color w:val="000000" w:themeColor="text1"/>
          <w:sz w:val="32"/>
          <w:szCs w:val="32"/>
        </w:rPr>
        <w:t>成绩认定“合格/不合格”。考试不合格的，可根据考试安排参加补考。</w:t>
      </w:r>
    </w:p>
    <w:p>
      <w:pPr>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七、免考、缓考及其他特殊政策</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hAnsi="宋体" w:eastAsia="仿宋_GB2312"/>
          <w:color w:val="000000" w:themeColor="text1"/>
          <w:kern w:val="0"/>
          <w:sz w:val="32"/>
          <w:szCs w:val="32"/>
        </w:rPr>
        <w:t>因病、残等确不能参加或不能按时参加相关测试的考生，根据国家和省的有关规定，可视病、残程度申请免考或缓考。</w:t>
      </w:r>
      <w:r>
        <w:rPr>
          <w:rFonts w:hint="eastAsia" w:ascii="仿宋_GB2312" w:hAnsi="仿宋_GB2312" w:eastAsia="仿宋_GB2312" w:cs="仿宋_GB2312"/>
          <w:color w:val="000000" w:themeColor="text1"/>
          <w:sz w:val="32"/>
          <w:szCs w:val="32"/>
        </w:rPr>
        <w:t>申请免考或缓考的考生须持残联颁发的残疾人证明或三甲以上医院的诊断证明（就医病历），经学校同意并加盖公章后，由学校汇总报区教育行政部门</w:t>
      </w:r>
      <w:r>
        <w:rPr>
          <w:rFonts w:hint="eastAsia" w:ascii="仿宋_GB2312" w:hAnsi="宋体" w:eastAsia="仿宋_GB2312" w:cs="仿宋_GB2312"/>
          <w:color w:val="000000" w:themeColor="text1"/>
          <w:sz w:val="32"/>
          <w:szCs w:val="32"/>
        </w:rPr>
        <w:t>认</w:t>
      </w:r>
      <w:r>
        <w:rPr>
          <w:rFonts w:hint="eastAsia" w:ascii="仿宋_GB2312" w:hAnsi="仿宋_GB2312" w:eastAsia="仿宋_GB2312" w:cs="仿宋_GB2312"/>
          <w:color w:val="000000" w:themeColor="text1"/>
          <w:sz w:val="32"/>
          <w:szCs w:val="32"/>
        </w:rPr>
        <w:t>定。</w:t>
      </w:r>
      <w:r>
        <w:rPr>
          <w:rFonts w:hint="eastAsia" w:ascii="仿宋_GB2312" w:hAnsi="宋体" w:eastAsia="仿宋_GB2312"/>
          <w:color w:val="000000" w:themeColor="text1"/>
          <w:kern w:val="0"/>
          <w:sz w:val="32"/>
          <w:szCs w:val="32"/>
        </w:rPr>
        <w:t>免考学生</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宋体" w:eastAsia="仿宋_GB2312"/>
          <w:color w:val="000000" w:themeColor="text1"/>
          <w:kern w:val="0"/>
          <w:sz w:val="32"/>
          <w:szCs w:val="32"/>
        </w:rPr>
        <w:t>成绩认定为“免考合格”。</w:t>
      </w:r>
    </w:p>
    <w:p>
      <w:pPr>
        <w:spacing w:line="580" w:lineRule="exact"/>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八、工作要求</w:t>
      </w:r>
    </w:p>
    <w:p>
      <w:pPr>
        <w:pStyle w:val="12"/>
        <w:adjustRightInd w:val="0"/>
        <w:snapToGrid w:val="0"/>
        <w:spacing w:line="580" w:lineRule="exact"/>
        <w:ind w:firstLine="64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（一）加强组织领导</w:t>
      </w:r>
    </w:p>
    <w:p>
      <w:pPr>
        <w:pStyle w:val="12"/>
        <w:adjustRightInd w:val="0"/>
        <w:snapToGrid w:val="0"/>
        <w:spacing w:line="580" w:lineRule="exact"/>
        <w:ind w:firstLine="64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各区教育行政部门、各学校要</w:t>
      </w:r>
      <w:r>
        <w:rPr>
          <w:rFonts w:hint="eastAsia" w:ascii="Times New Roman" w:hAnsi="Times New Roman" w:eastAsia="仿宋_GB2312" w:cs="Times New Roman"/>
          <w:color w:val="000000" w:themeColor="text1"/>
          <w:kern w:val="15"/>
          <w:sz w:val="32"/>
          <w:szCs w:val="32"/>
        </w:rPr>
        <w:t>高度重视，</w:t>
      </w:r>
      <w:r>
        <w:rPr>
          <w:rFonts w:hint="eastAsia" w:ascii="仿宋_GB2312" w:hAnsi="仿宋_GB2312" w:eastAsia="仿宋_GB2312" w:cs="仿宋_GB2312"/>
          <w:color w:val="000000" w:themeColor="text1"/>
          <w:sz w:val="32"/>
          <w:szCs w:val="32"/>
        </w:rPr>
        <w:t>成立通用技术学业水平考试工作领导小组，</w:t>
      </w:r>
      <w:r>
        <w:rPr>
          <w:rFonts w:hint="eastAsia" w:ascii="Times New Roman" w:hAnsi="Times New Roman" w:eastAsia="仿宋_GB2312" w:cs="Times New Roman"/>
          <w:color w:val="000000" w:themeColor="text1"/>
          <w:kern w:val="15"/>
          <w:sz w:val="32"/>
          <w:szCs w:val="32"/>
        </w:rPr>
        <w:t>制定周全的考试应急预案。</w:t>
      </w:r>
      <w:r>
        <w:rPr>
          <w:rFonts w:hint="eastAsia" w:ascii="仿宋_GB2312" w:hAnsi="宋体" w:eastAsia="仿宋_GB2312"/>
          <w:color w:val="000000" w:themeColor="text1"/>
          <w:kern w:val="0"/>
          <w:sz w:val="32"/>
          <w:szCs w:val="32"/>
        </w:rPr>
        <w:t>各学校根据本实施办法制定本校高中学生</w:t>
      </w:r>
      <w:r>
        <w:rPr>
          <w:rFonts w:hint="eastAsia" w:ascii="仿宋_GB2312" w:hAnsi="仿宋_GB2312" w:eastAsia="仿宋_GB2312" w:cs="仿宋_GB2312"/>
          <w:color w:val="000000" w:themeColor="text1"/>
          <w:sz w:val="32"/>
          <w:szCs w:val="32"/>
        </w:rPr>
        <w:t>通用</w:t>
      </w:r>
      <w:r>
        <w:rPr>
          <w:rFonts w:hint="eastAsia" w:ascii="仿宋_GB2312" w:hAnsi="宋体" w:eastAsia="仿宋_GB2312" w:cs="仿宋_GB2312"/>
          <w:color w:val="000000" w:themeColor="text1"/>
          <w:sz w:val="32"/>
          <w:szCs w:val="32"/>
        </w:rPr>
        <w:t>技术</w:t>
      </w:r>
      <w:r>
        <w:rPr>
          <w:rFonts w:hint="eastAsia" w:ascii="仿宋_GB2312" w:hAnsi="宋体" w:eastAsia="仿宋_GB2312" w:cs="仿宋_GB2312"/>
          <w:color w:val="000000" w:themeColor="text1"/>
          <w:sz w:val="32"/>
          <w:szCs w:val="32"/>
          <w:lang w:val="zh-CN"/>
        </w:rPr>
        <w:t>学业水平考试实操过程评价实施细则</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kern w:val="0"/>
          <w:sz w:val="32"/>
          <w:szCs w:val="32"/>
        </w:rPr>
        <w:t>报区教育行政部门备案。</w:t>
      </w:r>
    </w:p>
    <w:p>
      <w:pPr>
        <w:pStyle w:val="12"/>
        <w:numPr>
          <w:ilvl w:val="0"/>
          <w:numId w:val="2"/>
        </w:numPr>
        <w:adjustRightInd w:val="0"/>
        <w:snapToGrid w:val="0"/>
        <w:spacing w:line="580" w:lineRule="exact"/>
        <w:ind w:firstLine="640" w:firstLineChars="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加强教学管理及教师培训</w:t>
      </w:r>
    </w:p>
    <w:p>
      <w:pPr>
        <w:pStyle w:val="12"/>
        <w:adjustRightInd w:val="0"/>
        <w:snapToGrid w:val="0"/>
        <w:spacing w:line="580" w:lineRule="exact"/>
        <w:ind w:firstLine="64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各学校要严格落实《</w:t>
      </w:r>
      <w:r>
        <w:rPr>
          <w:rFonts w:hint="eastAsia" w:ascii="Times New Roman" w:hAnsi="Times New Roman" w:eastAsia="仿宋_GB2312" w:cs="Times New Roman"/>
          <w:color w:val="000000" w:themeColor="text1"/>
          <w:kern w:val="15"/>
          <w:sz w:val="32"/>
          <w:szCs w:val="32"/>
        </w:rPr>
        <w:t>普通高中</w:t>
      </w:r>
      <w:r>
        <w:rPr>
          <w:rFonts w:hint="eastAsia" w:ascii="仿宋_GB2312" w:hAnsi="仿宋_GB2312" w:eastAsia="仿宋_GB2312" w:cs="仿宋_GB2312"/>
          <w:color w:val="000000" w:themeColor="text1"/>
          <w:sz w:val="32"/>
          <w:szCs w:val="32"/>
        </w:rPr>
        <w:t>通用</w:t>
      </w:r>
      <w:r>
        <w:rPr>
          <w:rFonts w:hint="eastAsia" w:ascii="Times New Roman" w:hAnsi="Times New Roman" w:eastAsia="仿宋_GB2312" w:cs="Times New Roman"/>
          <w:color w:val="000000" w:themeColor="text1"/>
          <w:kern w:val="15"/>
          <w:sz w:val="32"/>
          <w:szCs w:val="32"/>
        </w:rPr>
        <w:t>技术课程标准（</w:t>
      </w:r>
      <w:r>
        <w:rPr>
          <w:rFonts w:ascii="Times New Roman" w:hAnsi="Times New Roman" w:eastAsia="仿宋_GB2312" w:cs="Times New Roman"/>
          <w:color w:val="000000" w:themeColor="text1"/>
          <w:kern w:val="15"/>
          <w:sz w:val="32"/>
          <w:szCs w:val="32"/>
        </w:rPr>
        <w:t>2017</w:t>
      </w:r>
      <w:r>
        <w:rPr>
          <w:rFonts w:hint="eastAsia" w:ascii="Times New Roman" w:hAnsi="Times New Roman" w:eastAsia="仿宋_GB2312" w:cs="Times New Roman"/>
          <w:color w:val="000000" w:themeColor="text1"/>
          <w:kern w:val="15"/>
          <w:sz w:val="32"/>
          <w:szCs w:val="32"/>
        </w:rPr>
        <w:t>年版</w:t>
      </w:r>
      <w:r>
        <w:rPr>
          <w:rFonts w:ascii="Times New Roman" w:hAnsi="Times New Roman" w:eastAsia="仿宋_GB2312" w:cs="Times New Roman"/>
          <w:color w:val="000000" w:themeColor="text1"/>
          <w:kern w:val="15"/>
          <w:sz w:val="32"/>
          <w:szCs w:val="32"/>
        </w:rPr>
        <w:t>2020</w:t>
      </w:r>
      <w:r>
        <w:rPr>
          <w:rFonts w:hint="eastAsia" w:ascii="Times New Roman" w:hAnsi="Times New Roman" w:eastAsia="仿宋_GB2312" w:cs="Times New Roman"/>
          <w:color w:val="000000" w:themeColor="text1"/>
          <w:kern w:val="15"/>
          <w:sz w:val="32"/>
          <w:szCs w:val="32"/>
        </w:rPr>
        <w:t>年修订）》</w:t>
      </w:r>
      <w:r>
        <w:rPr>
          <w:rFonts w:hint="eastAsia" w:ascii="仿宋_GB2312" w:hAnsi="宋体" w:eastAsia="仿宋_GB2312"/>
          <w:color w:val="000000" w:themeColor="text1"/>
          <w:kern w:val="0"/>
          <w:sz w:val="32"/>
          <w:szCs w:val="32"/>
        </w:rPr>
        <w:t>，</w:t>
      </w:r>
      <w:r>
        <w:rPr>
          <w:rFonts w:hint="eastAsia" w:hAnsi="宋体" w:eastAsia="仿宋_GB2312"/>
          <w:color w:val="000000" w:themeColor="text1"/>
          <w:kern w:val="0"/>
          <w:sz w:val="32"/>
          <w:szCs w:val="32"/>
        </w:rPr>
        <w:t>要从实际出发，保证通用技术必修课程教学所需专业教师队伍、技术实践室、技术试验室建设，配备必要的工具、材料、设备、软件、模型及安全用品等教育装备，配备专业报纸期刊、图书资料、数据库资源等，满足教育教学需要。</w:t>
      </w:r>
      <w:r>
        <w:rPr>
          <w:rFonts w:hint="eastAsia" w:ascii="仿宋_GB2312" w:hAnsi="宋体" w:eastAsia="仿宋_GB2312"/>
          <w:color w:val="000000" w:themeColor="text1"/>
          <w:kern w:val="0"/>
          <w:sz w:val="32"/>
          <w:szCs w:val="32"/>
        </w:rPr>
        <w:t>合理安排教学进度，严禁压缩课程授课时间，确保开齐开足通用技术课程。</w:t>
      </w:r>
      <w:r>
        <w:rPr>
          <w:rFonts w:hint="eastAsia" w:ascii="仿宋_GB2312" w:hAnsi="仿宋_GB2312" w:eastAsia="仿宋_GB2312" w:cs="仿宋_GB2312"/>
          <w:color w:val="000000" w:themeColor="text1"/>
          <w:kern w:val="0"/>
          <w:sz w:val="32"/>
          <w:szCs w:val="32"/>
        </w:rPr>
        <w:t>各学校可在学业水平考试结束后，根据需要自主开展选修课程。</w:t>
      </w:r>
      <w:r>
        <w:rPr>
          <w:rFonts w:hint="eastAsia" w:hAnsi="宋体" w:eastAsia="仿宋_GB2312"/>
          <w:color w:val="000000" w:themeColor="text1"/>
          <w:kern w:val="0"/>
          <w:sz w:val="32"/>
          <w:szCs w:val="32"/>
        </w:rPr>
        <w:t>各学校要积极组织参加通用技术教师专业化提升研修活动，专题开展教师校本培训，提高教师技术教育专业化能力。</w:t>
      </w:r>
    </w:p>
    <w:p>
      <w:pPr>
        <w:numPr>
          <w:ilvl w:val="0"/>
          <w:numId w:val="2"/>
        </w:numPr>
        <w:spacing w:line="580" w:lineRule="exact"/>
        <w:ind w:firstLine="64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建立结果公示制度</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仿宋_GB2312" w:eastAsia="仿宋_GB2312"/>
          <w:color w:val="000000" w:themeColor="text1"/>
          <w:sz w:val="32"/>
        </w:rPr>
        <w:t>各</w:t>
      </w:r>
      <w:r>
        <w:rPr>
          <w:rFonts w:hint="eastAsia" w:ascii="仿宋_GB2312" w:hAnsi="宋体" w:eastAsia="仿宋_GB2312"/>
          <w:color w:val="000000" w:themeColor="text1"/>
          <w:kern w:val="0"/>
          <w:sz w:val="32"/>
          <w:szCs w:val="32"/>
        </w:rPr>
        <w:t>学校在校内公示学生测试结果。市招考办和区教育行政部门设立和公布监督电话，接受社会监督。</w:t>
      </w: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spacing w:line="580" w:lineRule="exact"/>
        <w:ind w:firstLine="640" w:firstLineChars="200"/>
        <w:jc w:val="left"/>
        <w:rPr>
          <w:rFonts w:ascii="仿宋_GB2312" w:hAnsi="宋体" w:eastAsia="仿宋_GB2312"/>
          <w:b/>
          <w:color w:val="000000" w:themeColor="text1"/>
          <w:kern w:val="0"/>
          <w:sz w:val="32"/>
          <w:szCs w:val="32"/>
        </w:rPr>
      </w:pPr>
      <w:r>
        <w:rPr>
          <w:rFonts w:hint="eastAsia" w:ascii="仿宋_GB2312" w:hAnsi="宋体" w:eastAsia="仿宋_GB2312"/>
          <w:color w:val="000000" w:themeColor="text1"/>
          <w:kern w:val="0"/>
          <w:sz w:val="32"/>
          <w:szCs w:val="32"/>
        </w:rPr>
        <w:t>附件：1.深圳市普通高中通用技术学科过程性评价建议表</w:t>
      </w:r>
    </w:p>
    <w:p>
      <w:pPr>
        <w:spacing w:line="580" w:lineRule="exact"/>
        <w:ind w:left="16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2.深圳市普通高中通用技术学业水平考试成绩评定</w:t>
      </w:r>
    </w:p>
    <w:p>
      <w:pPr>
        <w:spacing w:line="580" w:lineRule="exact"/>
        <w:ind w:left="1600" w:leftChars="762" w:firstLine="320" w:firstLineChars="1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结果汇总表</w:t>
      </w: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sectPr>
          <w:footerReference r:id="rId3" w:type="default"/>
          <w:pgSz w:w="11906" w:h="16838"/>
          <w:pgMar w:top="2098" w:right="1474" w:bottom="1984" w:left="1587" w:header="851" w:footer="1361" w:gutter="0"/>
          <w:pgNumType w:fmt="decimal"/>
          <w:cols w:space="425" w:num="1"/>
          <w:docGrid w:type="lines" w:linePitch="312" w:charSpace="0"/>
        </w:sectPr>
      </w:pPr>
    </w:p>
    <w:p>
      <w:pPr>
        <w:widowControl/>
        <w:spacing w:line="580" w:lineRule="exac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附件1</w:t>
      </w:r>
    </w:p>
    <w:p>
      <w:pPr>
        <w:widowControl/>
        <w:spacing w:line="580" w:lineRule="exact"/>
        <w:rPr>
          <w:rFonts w:ascii="黑体" w:hAnsi="黑体" w:eastAsia="黑体" w:cs="仿宋_GB2312"/>
          <w:color w:val="000000" w:themeColor="text1"/>
          <w:sz w:val="32"/>
          <w:szCs w:val="32"/>
        </w:rPr>
      </w:pPr>
    </w:p>
    <w:p>
      <w:pPr>
        <w:spacing w:line="580" w:lineRule="exact"/>
        <w:jc w:val="center"/>
        <w:rPr>
          <w:rFonts w:ascii="方正小标宋_GBK" w:hAnsi="仿宋_GB2312" w:eastAsia="方正小标宋_GBK" w:cs="仿宋_GB2312"/>
          <w:bCs/>
          <w:color w:val="000000" w:themeColor="text1"/>
          <w:sz w:val="44"/>
          <w:szCs w:val="44"/>
        </w:rPr>
      </w:pPr>
      <w:r>
        <w:rPr>
          <w:rFonts w:hint="eastAsia" w:ascii="方正小标宋_GBK" w:hAnsi="仿宋_GB2312" w:eastAsia="方正小标宋_GBK" w:cs="仿宋_GB2312"/>
          <w:bCs/>
          <w:color w:val="000000" w:themeColor="text1"/>
          <w:sz w:val="44"/>
          <w:szCs w:val="44"/>
        </w:rPr>
        <w:t>深圳市普通高中通用技术学业水平考试</w:t>
      </w:r>
    </w:p>
    <w:p>
      <w:pPr>
        <w:spacing w:line="580" w:lineRule="exact"/>
        <w:jc w:val="center"/>
        <w:rPr>
          <w:rFonts w:ascii="方正小标宋_GBK" w:eastAsia="方正小标宋_GBK"/>
          <w:bCs/>
          <w:color w:val="000000" w:themeColor="text1"/>
          <w:sz w:val="44"/>
          <w:szCs w:val="44"/>
        </w:rPr>
      </w:pPr>
      <w:r>
        <w:rPr>
          <w:rFonts w:hint="eastAsia" w:ascii="方正小标宋_GBK" w:hAnsi="仿宋_GB2312" w:eastAsia="方正小标宋_GBK" w:cs="仿宋_GB2312"/>
          <w:bCs/>
          <w:color w:val="000000" w:themeColor="text1"/>
          <w:sz w:val="44"/>
          <w:szCs w:val="44"/>
        </w:rPr>
        <w:t>过程性评价建议表</w:t>
      </w:r>
    </w:p>
    <w:p>
      <w:pPr>
        <w:spacing w:line="58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（参考样例）</w:t>
      </w:r>
    </w:p>
    <w:p>
      <w:pPr>
        <w:spacing w:line="580" w:lineRule="exact"/>
        <w:ind w:right="-624" w:rightChars="-297" w:firstLine="120" w:firstLineChars="50"/>
        <w:rPr>
          <w:rFonts w:ascii="仿宋_GB2312" w:eastAsia="仿宋_GB2312"/>
          <w:color w:val="000000" w:themeColor="text1"/>
          <w:sz w:val="32"/>
          <w:szCs w:val="32"/>
        </w:rPr>
      </w:pPr>
      <w:r>
        <w:rPr>
          <w:rFonts w:hint="eastAsia" w:ascii="仿宋_GB2312" w:eastAsia="仿宋_GB2312"/>
          <w:color w:val="000000" w:themeColor="text1"/>
          <w:sz w:val="24"/>
        </w:rPr>
        <w:t>学校：             班级：              学生姓名：            模块：</w:t>
      </w:r>
    </w:p>
    <w:tbl>
      <w:tblPr>
        <w:tblStyle w:val="9"/>
        <w:tblW w:w="9013" w:type="dxa"/>
        <w:jc w:val="center"/>
        <w:tblLayout w:type="fixed"/>
        <w:tblCellMar>
          <w:top w:w="0" w:type="dxa"/>
          <w:left w:w="0" w:type="dxa"/>
          <w:bottom w:w="0" w:type="dxa"/>
          <w:right w:w="0" w:type="dxa"/>
        </w:tblCellMar>
      </w:tblPr>
      <w:tblGrid>
        <w:gridCol w:w="1359"/>
        <w:gridCol w:w="4961"/>
        <w:gridCol w:w="1210"/>
        <w:gridCol w:w="760"/>
        <w:gridCol w:w="723"/>
      </w:tblGrid>
      <w:tr>
        <w:tblPrEx>
          <w:tblCellMar>
            <w:top w:w="0" w:type="dxa"/>
            <w:left w:w="0" w:type="dxa"/>
            <w:bottom w:w="0" w:type="dxa"/>
            <w:right w:w="0" w:type="dxa"/>
          </w:tblCellMar>
        </w:tblPrEx>
        <w:trPr>
          <w:cantSplit/>
          <w:trHeight w:val="530" w:hRule="atLeast"/>
          <w:jc w:val="center"/>
        </w:trPr>
        <w:tc>
          <w:tcPr>
            <w:tcW w:w="13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评价项目</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评分参考标准</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分值</w:t>
            </w:r>
          </w:p>
        </w:tc>
        <w:tc>
          <w:tcPr>
            <w:tcW w:w="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得分</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备注</w:t>
            </w:r>
          </w:p>
        </w:tc>
      </w:tr>
      <w:tr>
        <w:tblPrEx>
          <w:tblCellMar>
            <w:top w:w="0" w:type="dxa"/>
            <w:left w:w="0" w:type="dxa"/>
            <w:bottom w:w="0" w:type="dxa"/>
            <w:right w:w="0" w:type="dxa"/>
          </w:tblCellMar>
        </w:tblPrEx>
        <w:trPr>
          <w:cantSplit/>
          <w:trHeight w:val="460" w:hRule="atLeast"/>
          <w:jc w:val="center"/>
        </w:trPr>
        <w:tc>
          <w:tcPr>
            <w:tcW w:w="13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上课出勤</w:t>
            </w:r>
          </w:p>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（20分）</w:t>
            </w: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能参加通用技术课程，很好地完成课程任务,没有缺课。</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20</w:t>
            </w:r>
          </w:p>
        </w:tc>
        <w:tc>
          <w:tcPr>
            <w:tcW w:w="760"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19"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能参加通用技术课程，较好地完成课程任务，请假缺课不超过总课时的10%。</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15-19</w:t>
            </w:r>
          </w:p>
        </w:tc>
        <w:tc>
          <w:tcPr>
            <w:tcW w:w="760"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285"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能参加通用技术课程，完成课程任务情况一般，请假缺课不超过总课时20%。</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10-14</w:t>
            </w:r>
          </w:p>
        </w:tc>
        <w:tc>
          <w:tcPr>
            <w:tcW w:w="760"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参加通用技术课程较少，没有完成课程任务。其中，无故旷课1次得0分，超过3次需重修本课程。</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0-9</w:t>
            </w:r>
          </w:p>
        </w:tc>
        <w:tc>
          <w:tcPr>
            <w:tcW w:w="760"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720" w:hRule="atLeast"/>
          <w:jc w:val="center"/>
        </w:trPr>
        <w:tc>
          <w:tcPr>
            <w:tcW w:w="13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课堂综合表现（20分）</w:t>
            </w: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学习态度端正，积极、认真上好通用技术课程，积极主动完成课堂中各种探究活动、能与他人合作。</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20</w:t>
            </w:r>
          </w:p>
        </w:tc>
        <w:tc>
          <w:tcPr>
            <w:tcW w:w="760"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60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能积极、认真参加通用技术课程，较主动完成课堂中各种探究活动。</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15-19</w:t>
            </w:r>
          </w:p>
        </w:tc>
        <w:tc>
          <w:tcPr>
            <w:tcW w:w="760"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学习态度不够认真，马虎应付课程，能完成一部分探究活动或学习任务</w:t>
            </w:r>
            <w:r>
              <w:rPr>
                <w:rFonts w:hint="eastAsia" w:ascii="仿宋_GB2312" w:hAnsi="宋体" w:eastAsia="仿宋_GB2312"/>
                <w:color w:val="000000" w:themeColor="text1"/>
              </w:rPr>
              <w:t>。</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10-14</w:t>
            </w:r>
          </w:p>
        </w:tc>
        <w:tc>
          <w:tcPr>
            <w:tcW w:w="760"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学习态度不认真，不配合、不愿参与教学活动。</w:t>
            </w:r>
          </w:p>
        </w:tc>
        <w:tc>
          <w:tcPr>
            <w:tcW w:w="121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0-9</w:t>
            </w:r>
          </w:p>
        </w:tc>
        <w:tc>
          <w:tcPr>
            <w:tcW w:w="760"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nil"/>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1074" w:hRule="atLeas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技术作品制作</w:t>
            </w:r>
          </w:p>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（45分）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立足通用技术学科的核心素养，很好的完成相关的技术作品。</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45</w:t>
            </w:r>
          </w:p>
        </w:tc>
        <w:tc>
          <w:tcPr>
            <w:tcW w:w="76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84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立足通用技术学科的核心素养，较好的完成相关的技术作品。</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35-44</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84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不能很好的立足通用技术核心素养，完成的作品基本达到课程要求。</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25-34</w:t>
            </w:r>
          </w:p>
        </w:tc>
        <w:tc>
          <w:tcPr>
            <w:tcW w:w="76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single" w:color="auto" w:sz="4" w:space="0"/>
              <w:bottom w:val="nil"/>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84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不能立足通用技术的核心素养，完成的技术作品达不到课程最基本要求。分数由老师根据作品情况进行评定，没有完成作品得0分。</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0-24</w:t>
            </w:r>
          </w:p>
        </w:tc>
        <w:tc>
          <w:tcPr>
            <w:tcW w:w="76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single" w:color="auto" w:sz="4" w:space="0"/>
              <w:bottom w:val="nil"/>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1105" w:hRule="atLeast"/>
          <w:jc w:val="center"/>
        </w:trPr>
        <w:tc>
          <w:tcPr>
            <w:tcW w:w="1359" w:type="dxa"/>
            <w:tcBorders>
              <w:top w:val="single" w:color="auto" w:sz="4" w:space="0"/>
              <w:left w:val="single" w:color="auto" w:sz="4" w:space="0"/>
              <w:bottom w:val="nil"/>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创新实践能力</w:t>
            </w:r>
          </w:p>
          <w:p>
            <w:pPr>
              <w:spacing w:line="580" w:lineRule="exact"/>
              <w:jc w:val="center"/>
              <w:rPr>
                <w:rFonts w:ascii="仿宋_GB2312" w:eastAsia="仿宋_GB2312"/>
                <w:color w:val="000000" w:themeColor="text1"/>
              </w:rPr>
            </w:pPr>
            <w:r>
              <w:rPr>
                <w:rFonts w:hint="eastAsia" w:ascii="仿宋_GB2312" w:eastAsia="仿宋_GB2312"/>
                <w:color w:val="000000" w:themeColor="text1"/>
              </w:rPr>
              <w:t>（15分）</w:t>
            </w: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参加学校组织的通用技术学科实践活动（科技创新大赛、创客作品展评或其他相关实践活动）1次得10分，每增加1次得2分。</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10-15</w:t>
            </w:r>
          </w:p>
        </w:tc>
        <w:tc>
          <w:tcPr>
            <w:tcW w:w="760"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本项可累加，满分不超过15分。</w:t>
            </w: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1105" w:hRule="atLeast"/>
          <w:jc w:val="center"/>
        </w:trPr>
        <w:tc>
          <w:tcPr>
            <w:tcW w:w="1359" w:type="dxa"/>
            <w:tcBorders>
              <w:top w:val="nil"/>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参加班级组织的与通用技术有关的比赛或其他实践活动1次得3分，每增加1次得2分。不参加任何比赛或活动得0分。</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0-9</w:t>
            </w:r>
          </w:p>
        </w:tc>
        <w:tc>
          <w:tcPr>
            <w:tcW w:w="7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bl>
    <w:p>
      <w:pPr>
        <w:spacing w:line="580" w:lineRule="exact"/>
        <w:jc w:val="right"/>
        <w:rPr>
          <w:rFonts w:ascii="仿宋_GB2312" w:eastAsia="仿宋_GB2312"/>
          <w:color w:val="000000" w:themeColor="text1"/>
        </w:rPr>
      </w:pPr>
      <w:r>
        <w:rPr>
          <w:rFonts w:hint="eastAsia" w:ascii="仿宋_GB2312" w:eastAsia="仿宋_GB2312"/>
          <w:color w:val="000000" w:themeColor="text1"/>
        </w:rPr>
        <w:t>分值100分</w:t>
      </w:r>
    </w:p>
    <w:p>
      <w:pPr>
        <w:spacing w:line="580" w:lineRule="exact"/>
        <w:rPr>
          <w:rFonts w:ascii="仿宋_GB2312" w:eastAsia="仿宋_GB2312"/>
          <w:color w:val="000000" w:themeColor="text1"/>
        </w:rPr>
      </w:pPr>
      <w:r>
        <w:rPr>
          <w:rFonts w:hint="eastAsia" w:ascii="仿宋_GB2312" w:eastAsia="仿宋_GB2312"/>
          <w:color w:val="000000" w:themeColor="text1"/>
        </w:rPr>
        <w:t>本表格仅供各校制定本校评价方案时参考，具体评价项目细则和分值比例最终由各校确定。</w:t>
      </w:r>
    </w:p>
    <w:p>
      <w:pPr>
        <w:spacing w:line="580" w:lineRule="exact"/>
        <w:rPr>
          <w:rFonts w:hint="eastAsia" w:ascii="仿宋_GB2312" w:eastAsia="仿宋_GB2312"/>
          <w:color w:val="000000" w:themeColor="text1"/>
        </w:rPr>
        <w:sectPr>
          <w:pgSz w:w="11906" w:h="16838"/>
          <w:pgMar w:top="2098" w:right="1474" w:bottom="1984" w:left="1587" w:header="851" w:footer="1361" w:gutter="0"/>
          <w:pgNumType w:fmt="decimal"/>
          <w:cols w:space="425" w:num="1"/>
          <w:docGrid w:type="lines" w:linePitch="312" w:charSpace="0"/>
        </w:sectPr>
      </w:pPr>
      <w:r>
        <w:rPr>
          <w:rFonts w:hint="eastAsia" w:ascii="仿宋_GB2312" w:eastAsia="仿宋_GB2312"/>
          <w:color w:val="000000" w:themeColor="text1"/>
        </w:rPr>
        <w:t>实操测试部分总成绩由各学期（或各模块）实操测试成绩的平均分构成，由各学校组织实施评价。</w:t>
      </w:r>
    </w:p>
    <w:p>
      <w:pPr>
        <w:widowControl/>
        <w:spacing w:line="580" w:lineRule="exac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附件2</w:t>
      </w:r>
    </w:p>
    <w:p>
      <w:pPr>
        <w:widowControl/>
        <w:spacing w:line="580" w:lineRule="exact"/>
        <w:rPr>
          <w:rFonts w:ascii="仿宋_GB2312" w:hAnsi="仿宋_GB2312" w:eastAsia="仿宋_GB2312" w:cs="仿宋_GB2312"/>
          <w:color w:val="000000" w:themeColor="text1"/>
          <w:sz w:val="32"/>
          <w:szCs w:val="32"/>
        </w:rPr>
      </w:pP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深圳市普通高中通用技术学业水平考试</w:t>
      </w: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成绩评定结果汇总表</w:t>
      </w:r>
    </w:p>
    <w:p>
      <w:pPr>
        <w:widowControl/>
        <w:spacing w:line="580" w:lineRule="exact"/>
        <w:jc w:val="center"/>
        <w:rPr>
          <w:rFonts w:ascii="黑体" w:hAnsi="黑体" w:eastAsia="黑体" w:cs="方正小标宋简体"/>
          <w:color w:val="000000" w:themeColor="text1"/>
          <w:sz w:val="32"/>
          <w:szCs w:val="32"/>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              年级：              评定时间：</w:t>
      </w:r>
    </w:p>
    <w:tbl>
      <w:tblPr>
        <w:tblStyle w:val="9"/>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990"/>
        <w:gridCol w:w="761"/>
        <w:gridCol w:w="1560"/>
        <w:gridCol w:w="2923"/>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姓名</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66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实操过程评价</w:t>
            </w: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纸笔测试（或上机测试）成绩</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最终成绩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bl>
    <w:p>
      <w:pPr>
        <w:widowControl/>
        <w:spacing w:line="580" w:lineRule="exact"/>
        <w:jc w:val="left"/>
        <w:rPr>
          <w:rFonts w:ascii="仿宋_GB2312" w:hAnsi="方正小标宋简体" w:eastAsia="仿宋_GB2312" w:cs="方正小标宋简体"/>
          <w:color w:val="000000" w:themeColor="text1"/>
          <w:sz w:val="28"/>
          <w:szCs w:val="28"/>
        </w:rPr>
      </w:pPr>
    </w:p>
    <w:p>
      <w:pPr>
        <w:widowControl/>
        <w:spacing w:line="580" w:lineRule="exact"/>
        <w:jc w:val="righ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学校确认（盖章）</w:t>
      </w:r>
    </w:p>
    <w:p>
      <w:pPr>
        <w:widowControl/>
        <w:spacing w:line="580" w:lineRule="exact"/>
        <w:jc w:val="right"/>
        <w:rPr>
          <w:rFonts w:ascii="仿宋_GB2312" w:eastAsia="仿宋_GB2312"/>
          <w:color w:val="000000" w:themeColor="text1"/>
          <w:sz w:val="28"/>
          <w:szCs w:val="28"/>
        </w:rPr>
      </w:pPr>
      <w:r>
        <w:rPr>
          <w:rFonts w:hint="eastAsia" w:ascii="仿宋_GB2312" w:hAnsi="方正小标宋简体" w:eastAsia="仿宋_GB2312" w:cs="方正小标宋简体"/>
          <w:color w:val="000000" w:themeColor="text1"/>
          <w:sz w:val="32"/>
          <w:szCs w:val="32"/>
        </w:rPr>
        <w:t>年 月 日</w:t>
      </w:r>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DD013-5A19-4061-83E6-784BF266A9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467CC0-9B85-4346-B9CF-0F61E0303B58}"/>
  </w:font>
  <w:font w:name="仿宋_GB2312">
    <w:panose1 w:val="02010609030101010101"/>
    <w:charset w:val="86"/>
    <w:family w:val="modern"/>
    <w:pitch w:val="default"/>
    <w:sig w:usb0="00000001" w:usb1="080E0000" w:usb2="00000000" w:usb3="00000000" w:csb0="00040000" w:csb1="00000000"/>
    <w:embedRegular r:id="rId3" w:fontKey="{5B6FBACA-D8D6-4ADD-AAF2-11F009FC9FA8}"/>
  </w:font>
  <w:font w:name="Segoe UI">
    <w:panose1 w:val="020B0502040204020203"/>
    <w:charset w:val="00"/>
    <w:family w:val="swiss"/>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embedRegular r:id="rId4" w:fontKey="{22A77C93-2BAB-4EE9-9EBE-BE487813CC8D}"/>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4A108491-46A5-4EDD-8C37-1ABB7630550C}"/>
  </w:font>
  <w:font w:name="Th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rPr>
                    <w:rStyle w:val="11"/>
                    <w:rFonts w:hint="eastAsia" w:ascii="宋体" w:hAnsi="宋体" w:cs="宋体"/>
                    <w:sz w:val="28"/>
                    <w:szCs w:val="28"/>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1</w:t>
                </w:r>
                <w:r>
                  <w:rPr>
                    <w:rFonts w:hint="eastAsia" w:ascii="宋体" w:hAnsi="宋体" w:cs="宋体"/>
                    <w:sz w:val="28"/>
                    <w:szCs w:val="28"/>
                  </w:rPr>
                  <w:fldChar w:fldCharType="end"/>
                </w:r>
                <w:r>
                  <w:rPr>
                    <w:rStyle w:val="11"/>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BB300"/>
    <w:multiLevelType w:val="singleLevel"/>
    <w:tmpl w:val="DE4BB300"/>
    <w:lvl w:ilvl="0" w:tentative="0">
      <w:start w:val="1"/>
      <w:numFmt w:val="chineseCounting"/>
      <w:suff w:val="nothing"/>
      <w:lvlText w:val="（%1）"/>
      <w:lvlJc w:val="left"/>
      <w:pPr>
        <w:ind w:left="0" w:firstLine="0"/>
      </w:pPr>
    </w:lvl>
  </w:abstractNum>
  <w:abstractNum w:abstractNumId="1">
    <w:nsid w:val="3E3A3967"/>
    <w:multiLevelType w:val="singleLevel"/>
    <w:tmpl w:val="3E3A3967"/>
    <w:lvl w:ilvl="0" w:tentative="0">
      <w:start w:val="2"/>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8662BF"/>
    <w:rsid w:val="001B2245"/>
    <w:rsid w:val="002624D6"/>
    <w:rsid w:val="002D61AF"/>
    <w:rsid w:val="004155A0"/>
    <w:rsid w:val="004C5061"/>
    <w:rsid w:val="00612FBF"/>
    <w:rsid w:val="00691121"/>
    <w:rsid w:val="008450B0"/>
    <w:rsid w:val="00872BED"/>
    <w:rsid w:val="008E2447"/>
    <w:rsid w:val="009F14AE"/>
    <w:rsid w:val="00DE3C07"/>
    <w:rsid w:val="00E059F1"/>
    <w:rsid w:val="00E70144"/>
    <w:rsid w:val="02583D90"/>
    <w:rsid w:val="027F50AE"/>
    <w:rsid w:val="08E472A1"/>
    <w:rsid w:val="08F940F2"/>
    <w:rsid w:val="09F27A47"/>
    <w:rsid w:val="146E47B8"/>
    <w:rsid w:val="14E7478E"/>
    <w:rsid w:val="16BD60B3"/>
    <w:rsid w:val="17524CD9"/>
    <w:rsid w:val="1BD20D0E"/>
    <w:rsid w:val="204D3B6B"/>
    <w:rsid w:val="220B7D6E"/>
    <w:rsid w:val="22C228F8"/>
    <w:rsid w:val="22D42434"/>
    <w:rsid w:val="26A14172"/>
    <w:rsid w:val="33E7744D"/>
    <w:rsid w:val="382637A8"/>
    <w:rsid w:val="3A4140A4"/>
    <w:rsid w:val="3D711EEE"/>
    <w:rsid w:val="407D5C80"/>
    <w:rsid w:val="40FE2E51"/>
    <w:rsid w:val="45F21F09"/>
    <w:rsid w:val="473E15EC"/>
    <w:rsid w:val="477219BC"/>
    <w:rsid w:val="4F9D3DFD"/>
    <w:rsid w:val="51347DF3"/>
    <w:rsid w:val="5CEE2002"/>
    <w:rsid w:val="5D5A0455"/>
    <w:rsid w:val="60306CFA"/>
    <w:rsid w:val="66C71146"/>
    <w:rsid w:val="672C3AB8"/>
    <w:rsid w:val="70A51BF5"/>
    <w:rsid w:val="77E03751"/>
    <w:rsid w:val="798662BF"/>
    <w:rsid w:val="7D70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仿宋_GB2312" w:eastAsia="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列出段落3"/>
    <w:basedOn w:val="1"/>
    <w:qFormat/>
    <w:uiPriority w:val="0"/>
    <w:pPr>
      <w:ind w:firstLine="420" w:firstLineChars="200"/>
    </w:pPr>
    <w:rPr>
      <w:rFonts w:ascii="Calibri" w:hAnsi="Calibri" w:cs="宋体"/>
      <w:szCs w:val="22"/>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18935</Words>
  <Characters>2322</Characters>
  <Lines>19</Lines>
  <Paragraphs>42</Paragraphs>
  <TotalTime>36</TotalTime>
  <ScaleCrop>false</ScaleCrop>
  <LinksUpToDate>false</LinksUpToDate>
  <CharactersWithSpaces>21215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2020-11-20T04:08:00Z</dcterms:created>
  <dc:creator>Mary</dc:creator>
  <cp:lastModifiedBy>德恒-DH</cp:lastModifiedBy>
  <dcterms:modified xsi:type="dcterms:W3CDTF">2020-11-24T09:52:08Z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