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</w:t>
      </w:r>
    </w:p>
    <w:p>
      <w:pPr>
        <w:widowControl/>
        <w:shd w:val="clear" w:color="auto" w:fill="FFFFFF"/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通过光明区一级幼儿园等级重新认定</w:t>
      </w:r>
    </w:p>
    <w:p>
      <w:pPr>
        <w:widowControl/>
        <w:shd w:val="clear" w:color="auto" w:fill="FFFFFF"/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幼儿园名单</w:t>
      </w:r>
    </w:p>
    <w:bookmarkEnd w:id="0"/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深圳市光明区公明河畔幼儿园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深圳市光明区峰荟幼儿园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深圳市光明区中粮云景幼儿园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深圳市光明区马田宏发嘉域幼儿园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深圳市光明区马田合韵幼儿园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深圳市光明区玉塘田明幼儿园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深圳市光明区玉塘长风幼儿园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深圳市光明区玉塘红星幼儿园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深圳市光明区凤凰东升幼儿园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深圳市光明区光明碧湖幼儿园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563D7"/>
    <w:rsid w:val="282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2020-06-15T08:45:00Z</dcterms:created>
  <dc:creator>林丽丽</dc:creator>
  <cp:lastModifiedBy>林丽丽</cp:lastModifiedBy>
  <dcterms:modified xsi:type="dcterms:W3CDTF">2020-06-15T08:45:44Z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