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ind w:firstLine="442" w:firstLineChars="10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ind w:firstLine="442" w:firstLineChars="10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深圳市光明区产业园区与产业用房市场租金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指导价格使用说明</w:t>
      </w: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一、市场租金指导价格的编制发布依据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（一）《广东省降低制造业企业成本支持实体经济发展的若干政策措施》（修订版）（粤府〔2018〕79号）；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深圳市人民政府印发</w:t>
      </w:r>
      <w:r>
        <w:rPr>
          <w:rFonts w:hint="eastAsia" w:ascii="仿宋" w:hAnsi="仿宋" w:eastAsia="仿宋" w:cs="仿宋"/>
          <w:sz w:val="32"/>
          <w:szCs w:val="32"/>
        </w:rPr>
        <w:t>关于规范产业用房租赁市场稳定租赁价格的若干措施 （试行）》（深府规〔2019〕8 号）；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中共深圳市光明区委全面深化改革委员会关于印发《光明区进一步优化营商环境若干措施》的通知</w:t>
      </w:r>
      <w:r>
        <w:rPr>
          <w:rFonts w:hint="eastAsia" w:ascii="仿宋" w:hAnsi="仿宋" w:eastAsia="仿宋" w:cs="仿宋"/>
          <w:sz w:val="32"/>
          <w:szCs w:val="32"/>
        </w:rPr>
        <w:t>》（深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光改委</w:t>
      </w:r>
      <w:r>
        <w:rPr>
          <w:rFonts w:hint="eastAsia" w:ascii="仿宋" w:hAnsi="仿宋" w:eastAsia="仿宋" w:cs="仿宋"/>
          <w:sz w:val="32"/>
          <w:szCs w:val="32"/>
        </w:rPr>
        <w:t>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号）。</w:t>
      </w:r>
    </w:p>
    <w:p>
      <w:pPr>
        <w:spacing w:line="360" w:lineRule="auto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市场租金指导价格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释义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本指引所称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市场租金指导价格</w:t>
      </w:r>
      <w:r>
        <w:rPr>
          <w:rFonts w:hint="eastAsia" w:ascii="仿宋" w:hAnsi="仿宋" w:eastAsia="仿宋" w:cs="仿宋"/>
          <w:sz w:val="32"/>
          <w:szCs w:val="32"/>
        </w:rPr>
        <w:t>，是指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结合</w:t>
      </w:r>
      <w:r>
        <w:rPr>
          <w:rFonts w:hint="eastAsia" w:ascii="仿宋_GB2312" w:hAnsi="宋体" w:eastAsia="仿宋_GB2312"/>
          <w:sz w:val="32"/>
          <w:szCs w:val="32"/>
        </w:rPr>
        <w:t>产业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园区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/产业</w:t>
      </w:r>
      <w:r>
        <w:rPr>
          <w:rFonts w:hint="eastAsia" w:ascii="仿宋_GB2312" w:hAnsi="宋体" w:eastAsia="仿宋_GB2312"/>
          <w:sz w:val="32"/>
          <w:szCs w:val="32"/>
        </w:rPr>
        <w:t>用房所处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地理</w:t>
      </w:r>
      <w:r>
        <w:rPr>
          <w:rFonts w:hint="eastAsia" w:ascii="仿宋_GB2312" w:hAnsi="宋体" w:eastAsia="仿宋_GB2312"/>
          <w:sz w:val="32"/>
          <w:szCs w:val="32"/>
        </w:rPr>
        <w:t>位置、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是否独门独院或配有物业公司、内外部装修与</w:t>
      </w:r>
      <w:r>
        <w:rPr>
          <w:rFonts w:hint="eastAsia" w:ascii="仿宋_GB2312" w:hAnsi="宋体" w:eastAsia="仿宋_GB2312"/>
          <w:sz w:val="32"/>
          <w:szCs w:val="32"/>
        </w:rPr>
        <w:t>配套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硬件</w:t>
      </w:r>
      <w:r>
        <w:rPr>
          <w:rFonts w:hint="eastAsia" w:ascii="仿宋_GB2312" w:hAnsi="宋体" w:eastAsia="仿宋_GB2312"/>
          <w:sz w:val="32"/>
          <w:szCs w:val="32"/>
        </w:rPr>
        <w:t>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客观影响</w:t>
      </w:r>
      <w:r>
        <w:rPr>
          <w:rFonts w:hint="eastAsia" w:ascii="仿宋_GB2312" w:hAnsi="宋体" w:eastAsia="仿宋_GB2312"/>
          <w:sz w:val="32"/>
          <w:szCs w:val="32"/>
        </w:rPr>
        <w:t>因素，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2019年度11月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估价时点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评估的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待租或</w:t>
      </w:r>
      <w:r>
        <w:rPr>
          <w:rFonts w:hint="eastAsia" w:ascii="仿宋" w:hAnsi="仿宋" w:eastAsia="仿宋" w:cs="仿宋"/>
          <w:sz w:val="32"/>
          <w:szCs w:val="32"/>
        </w:rPr>
        <w:t>出租的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生产性</w:t>
      </w:r>
      <w:r>
        <w:rPr>
          <w:rFonts w:hint="eastAsia" w:ascii="仿宋" w:hAnsi="仿宋" w:eastAsia="仿宋" w:cs="仿宋"/>
          <w:sz w:val="32"/>
          <w:szCs w:val="32"/>
        </w:rPr>
        <w:t>用房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和配套用房（办公、研发、宿舍、食堂、仓库等）的市场租金指导价格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《2019年度光明区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产业园区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市场租金指导价格表》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是指产业园区内出租房（生产用房分首层和非首层，园区配套用房为整栋）市场租金的加权平均价格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发布形式如下：</w:t>
      </w:r>
    </w:p>
    <w:tbl>
      <w:tblPr>
        <w:tblStyle w:val="3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001"/>
        <w:gridCol w:w="1920"/>
        <w:gridCol w:w="1188"/>
        <w:gridCol w:w="12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街道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社区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园区名称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产业用房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租金指导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价格（元/㎡）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配套用房租金指导价格（元/㎡）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86" w:type="dxa"/>
            <w:vMerge w:val="continue"/>
            <w:vAlign w:val="center"/>
          </w:tcPr>
          <w:p>
            <w:pPr>
              <w:spacing w:line="360" w:lineRule="auto"/>
              <w:jc w:val="both"/>
            </w:pPr>
          </w:p>
        </w:tc>
        <w:tc>
          <w:tcPr>
            <w:tcW w:w="1001" w:type="dxa"/>
            <w:vMerge w:val="continue"/>
            <w:vAlign w:val="center"/>
          </w:tcPr>
          <w:p>
            <w:pPr>
              <w:spacing w:line="360" w:lineRule="auto"/>
              <w:jc w:val="both"/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spacing w:line="360" w:lineRule="auto"/>
              <w:jc w:val="both"/>
            </w:pPr>
          </w:p>
        </w:tc>
        <w:tc>
          <w:tcPr>
            <w:tcW w:w="118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首层</w:t>
            </w: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非首层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</w:p>
        </w:tc>
        <w:tc>
          <w:tcPr>
            <w:tcW w:w="100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工业园</w:t>
            </w:r>
          </w:p>
        </w:tc>
        <w:tc>
          <w:tcPr>
            <w:tcW w:w="118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</w:p>
        </w:tc>
        <w:tc>
          <w:tcPr>
            <w:tcW w:w="128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</w:p>
        </w:tc>
        <w:tc>
          <w:tcPr>
            <w:tcW w:w="100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未知名</w:t>
            </w:r>
          </w:p>
        </w:tc>
        <w:tc>
          <w:tcPr>
            <w:tcW w:w="118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</w:p>
        </w:tc>
        <w:tc>
          <w:tcPr>
            <w:tcW w:w="128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（二）《2019年度光明区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产业用房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的市场租金指导价格表》是指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具体楼栋的市场租金指导价格（其中，生产用房分首层和非首层的价格，配套用房则为整栋一价）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发布形式如下：</w:t>
      </w:r>
    </w:p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706"/>
        <w:gridCol w:w="1275"/>
        <w:gridCol w:w="1237"/>
        <w:gridCol w:w="972"/>
        <w:gridCol w:w="1196"/>
        <w:gridCol w:w="945"/>
        <w:gridCol w:w="148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96" w:hRule="atLeast"/>
        </w:trPr>
        <w:tc>
          <w:tcPr>
            <w:tcW w:w="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街道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社区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园区名称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楼栋地址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楼栋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编码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产业用房租金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指导价格（元/㎡）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配套用房租金指导价格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（元/㎡）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1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首层</w:t>
            </w:r>
          </w:p>
        </w:tc>
        <w:tc>
          <w:tcPr>
            <w:tcW w:w="9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非首层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</w:p>
        </w:tc>
        <w:tc>
          <w:tcPr>
            <w:tcW w:w="70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工业园</w:t>
            </w:r>
          </w:p>
        </w:tc>
        <w:tc>
          <w:tcPr>
            <w:tcW w:w="12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工业园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栋</w:t>
            </w:r>
          </w:p>
        </w:tc>
        <w:tc>
          <w:tcPr>
            <w:tcW w:w="9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440306</w:t>
            </w: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×××××</w:t>
            </w:r>
          </w:p>
        </w:tc>
        <w:tc>
          <w:tcPr>
            <w:tcW w:w="11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</w:p>
        </w:tc>
        <w:tc>
          <w:tcPr>
            <w:tcW w:w="9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</w:p>
        </w:tc>
        <w:tc>
          <w:tcPr>
            <w:tcW w:w="70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未知名</w:t>
            </w:r>
          </w:p>
        </w:tc>
        <w:tc>
          <w:tcPr>
            <w:tcW w:w="12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路</w:t>
            </w: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号</w:t>
            </w:r>
          </w:p>
        </w:tc>
        <w:tc>
          <w:tcPr>
            <w:tcW w:w="9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440306</w:t>
            </w: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×××××</w:t>
            </w:r>
          </w:p>
        </w:tc>
        <w:tc>
          <w:tcPr>
            <w:tcW w:w="119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</w:p>
        </w:tc>
        <w:tc>
          <w:tcPr>
            <w:tcW w:w="9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××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三、市场租金指导价格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使用说明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（一）园区名称有曾用名、通俗名和现用名，建议使用表格中楼栋地址或楼栋编码精准查询租金指导价格。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（二）使用人可结合深圳市统一地址应用系统（网址：http://61.144.226.124:10000/AddressWeb/fullquery/toFullQueryWeb.go ）查找楼栋准确地理位置。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（三）产业用房租赁指导价格不包含以下建筑物的价格：</w:t>
      </w:r>
    </w:p>
    <w:p>
      <w:pPr>
        <w:numPr>
          <w:ilvl w:val="0"/>
          <w:numId w:val="0"/>
        </w:num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企业或个人自用房；</w:t>
      </w:r>
    </w:p>
    <w:p>
      <w:pPr>
        <w:numPr>
          <w:ilvl w:val="0"/>
          <w:numId w:val="0"/>
        </w:num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用于社会公共利益的配套设施（如政府部门办公场所、学校、医院、消防站、污水处理厂等）；</w:t>
      </w:r>
    </w:p>
    <w:p>
      <w:pPr>
        <w:numPr>
          <w:ilvl w:val="0"/>
          <w:numId w:val="0"/>
        </w:num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园区内非生产或生活的配电房、杂物间、门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卫室等小面积建筑物；</w:t>
      </w:r>
    </w:p>
    <w:p>
      <w:pPr>
        <w:numPr>
          <w:ilvl w:val="0"/>
          <w:numId w:val="0"/>
        </w:num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实际用途已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变更为商业等其他用途的建筑物。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因辖区产业用房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违法建筑量大面广、存量空间过于零散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、随意改变使用功能等较复杂的历史遗留问题，若有改变使用功能或自用的，则不再参照指导价格；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有遗漏的请参照周边园区租金指导价格。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市场租金指导价格排除强迫（续租）交易、租赁需求的紧迫性、租赁双方有特殊关系等主观因素影响的非转租价格。</w:t>
      </w:r>
    </w:p>
    <w:p>
      <w:pPr>
        <w:numPr>
          <w:ilvl w:val="0"/>
          <w:numId w:val="0"/>
        </w:num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四、市场租金指导价格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的适用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_GB2312" w:hAnsi="宋体" w:eastAsia="仿宋_GB2312"/>
          <w:sz w:val="32"/>
          <w:szCs w:val="32"/>
        </w:rPr>
        <w:t>引导</w:t>
      </w:r>
      <w:r>
        <w:rPr>
          <w:rFonts w:hint="eastAsia" w:ascii="仿宋_GB2312" w:eastAsia="仿宋_GB2312"/>
          <w:sz w:val="32"/>
          <w:szCs w:val="32"/>
        </w:rPr>
        <w:t>下列产</w:t>
      </w:r>
      <w:r>
        <w:rPr>
          <w:rFonts w:hint="eastAsia" w:ascii="仿宋_GB2312" w:hAnsi="宋体" w:eastAsia="仿宋_GB2312"/>
          <w:sz w:val="32"/>
          <w:szCs w:val="32"/>
        </w:rPr>
        <w:t>业用房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租赁价格</w:t>
      </w:r>
      <w:r>
        <w:rPr>
          <w:rFonts w:hint="eastAsia" w:ascii="仿宋_GB2312" w:hAnsi="宋体" w:eastAsia="仿宋_GB2312"/>
          <w:sz w:val="32"/>
          <w:szCs w:val="32"/>
        </w:rPr>
        <w:t>不高于最近年度发布的租金指导价格：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lang w:eastAsia="zh-CN"/>
        </w:rPr>
        <w:t>属</w:t>
      </w:r>
      <w:r>
        <w:rPr>
          <w:rFonts w:hint="eastAsia" w:ascii="仿宋_GB2312" w:hAnsi="Calibri" w:eastAsia="仿宋_GB2312"/>
          <w:sz w:val="32"/>
          <w:szCs w:val="32"/>
        </w:rPr>
        <w:t>国有企业</w:t>
      </w:r>
      <w:r>
        <w:rPr>
          <w:rFonts w:hint="eastAsia" w:ascii="仿宋_GB2312" w:eastAsia="仿宋_GB2312"/>
          <w:sz w:val="32"/>
          <w:szCs w:val="32"/>
          <w:lang w:eastAsia="zh-CN"/>
        </w:rPr>
        <w:t>、社区集体</w:t>
      </w:r>
      <w:r>
        <w:rPr>
          <w:rFonts w:hint="eastAsia" w:ascii="仿宋_GB2312" w:hAnsi="Calibri" w:eastAsia="仿宋_GB2312"/>
          <w:sz w:val="32"/>
          <w:szCs w:val="32"/>
        </w:rPr>
        <w:t>自有或运营的</w:t>
      </w:r>
      <w:r>
        <w:rPr>
          <w:rFonts w:hint="eastAsia" w:ascii="仿宋_GB2312" w:eastAsia="仿宋_GB2312"/>
          <w:sz w:val="32"/>
          <w:szCs w:val="32"/>
        </w:rPr>
        <w:t>产</w:t>
      </w:r>
      <w:r>
        <w:rPr>
          <w:rFonts w:hint="eastAsia" w:ascii="仿宋_GB2312" w:hAnsi="Calibri" w:eastAsia="仿宋_GB2312"/>
          <w:sz w:val="32"/>
          <w:szCs w:val="32"/>
        </w:rPr>
        <w:t>业用房；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财政投资及工业区综合整治时享受财政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补助</w:t>
      </w:r>
      <w:r>
        <w:rPr>
          <w:rFonts w:hint="eastAsia" w:ascii="仿宋_GB2312" w:hAnsi="Calibri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产</w:t>
      </w:r>
      <w:r>
        <w:rPr>
          <w:rFonts w:hint="eastAsia" w:ascii="仿宋_GB2312" w:hAnsi="Calibri" w:eastAsia="仿宋_GB2312"/>
          <w:sz w:val="32"/>
          <w:szCs w:val="32"/>
        </w:rPr>
        <w:t>业用房；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按规定完成</w:t>
      </w:r>
      <w:r>
        <w:rPr>
          <w:rFonts w:hint="eastAsia" w:ascii="仿宋_GB2312" w:eastAsia="仿宋_GB2312"/>
          <w:sz w:val="32"/>
          <w:szCs w:val="32"/>
        </w:rPr>
        <w:t>安全纳管或者依法没收</w:t>
      </w:r>
      <w:r>
        <w:rPr>
          <w:rFonts w:hint="eastAsia" w:ascii="仿宋_GB2312" w:hAnsi="Calibri" w:eastAsia="仿宋_GB2312"/>
          <w:sz w:val="32"/>
          <w:szCs w:val="32"/>
        </w:rPr>
        <w:t>的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原</w:t>
      </w:r>
      <w:r>
        <w:rPr>
          <w:rFonts w:hint="eastAsia" w:ascii="仿宋_GB2312" w:eastAsia="仿宋_GB2312"/>
          <w:sz w:val="32"/>
          <w:szCs w:val="32"/>
        </w:rPr>
        <w:t>农村城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化历史遗留产业类违法建筑。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Calibri" w:eastAsia="仿宋_GB2312"/>
          <w:sz w:val="32"/>
          <w:szCs w:val="32"/>
        </w:rPr>
        <w:t>引导其他各类产业用房租赁当事人合理约定租金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产业</w:t>
      </w:r>
      <w:r>
        <w:rPr>
          <w:rFonts w:hint="eastAsia" w:ascii="仿宋" w:hAnsi="仿宋" w:eastAsia="仿宋" w:cs="仿宋"/>
          <w:sz w:val="32"/>
          <w:szCs w:val="32"/>
        </w:rPr>
        <w:t>用房租赁市场主体在新签或续签租赁合同时，提供租金价格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指导。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引导</w:t>
      </w:r>
      <w:r>
        <w:rPr>
          <w:rFonts w:hint="eastAsia" w:ascii="仿宋_GB2312" w:hAnsi="宋体" w:eastAsia="仿宋_GB2312"/>
          <w:sz w:val="32"/>
          <w:szCs w:val="32"/>
        </w:rPr>
        <w:t>出租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人</w:t>
      </w:r>
      <w:r>
        <w:rPr>
          <w:rFonts w:ascii="仿宋_GB2312" w:hAnsi="宋体" w:eastAsia="仿宋_GB2312"/>
          <w:sz w:val="32"/>
          <w:szCs w:val="32"/>
        </w:rPr>
        <w:t>在</w:t>
      </w:r>
      <w:r>
        <w:rPr>
          <w:rFonts w:hint="eastAsia" w:ascii="仿宋_GB2312" w:hAnsi="宋体" w:eastAsia="仿宋_GB2312"/>
          <w:sz w:val="32"/>
          <w:szCs w:val="32"/>
        </w:rPr>
        <w:t>工业区或产业用房显著位</w:t>
      </w:r>
      <w:r>
        <w:rPr>
          <w:rFonts w:ascii="仿宋_GB2312" w:hAnsi="宋体" w:eastAsia="仿宋_GB2312"/>
          <w:sz w:val="32"/>
          <w:szCs w:val="32"/>
        </w:rPr>
        <w:t>置</w:t>
      </w:r>
      <w:r>
        <w:rPr>
          <w:rFonts w:hint="eastAsia" w:ascii="仿宋_GB2312" w:hAnsi="宋体" w:eastAsia="仿宋_GB2312"/>
          <w:sz w:val="32"/>
          <w:szCs w:val="32"/>
        </w:rPr>
        <w:t>竖立租赁公示牌，明确租金指导价格及其他收费事项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本市场租金指导价格不影响发布日之前已签订租赁合同的法律效力。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）本市场租金指导价格并不代表违法建筑合法化，也</w:t>
      </w:r>
      <w:r>
        <w:rPr>
          <w:rFonts w:hint="eastAsia" w:ascii="仿宋" w:hAnsi="仿宋" w:eastAsia="仿宋" w:cs="仿宋"/>
          <w:sz w:val="32"/>
          <w:szCs w:val="32"/>
        </w:rPr>
        <w:t>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得作为违法建筑进入租赁市场、允许租赁交易的证明文件等</w:t>
      </w:r>
      <w:r>
        <w:rPr>
          <w:rFonts w:hint="eastAsia" w:ascii="仿宋" w:hAnsi="仿宋" w:eastAsia="仿宋" w:cs="仿宋"/>
          <w:sz w:val="32"/>
          <w:szCs w:val="32"/>
        </w:rPr>
        <w:t>其他用途。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E3938"/>
    <w:rsid w:val="02AD101C"/>
    <w:rsid w:val="03867048"/>
    <w:rsid w:val="0657019B"/>
    <w:rsid w:val="094173D0"/>
    <w:rsid w:val="0A0A6B4F"/>
    <w:rsid w:val="0DD36BE9"/>
    <w:rsid w:val="10DC5C92"/>
    <w:rsid w:val="1113682D"/>
    <w:rsid w:val="13E15564"/>
    <w:rsid w:val="145A3E06"/>
    <w:rsid w:val="177609CA"/>
    <w:rsid w:val="17EC493F"/>
    <w:rsid w:val="18F0199D"/>
    <w:rsid w:val="1933189D"/>
    <w:rsid w:val="1A2C6298"/>
    <w:rsid w:val="1B042BBA"/>
    <w:rsid w:val="1F255F02"/>
    <w:rsid w:val="201177A2"/>
    <w:rsid w:val="20482BAA"/>
    <w:rsid w:val="21757375"/>
    <w:rsid w:val="220329E3"/>
    <w:rsid w:val="22452C7C"/>
    <w:rsid w:val="231D0D91"/>
    <w:rsid w:val="247F44A7"/>
    <w:rsid w:val="24D835EB"/>
    <w:rsid w:val="268C3E55"/>
    <w:rsid w:val="2A8A4927"/>
    <w:rsid w:val="2B820900"/>
    <w:rsid w:val="2D442B36"/>
    <w:rsid w:val="2D941CB0"/>
    <w:rsid w:val="31B12020"/>
    <w:rsid w:val="32126554"/>
    <w:rsid w:val="32924664"/>
    <w:rsid w:val="334A552E"/>
    <w:rsid w:val="340208C2"/>
    <w:rsid w:val="356F204C"/>
    <w:rsid w:val="35B07C9E"/>
    <w:rsid w:val="383D1EDD"/>
    <w:rsid w:val="397D4A7F"/>
    <w:rsid w:val="3A884D5D"/>
    <w:rsid w:val="3AE7740D"/>
    <w:rsid w:val="3B37796D"/>
    <w:rsid w:val="3F2C05DB"/>
    <w:rsid w:val="3FC30515"/>
    <w:rsid w:val="3FF163A1"/>
    <w:rsid w:val="45C06856"/>
    <w:rsid w:val="462B01C4"/>
    <w:rsid w:val="46562293"/>
    <w:rsid w:val="47310B03"/>
    <w:rsid w:val="49087282"/>
    <w:rsid w:val="4A2F4F3E"/>
    <w:rsid w:val="4CFD1C2B"/>
    <w:rsid w:val="4D77283C"/>
    <w:rsid w:val="528F11C4"/>
    <w:rsid w:val="52B96166"/>
    <w:rsid w:val="5307179B"/>
    <w:rsid w:val="55A12CB6"/>
    <w:rsid w:val="570E25C2"/>
    <w:rsid w:val="583211DD"/>
    <w:rsid w:val="595E7527"/>
    <w:rsid w:val="5C464A34"/>
    <w:rsid w:val="5C514118"/>
    <w:rsid w:val="5CE5446C"/>
    <w:rsid w:val="5FE9350A"/>
    <w:rsid w:val="60B04FFD"/>
    <w:rsid w:val="611D468E"/>
    <w:rsid w:val="6557089A"/>
    <w:rsid w:val="66CB680E"/>
    <w:rsid w:val="671E27A7"/>
    <w:rsid w:val="67CD49E6"/>
    <w:rsid w:val="68B3398B"/>
    <w:rsid w:val="69E71124"/>
    <w:rsid w:val="6A995D12"/>
    <w:rsid w:val="6C887F83"/>
    <w:rsid w:val="6CAB07F4"/>
    <w:rsid w:val="6D1841A7"/>
    <w:rsid w:val="6D954ACC"/>
    <w:rsid w:val="70AF00F3"/>
    <w:rsid w:val="70FF767A"/>
    <w:rsid w:val="74782FEB"/>
    <w:rsid w:val="74BA43BF"/>
    <w:rsid w:val="752E4862"/>
    <w:rsid w:val="75B0302C"/>
    <w:rsid w:val="78894F3A"/>
    <w:rsid w:val="78C76CB3"/>
    <w:rsid w:val="7E79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WW-Default"/>
    <w:qFormat/>
    <w:uiPriority w:val="0"/>
    <w:pPr>
      <w:widowControl w:val="0"/>
      <w:suppressAutoHyphens/>
      <w:autoSpaceDE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罗勇</cp:lastModifiedBy>
  <dcterms:modified xsi:type="dcterms:W3CDTF">2019-11-27T02:31:41Z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