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0" w:firstLineChars="0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</w:t>
      </w:r>
    </w:p>
    <w:p>
      <w:pPr>
        <w:widowControl/>
        <w:shd w:val="clear" w:color="auto" w:fill="FFFFFF"/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ind w:firstLine="440" w:firstLineChars="100"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光明区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产业配套宿舍定向配租评分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标准</w:t>
      </w:r>
    </w:p>
    <w:p>
      <w:pPr>
        <w:widowControl/>
        <w:numPr>
          <w:ilvl w:val="-1"/>
          <w:numId w:val="0"/>
        </w:numPr>
        <w:shd w:val="clear" w:color="auto" w:fill="FFFFFF"/>
        <w:spacing w:line="560" w:lineRule="exact"/>
        <w:ind w:firstLine="0" w:firstLineChars="0"/>
        <w:jc w:val="center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560" w:lineRule="exact"/>
        <w:ind w:firstLine="0"/>
        <w:jc w:val="left"/>
        <w:rPr>
          <w:rFonts w:hint="eastAsia" w:asciiTheme="majorEastAsia" w:hAnsiTheme="majorEastAsia" w:eastAsiaTheme="majorEastAsia" w:cstheme="majorEastAsia"/>
          <w:b/>
          <w:bCs w:val="0"/>
          <w:kern w:val="0"/>
          <w:sz w:val="22"/>
          <w:szCs w:val="22"/>
        </w:rPr>
      </w:pP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22"/>
          <w:szCs w:val="22"/>
        </w:rPr>
        <w:t>一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22"/>
          <w:szCs w:val="22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22"/>
          <w:szCs w:val="22"/>
        </w:rPr>
        <w:t>分类标准（符合其中一项即可）</w:t>
      </w:r>
    </w:p>
    <w:p>
      <w:pPr>
        <w:widowControl/>
        <w:shd w:val="clear" w:color="auto" w:fill="FFFFFF"/>
        <w:spacing w:line="560" w:lineRule="exact"/>
        <w:ind w:firstLine="440" w:firstLineChars="200"/>
        <w:jc w:val="left"/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1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上年度光明区纳税百强工业企业；</w:t>
      </w:r>
    </w:p>
    <w:p>
      <w:pPr>
        <w:widowControl/>
        <w:shd w:val="clear" w:color="auto" w:fill="FFFFFF"/>
        <w:spacing w:line="560" w:lineRule="exact"/>
        <w:ind w:firstLine="440" w:firstLineChars="200"/>
        <w:jc w:val="left"/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上年度光明区规上工业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  <w:lang w:val="en-US" w:eastAsia="zh-CN"/>
        </w:rPr>
        <w:t>增加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值300强企业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  <w:lang w:eastAsia="zh-CN"/>
        </w:rPr>
        <w:t>；</w:t>
      </w:r>
    </w:p>
    <w:p>
      <w:pPr>
        <w:widowControl/>
        <w:shd w:val="clear" w:color="auto" w:fill="FFFFFF"/>
        <w:spacing w:line="560" w:lineRule="exact"/>
        <w:ind w:firstLine="440" w:firstLineChars="200"/>
        <w:jc w:val="left"/>
        <w:rPr>
          <w:rFonts w:hint="default" w:asciiTheme="majorEastAsia" w:hAnsiTheme="majorEastAsia" w:eastAsiaTheme="majorEastAsia" w:cstheme="majorEastAsia"/>
          <w:kern w:val="0"/>
          <w:sz w:val="22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  <w:lang w:val="en-US" w:eastAsia="zh-CN"/>
        </w:rPr>
        <w:t>3.国家级高新技术企业；</w:t>
      </w:r>
    </w:p>
    <w:p>
      <w:pPr>
        <w:widowControl/>
        <w:shd w:val="clear" w:color="auto" w:fill="FFFFFF"/>
        <w:spacing w:line="560" w:lineRule="exact"/>
        <w:ind w:firstLine="442" w:firstLineChars="200"/>
        <w:jc w:val="left"/>
        <w:rPr>
          <w:rFonts w:hint="eastAsia" w:asciiTheme="majorEastAsia" w:hAnsiTheme="majorEastAsia" w:eastAsiaTheme="majorEastAsia" w:cstheme="majorEastAsia"/>
          <w:b/>
          <w:bCs w:val="0"/>
          <w:kern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22"/>
          <w:szCs w:val="22"/>
        </w:rPr>
        <w:t>二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22"/>
          <w:szCs w:val="22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22"/>
          <w:szCs w:val="22"/>
        </w:rPr>
        <w:t>申报条件（须同时具备）</w:t>
      </w:r>
    </w:p>
    <w:p>
      <w:pPr>
        <w:widowControl/>
        <w:shd w:val="clear" w:color="auto" w:fill="FFFFFF"/>
        <w:spacing w:line="560" w:lineRule="exact"/>
        <w:ind w:firstLine="440" w:firstLineChars="200"/>
        <w:jc w:val="left"/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1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工商注册、税务登记和统计关系均在光明区，并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承诺5年内不迁出；</w:t>
      </w:r>
    </w:p>
    <w:p>
      <w:pPr>
        <w:widowControl/>
        <w:shd w:val="clear" w:color="auto" w:fill="FFFFFF"/>
        <w:spacing w:line="560" w:lineRule="exact"/>
        <w:ind w:firstLine="440" w:firstLineChars="200"/>
        <w:jc w:val="left"/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2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申报类别符合上述企业分类标准；</w:t>
      </w:r>
    </w:p>
    <w:p>
      <w:pPr>
        <w:widowControl/>
        <w:shd w:val="clear" w:color="auto" w:fill="FFFFFF"/>
        <w:spacing w:line="560" w:lineRule="exact"/>
        <w:ind w:firstLine="440" w:firstLineChars="200"/>
        <w:jc w:val="left"/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3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在光明区上年度纳税达300万元或产值达1亿元以上（</w:t>
      </w:r>
      <w:r>
        <w:rPr>
          <w:rFonts w:hint="eastAsia" w:asciiTheme="majorEastAsia" w:hAnsiTheme="majorEastAsia" w:eastAsiaTheme="majorEastAsia" w:cstheme="majorEastAsia"/>
          <w:sz w:val="22"/>
          <w:szCs w:val="22"/>
        </w:rPr>
        <w:t>正常经营且正常填报统计报表的企业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）；</w:t>
      </w:r>
    </w:p>
    <w:p>
      <w:pPr>
        <w:widowControl/>
        <w:shd w:val="clear" w:color="auto" w:fill="FFFFFF"/>
        <w:spacing w:line="560" w:lineRule="exact"/>
        <w:ind w:firstLine="440" w:firstLineChars="200"/>
        <w:jc w:val="left"/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4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职工规模达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00人的企业或职工规模达30人的国家高新技术企业。</w:t>
      </w:r>
    </w:p>
    <w:p>
      <w:pPr>
        <w:widowControl/>
        <w:shd w:val="clear" w:color="auto" w:fill="FFFFFF"/>
        <w:spacing w:line="560" w:lineRule="exact"/>
        <w:ind w:firstLine="442" w:firstLineChars="200"/>
        <w:jc w:val="left"/>
        <w:rPr>
          <w:rFonts w:hint="eastAsia" w:asciiTheme="majorEastAsia" w:hAnsiTheme="majorEastAsia" w:eastAsiaTheme="majorEastAsia" w:cstheme="majorEastAsia"/>
          <w:b/>
          <w:bCs w:val="0"/>
          <w:kern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22"/>
          <w:szCs w:val="22"/>
        </w:rPr>
        <w:t>三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22"/>
          <w:szCs w:val="22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22"/>
          <w:szCs w:val="22"/>
        </w:rPr>
        <w:t>积分细则</w:t>
      </w:r>
    </w:p>
    <w:p>
      <w:pPr>
        <w:widowControl/>
        <w:shd w:val="clear" w:color="auto" w:fill="FFFFFF"/>
        <w:spacing w:line="560" w:lineRule="exact"/>
        <w:ind w:firstLine="440" w:firstLineChars="200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1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根据税收贡献、统计贡献、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2"/>
          <w:szCs w:val="22"/>
          <w:lang w:eastAsia="zh-CN"/>
        </w:rPr>
        <w:t>职工规模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2"/>
          <w:szCs w:val="22"/>
        </w:rPr>
        <w:t>三项指标，按权重比例计算出分值：税收贡献× 40%+统计贡献× 40%+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2"/>
          <w:szCs w:val="22"/>
          <w:lang w:eastAsia="zh-CN"/>
        </w:rPr>
        <w:t>职工规模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2"/>
          <w:szCs w:val="22"/>
        </w:rPr>
        <w:t>× 20%。</w:t>
      </w:r>
    </w:p>
    <w:p>
      <w:pPr>
        <w:widowControl/>
        <w:shd w:val="clear" w:color="auto" w:fill="FFFFFF"/>
        <w:spacing w:line="560" w:lineRule="exact"/>
        <w:ind w:firstLine="440" w:firstLineChars="200"/>
        <w:jc w:val="left"/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2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统计贡献计算方法：统计贡献 =排名加分（35分）+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  <w:lang w:val="en-US" w:eastAsia="zh-CN"/>
        </w:rPr>
        <w:t>增速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加分（4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分）+条件加分（2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分）（说明：排名、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  <w:lang w:val="en-US" w:eastAsia="zh-CN"/>
        </w:rPr>
        <w:t>增速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均以上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  <w:lang w:val="en-US" w:eastAsia="zh-CN"/>
        </w:rPr>
        <w:t>一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年度12月份“工业产销总值及主要产品产量（B204-1表）”数据为准）。</w:t>
      </w:r>
    </w:p>
    <w:p>
      <w:pPr>
        <w:widowControl/>
        <w:shd w:val="clear" w:color="auto" w:fill="FFFFFF"/>
        <w:spacing w:line="560" w:lineRule="exact"/>
        <w:ind w:firstLine="440" w:firstLineChars="200"/>
        <w:jc w:val="left"/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3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统计贡献排名由光明区统计部门提供，工业投资排名由光明区投资部门提供，企业在申报时无需填写。</w:t>
      </w:r>
    </w:p>
    <w:p>
      <w:pPr>
        <w:widowControl/>
        <w:shd w:val="clear" w:color="auto" w:fill="FFFFFF"/>
        <w:spacing w:line="560" w:lineRule="exact"/>
        <w:ind w:firstLine="440" w:firstLineChars="200"/>
        <w:jc w:val="left"/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4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税收贡献，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  <w:lang w:val="en-US" w:eastAsia="zh-CN"/>
        </w:rPr>
        <w:t>以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上一年度（1月1日-12月31日）税款缴纳时间为准，不考虑税款的所属期，含代扣代缴税费。</w:t>
      </w:r>
    </w:p>
    <w:p>
      <w:pPr>
        <w:widowControl/>
        <w:shd w:val="clear" w:color="auto" w:fill="FFFFFF"/>
        <w:spacing w:line="560" w:lineRule="exact"/>
        <w:ind w:firstLine="440" w:firstLineChars="200"/>
        <w:jc w:val="left"/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5</w:t>
      </w:r>
      <w:r>
        <w:rPr>
          <w:rFonts w:hint="eastAsia" w:asciiTheme="majorEastAsia" w:hAnsiTheme="majorEastAsia" w:eastAsiaTheme="majorEastAsia" w:cstheme="majorEastAsia"/>
          <w:color w:val="FF0000"/>
          <w:kern w:val="0"/>
          <w:sz w:val="22"/>
          <w:szCs w:val="22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2"/>
          <w:szCs w:val="22"/>
          <w:lang w:eastAsia="zh-CN"/>
        </w:rPr>
        <w:t>职工规模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2"/>
          <w:szCs w:val="22"/>
          <w:lang w:val="en-US"/>
        </w:rPr>
        <w:t>，</w:t>
      </w: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以通告日期社保登记为准。</w:t>
      </w:r>
    </w:p>
    <w:p>
      <w:pPr>
        <w:widowControl/>
        <w:shd w:val="clear" w:color="auto" w:fill="FFFFFF"/>
        <w:spacing w:line="560" w:lineRule="exact"/>
        <w:ind w:firstLine="440" w:firstLineChars="200"/>
        <w:jc w:val="left"/>
        <w:rPr>
          <w:rFonts w:hint="eastAsia" w:asciiTheme="majorEastAsia" w:hAnsiTheme="majorEastAsia" w:eastAsiaTheme="majorEastAsia" w:cstheme="majorEastAsia"/>
          <w:kern w:val="0"/>
          <w:sz w:val="22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  <w:lang w:val="en-US" w:eastAsia="zh-CN"/>
        </w:rPr>
        <w:t>6.分配房源时，优先考虑暂未享受光明区政策性用房的企业员工。</w:t>
      </w:r>
    </w:p>
    <w:p>
      <w:pPr>
        <w:widowControl/>
        <w:shd w:val="clear" w:color="auto" w:fill="FFFFFF"/>
        <w:spacing w:line="560" w:lineRule="exact"/>
        <w:ind w:firstLine="440" w:firstLineChars="200"/>
        <w:jc w:val="left"/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kern w:val="0"/>
          <w:sz w:val="22"/>
          <w:szCs w:val="22"/>
        </w:rPr>
        <w:t>具体细则如下：</w:t>
      </w:r>
    </w:p>
    <w:tbl>
      <w:tblPr>
        <w:tblStyle w:val="5"/>
        <w:tblW w:w="9180" w:type="dxa"/>
        <w:tblInd w:w="-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260"/>
        <w:gridCol w:w="6300"/>
        <w:gridCol w:w="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6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2"/>
                <w:szCs w:val="22"/>
              </w:rPr>
              <w:t>积分说明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2"/>
                <w:szCs w:val="22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税收贡献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在光明区纳税达300万元，得40分；纳税额每增加100万元加1分。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统计贡献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（1）区内加分计算：根据企业在本区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的工业增加值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年度排名，</w:t>
            </w:r>
          </w:p>
          <w:p>
            <w:pPr>
              <w:widowControl/>
              <w:shd w:val="clear" w:color="auto" w:fill="FFFFFF"/>
              <w:spacing w:line="560" w:lineRule="exact"/>
              <w:ind w:firstLine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①区内排名前10的工业企业加35分；</w:t>
            </w:r>
          </w:p>
          <w:p>
            <w:pPr>
              <w:widowControl/>
              <w:shd w:val="clear" w:color="auto" w:fill="FFFFFF"/>
              <w:spacing w:line="560" w:lineRule="exact"/>
              <w:ind w:firstLine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②区内排名11-50的工业企业加30分；</w:t>
            </w:r>
          </w:p>
          <w:p>
            <w:pPr>
              <w:widowControl/>
              <w:shd w:val="clear" w:color="auto" w:fill="FFFFFF"/>
              <w:spacing w:line="560" w:lineRule="exact"/>
              <w:ind w:firstLine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③区内排名51-100的工业企业加25分；</w:t>
            </w:r>
          </w:p>
          <w:p>
            <w:pPr>
              <w:widowControl/>
              <w:shd w:val="clear" w:color="auto" w:fill="FFFFFF"/>
              <w:spacing w:line="560" w:lineRule="exact"/>
              <w:ind w:firstLine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④区内排名101-200的工业企业加20分；</w:t>
            </w:r>
          </w:p>
          <w:p>
            <w:pPr>
              <w:widowControl/>
              <w:shd w:val="clear" w:color="auto" w:fill="FFFFFF"/>
              <w:spacing w:line="560" w:lineRule="exact"/>
              <w:ind w:firstLine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⑤区内排名201-300的工业企业加15分。</w:t>
            </w:r>
          </w:p>
          <w:p>
            <w:pPr>
              <w:widowControl/>
              <w:shd w:val="clear" w:color="auto" w:fill="FFFFFF"/>
              <w:spacing w:line="560" w:lineRule="exact"/>
              <w:ind w:firstLine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（2）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工业增加值增速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加分计算：</w:t>
            </w:r>
          </w:p>
          <w:p>
            <w:pPr>
              <w:widowControl/>
              <w:shd w:val="clear" w:color="auto" w:fill="FFFFFF"/>
              <w:spacing w:line="560" w:lineRule="exact"/>
              <w:ind w:firstLine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①区内排名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前50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的工业企业：</w:t>
            </w:r>
          </w:p>
          <w:p>
            <w:pPr>
              <w:widowControl/>
              <w:shd w:val="clear" w:color="auto" w:fill="FFFFFF"/>
              <w:spacing w:line="560" w:lineRule="exact"/>
              <w:ind w:firstLine="440" w:firstLineChars="20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增速达20%及以上的，加45分；</w:t>
            </w:r>
          </w:p>
          <w:p>
            <w:pPr>
              <w:widowControl/>
              <w:shd w:val="clear" w:color="auto" w:fill="FFFFFF"/>
              <w:spacing w:line="560" w:lineRule="exact"/>
              <w:ind w:firstLine="440" w:firstLineChars="20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增速达15%及以上的，加40分；</w:t>
            </w:r>
          </w:p>
          <w:p>
            <w:pPr>
              <w:widowControl/>
              <w:shd w:val="clear" w:color="auto" w:fill="FFFFFF"/>
              <w:spacing w:line="560" w:lineRule="exact"/>
              <w:ind w:firstLine="440" w:firstLineChars="20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增速达10%以上的，加35分；</w:t>
            </w:r>
          </w:p>
          <w:p>
            <w:pPr>
              <w:widowControl/>
              <w:shd w:val="clear" w:color="auto" w:fill="FFFFFF"/>
              <w:spacing w:line="560" w:lineRule="exact"/>
              <w:ind w:firstLine="440" w:firstLineChars="20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增速达5%以上的，加30分；</w:t>
            </w:r>
          </w:p>
          <w:p>
            <w:pPr>
              <w:widowControl/>
              <w:shd w:val="clear" w:color="auto" w:fill="FFFFFF"/>
              <w:spacing w:line="560" w:lineRule="exact"/>
              <w:ind w:firstLine="440" w:firstLineChars="20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增速正增长但不足5%的，加25分。</w:t>
            </w:r>
          </w:p>
          <w:p>
            <w:pPr>
              <w:widowControl/>
              <w:shd w:val="clear" w:color="auto" w:fill="FFFFFF"/>
              <w:spacing w:line="560" w:lineRule="exact"/>
              <w:ind w:firstLine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②区内排名51-100的工业企业：</w:t>
            </w:r>
          </w:p>
          <w:p>
            <w:pPr>
              <w:widowControl/>
              <w:shd w:val="clear" w:color="auto" w:fill="FFFFFF"/>
              <w:spacing w:line="560" w:lineRule="exact"/>
              <w:ind w:firstLine="440" w:firstLineChars="20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增速达30%及以上的，加40分；</w:t>
            </w:r>
          </w:p>
          <w:p>
            <w:pPr>
              <w:widowControl/>
              <w:shd w:val="clear" w:color="auto" w:fill="FFFFFF"/>
              <w:spacing w:line="560" w:lineRule="exact"/>
              <w:ind w:firstLine="440" w:firstLineChars="20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增速达20%及以上的，加35分；</w:t>
            </w:r>
          </w:p>
          <w:p>
            <w:pPr>
              <w:widowControl/>
              <w:shd w:val="clear" w:color="auto" w:fill="FFFFFF"/>
              <w:spacing w:line="560" w:lineRule="exact"/>
              <w:ind w:firstLine="440" w:firstLineChars="20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增速达10%及以上的，加30分；</w:t>
            </w:r>
          </w:p>
          <w:p>
            <w:pPr>
              <w:widowControl/>
              <w:shd w:val="clear" w:color="auto" w:fill="FFFFFF"/>
              <w:spacing w:line="560" w:lineRule="exact"/>
              <w:ind w:firstLine="440" w:firstLineChars="200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增速达5%及以上的，加25分；</w:t>
            </w:r>
          </w:p>
          <w:p>
            <w:pPr>
              <w:widowControl/>
              <w:shd w:val="clear" w:color="auto" w:fill="FFFFFF"/>
              <w:spacing w:line="560" w:lineRule="exact"/>
              <w:ind w:firstLine="440" w:firstLineChars="20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增速正增长但不足5%的，加20分。</w:t>
            </w:r>
          </w:p>
          <w:p>
            <w:pPr>
              <w:widowControl/>
              <w:shd w:val="clear" w:color="auto" w:fill="FFFFFF"/>
              <w:spacing w:line="56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③区内排名101-200的工业企业：</w:t>
            </w:r>
          </w:p>
          <w:p>
            <w:pPr>
              <w:widowControl/>
              <w:shd w:val="clear" w:color="auto" w:fill="FFFFFF"/>
              <w:spacing w:line="56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 xml:space="preserve">    增速达40%及以上的，加35分；</w:t>
            </w:r>
          </w:p>
          <w:p>
            <w:pPr>
              <w:widowControl/>
              <w:shd w:val="clear" w:color="auto" w:fill="FFFFFF"/>
              <w:spacing w:line="560" w:lineRule="exact"/>
              <w:ind w:firstLine="44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增速达30%及以上的，加30分；</w:t>
            </w:r>
          </w:p>
          <w:p>
            <w:pPr>
              <w:widowControl/>
              <w:shd w:val="clear" w:color="auto" w:fill="FFFFFF"/>
              <w:spacing w:line="560" w:lineRule="exact"/>
              <w:ind w:firstLine="44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增速达20%及以上的，加25分；</w:t>
            </w:r>
          </w:p>
          <w:p>
            <w:pPr>
              <w:widowControl/>
              <w:shd w:val="clear" w:color="auto" w:fill="FFFFFF"/>
              <w:spacing w:line="560" w:lineRule="exact"/>
              <w:ind w:firstLine="44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增速达10%及以上的，加20分；</w:t>
            </w:r>
          </w:p>
          <w:p>
            <w:pPr>
              <w:widowControl/>
              <w:shd w:val="clear" w:color="auto" w:fill="FFFFFF"/>
              <w:spacing w:line="560" w:lineRule="exact"/>
              <w:ind w:firstLine="44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增速正增长但不足10%的，加15分。</w:t>
            </w:r>
          </w:p>
          <w:p>
            <w:pPr>
              <w:widowControl/>
              <w:shd w:val="clear" w:color="auto" w:fill="FFFFFF"/>
              <w:spacing w:line="56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④区内排名201-300的工业企业：</w:t>
            </w:r>
          </w:p>
          <w:p>
            <w:pPr>
              <w:widowControl/>
              <w:shd w:val="clear" w:color="auto" w:fill="FFFFFF"/>
              <w:spacing w:line="56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 xml:space="preserve">    增速达50%及以上的，加30分；</w:t>
            </w:r>
          </w:p>
          <w:p>
            <w:pPr>
              <w:widowControl/>
              <w:shd w:val="clear" w:color="auto" w:fill="FFFFFF"/>
              <w:spacing w:line="56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 xml:space="preserve">    增速达40%及以上的，加25分；</w:t>
            </w:r>
          </w:p>
          <w:p>
            <w:pPr>
              <w:widowControl/>
              <w:shd w:val="clear" w:color="auto" w:fill="FFFFFF"/>
              <w:spacing w:line="56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 xml:space="preserve">    增速达30%及以上的，加20分；</w:t>
            </w:r>
          </w:p>
          <w:p>
            <w:pPr>
              <w:widowControl/>
              <w:shd w:val="clear" w:color="auto" w:fill="FFFFFF"/>
              <w:spacing w:line="56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 xml:space="preserve">    增速达20%及以上的，加15分；</w:t>
            </w:r>
          </w:p>
          <w:p>
            <w:pPr>
              <w:widowControl/>
              <w:shd w:val="clear" w:color="auto" w:fill="FFFFFF"/>
              <w:spacing w:line="56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 xml:space="preserve">    增速正增长但不足20%的，加10分。</w:t>
            </w:r>
          </w:p>
          <w:p>
            <w:pPr>
              <w:widowControl/>
              <w:shd w:val="clear" w:color="auto" w:fill="FFFFFF"/>
              <w:spacing w:line="56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⑤区内排名300名以后的工业企业：</w:t>
            </w:r>
          </w:p>
          <w:p>
            <w:pPr>
              <w:widowControl/>
              <w:shd w:val="clear" w:color="auto" w:fill="FFFFFF"/>
              <w:spacing w:line="560" w:lineRule="exact"/>
              <w:ind w:firstLine="44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增速达60%及以上的，加25分；</w:t>
            </w:r>
          </w:p>
          <w:p>
            <w:pPr>
              <w:widowControl/>
              <w:shd w:val="clear" w:color="auto" w:fill="FFFFFF"/>
              <w:spacing w:line="560" w:lineRule="exact"/>
              <w:ind w:firstLine="44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增速达50%及以上的，加20分；</w:t>
            </w:r>
          </w:p>
          <w:p>
            <w:pPr>
              <w:widowControl/>
              <w:shd w:val="clear" w:color="auto" w:fill="FFFFFF"/>
              <w:spacing w:line="560" w:lineRule="exact"/>
              <w:ind w:firstLine="44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增速达40%及以上的，加15分；</w:t>
            </w:r>
          </w:p>
          <w:p>
            <w:pPr>
              <w:widowControl/>
              <w:shd w:val="clear" w:color="auto" w:fill="FFFFFF"/>
              <w:spacing w:line="560" w:lineRule="exact"/>
              <w:ind w:firstLine="44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增速达30%及以上的，加10分；</w:t>
            </w:r>
          </w:p>
          <w:p>
            <w:pPr>
              <w:widowControl/>
              <w:shd w:val="clear" w:color="auto" w:fill="FFFFFF"/>
              <w:spacing w:line="560" w:lineRule="exact"/>
              <w:ind w:firstLine="44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增速正增长但不足30%的，加5分。</w:t>
            </w:r>
          </w:p>
          <w:p>
            <w:pPr>
              <w:widowControl/>
              <w:shd w:val="clear" w:color="auto" w:fill="FFFFFF"/>
              <w:spacing w:line="560" w:lineRule="exact"/>
              <w:ind w:firstLine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（3）条件加分计算：</w:t>
            </w:r>
          </w:p>
          <w:p>
            <w:pPr>
              <w:widowControl/>
              <w:shd w:val="clear" w:color="auto" w:fill="FFFFFF"/>
              <w:spacing w:line="560" w:lineRule="exact"/>
              <w:ind w:firstLine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①在上交所、深交所上市（含中小板、创业板）及海外主要资本市场主板和创业板上市的光明辖区企业，加10分；</w:t>
            </w:r>
          </w:p>
          <w:p>
            <w:pPr>
              <w:widowControl/>
              <w:shd w:val="clear" w:color="auto" w:fill="FFFFFF"/>
              <w:spacing w:line="560" w:lineRule="exact"/>
              <w:ind w:firstLine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②上年度工业投资20强企业，加10分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eastAsia="zh-CN"/>
              </w:rPr>
              <w:t>职工规模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eastAsia="zh-CN"/>
              </w:rPr>
              <w:t>职工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  <w:t>规模：</w:t>
            </w:r>
          </w:p>
          <w:p>
            <w:pPr>
              <w:widowControl/>
              <w:spacing w:line="560" w:lineRule="exact"/>
              <w:ind w:firstLine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  <w:t>①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eastAsia="zh-CN"/>
              </w:rPr>
              <w:t>职工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  <w:t>规模达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200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  <w:t>人的企业或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eastAsia="zh-CN"/>
              </w:rPr>
              <w:t>职工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  <w:t>规模达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  <w:t>人的国家高新技术企业，得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  <w:t>0分（同时符合，按国家高新技术企业标准积分）；</w:t>
            </w:r>
          </w:p>
          <w:p>
            <w:pPr>
              <w:widowControl/>
              <w:spacing w:line="56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  <w:t>②企业每增加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eastAsia="zh-CN"/>
              </w:rPr>
              <w:t>职工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  <w:t>1人，加0.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</w:rPr>
              <w:t>分。</w:t>
            </w:r>
          </w:p>
          <w:p>
            <w:pPr>
              <w:widowControl/>
              <w:spacing w:line="560" w:lineRule="exact"/>
              <w:ind w:firstLine="0" w:firstLineChars="0"/>
              <w:jc w:val="left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2"/>
                <w:szCs w:val="22"/>
                <w:lang w:val="en-US" w:eastAsia="zh-CN"/>
              </w:rPr>
              <w:t>满分100分为上限。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9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总积分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计算方法：A×40%+B×40%+C×20%</w:t>
            </w:r>
          </w:p>
          <w:p>
            <w:pPr>
              <w:widowControl/>
              <w:spacing w:line="560" w:lineRule="exact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(总分相等的企业按上年度纳税金额高低排序)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shd w:val="clear" w:color="auto" w:fill="FFFFFF"/>
        <w:spacing w:line="560" w:lineRule="exact"/>
        <w:ind w:firstLine="442" w:firstLineChars="200"/>
        <w:jc w:val="left"/>
        <w:rPr>
          <w:rFonts w:hint="eastAsia" w:asciiTheme="majorEastAsia" w:hAnsiTheme="majorEastAsia" w:eastAsiaTheme="majorEastAsia" w:cstheme="majorEastAsia"/>
          <w:b/>
          <w:kern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22"/>
          <w:szCs w:val="22"/>
        </w:rPr>
        <w:t>四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22"/>
          <w:szCs w:val="22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22"/>
          <w:szCs w:val="22"/>
        </w:rPr>
        <w:t>申报材料</w:t>
      </w:r>
    </w:p>
    <w:tbl>
      <w:tblPr>
        <w:tblStyle w:val="5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5113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1" w:type="dxa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5113" w:type="dxa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ind w:firstLine="48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ind w:firstLine="48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2"/>
                <w:szCs w:val="22"/>
              </w:rPr>
              <w:t>材料形式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113" w:type="dxa"/>
            <w:vAlign w:val="center"/>
          </w:tcPr>
          <w:p>
            <w:pPr>
              <w:spacing w:line="560" w:lineRule="exac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光明区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产业配套宿舍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配租申报表</w:t>
            </w:r>
          </w:p>
        </w:tc>
        <w:tc>
          <w:tcPr>
            <w:tcW w:w="31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盖章后扫描上传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5113" w:type="dxa"/>
            <w:vAlign w:val="center"/>
          </w:tcPr>
          <w:p>
            <w:pPr>
              <w:spacing w:line="560" w:lineRule="exac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三证合一新版营业执照（未换领三证合一新版营业执照的，提交原旧版营业执照、组织机构代码证书、税务登记证书）、法定代表人（或非法人企业负责人）身份证复印件</w:t>
            </w:r>
          </w:p>
        </w:tc>
        <w:tc>
          <w:tcPr>
            <w:tcW w:w="31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盖章后扫描上传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5113" w:type="dxa"/>
            <w:vAlign w:val="center"/>
          </w:tcPr>
          <w:p>
            <w:pPr>
              <w:spacing w:line="560" w:lineRule="exac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上年度的纳税证明（1月1日至12月31日）</w:t>
            </w:r>
          </w:p>
        </w:tc>
        <w:tc>
          <w:tcPr>
            <w:tcW w:w="31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盖章后扫描上传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113" w:type="dxa"/>
            <w:vAlign w:val="center"/>
          </w:tcPr>
          <w:p>
            <w:pPr>
              <w:spacing w:line="560" w:lineRule="exac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eastAsia="zh-CN"/>
              </w:rPr>
              <w:t>职工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规模情况说明及相关证明文件（社保缴纳记录）</w:t>
            </w:r>
          </w:p>
        </w:tc>
        <w:tc>
          <w:tcPr>
            <w:tcW w:w="31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盖章后扫描上传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113" w:type="dxa"/>
            <w:vAlign w:val="center"/>
          </w:tcPr>
          <w:p>
            <w:pPr>
              <w:spacing w:line="560" w:lineRule="exact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上年度12月份统计上报系统中带有水印的工业产销总值及主要产品产量表（B204-1表）</w:t>
            </w:r>
          </w:p>
        </w:tc>
        <w:tc>
          <w:tcPr>
            <w:tcW w:w="31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盖章后扫描上传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442" w:firstLineChars="200"/>
        <w:jc w:val="left"/>
        <w:rPr>
          <w:rFonts w:hint="eastAsia" w:asciiTheme="majorEastAsia" w:hAnsiTheme="majorEastAsia" w:eastAsiaTheme="majorEastAsia" w:cstheme="majorEastAsia"/>
          <w:b/>
          <w:bCs w:val="0"/>
          <w:kern w:val="0"/>
          <w:sz w:val="22"/>
          <w:szCs w:val="2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22"/>
          <w:szCs w:val="22"/>
        </w:rPr>
        <w:t>五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22"/>
          <w:szCs w:val="22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22"/>
          <w:szCs w:val="22"/>
        </w:rPr>
        <w:t>配额上限</w:t>
      </w:r>
    </w:p>
    <w:tbl>
      <w:tblPr>
        <w:tblStyle w:val="5"/>
        <w:tblW w:w="8618" w:type="dxa"/>
        <w:tblInd w:w="-2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1710"/>
        <w:gridCol w:w="2985"/>
        <w:gridCol w:w="27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2"/>
                <w:szCs w:val="22"/>
              </w:rPr>
              <w:t>档次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2"/>
                <w:szCs w:val="22"/>
              </w:rPr>
              <w:t>工业企业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2"/>
                <w:szCs w:val="22"/>
              </w:rPr>
              <w:t>分配标准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2"/>
                <w:szCs w:val="22"/>
              </w:rPr>
              <w:t>配租配额上限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第一档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税收5000万元以上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eastAsia="zh-CN"/>
              </w:rPr>
              <w:t>，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且分数90分以上。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200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套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第二档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税收2500万元以上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eastAsia="zh-CN"/>
              </w:rPr>
              <w:t>，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且分数70分以上。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100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套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第三档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税收1000万元以上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eastAsia="zh-CN"/>
              </w:rPr>
              <w:t>，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且分数55分以上。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套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第四档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税收600万元以上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eastAsia="zh-CN"/>
              </w:rPr>
              <w:t>，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且分数50分以上。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0套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第五档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税收300万元以上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eastAsia="zh-CN"/>
              </w:rPr>
              <w:t>，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且分数45分以上。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套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</w:tbl>
    <w:p>
      <w:pPr>
        <w:widowControl/>
        <w:numPr>
          <w:ilvl w:val="-1"/>
          <w:numId w:val="0"/>
        </w:numPr>
        <w:spacing w:line="560" w:lineRule="exact"/>
        <w:ind w:firstLine="440" w:firstLineChars="200"/>
        <w:jc w:val="left"/>
        <w:rPr>
          <w:rFonts w:hint="default" w:asciiTheme="majorEastAsia" w:hAnsiTheme="majorEastAsia" w:eastAsiaTheme="majorEastAsia" w:cstheme="majorEastAsia"/>
          <w:kern w:val="0"/>
          <w:sz w:val="22"/>
          <w:szCs w:val="2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61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37D14"/>
    <w:rsid w:val="0001326B"/>
    <w:rsid w:val="000315D0"/>
    <w:rsid w:val="000A0DE4"/>
    <w:rsid w:val="00105238"/>
    <w:rsid w:val="00106DD6"/>
    <w:rsid w:val="0018287A"/>
    <w:rsid w:val="001A629C"/>
    <w:rsid w:val="001B122B"/>
    <w:rsid w:val="001B1FBA"/>
    <w:rsid w:val="001C55A9"/>
    <w:rsid w:val="001E1FD5"/>
    <w:rsid w:val="001E4525"/>
    <w:rsid w:val="001E4921"/>
    <w:rsid w:val="001F0095"/>
    <w:rsid w:val="00204AF6"/>
    <w:rsid w:val="00211A7A"/>
    <w:rsid w:val="00280BDF"/>
    <w:rsid w:val="002B31FE"/>
    <w:rsid w:val="002C5D0C"/>
    <w:rsid w:val="002F0882"/>
    <w:rsid w:val="002F2AC4"/>
    <w:rsid w:val="003A1CDE"/>
    <w:rsid w:val="003B6919"/>
    <w:rsid w:val="003C1AA0"/>
    <w:rsid w:val="003C754E"/>
    <w:rsid w:val="003D5464"/>
    <w:rsid w:val="003F7349"/>
    <w:rsid w:val="00447E28"/>
    <w:rsid w:val="00464F07"/>
    <w:rsid w:val="004A0624"/>
    <w:rsid w:val="004B0F0F"/>
    <w:rsid w:val="004B4832"/>
    <w:rsid w:val="004C3B66"/>
    <w:rsid w:val="004D57C1"/>
    <w:rsid w:val="004E7725"/>
    <w:rsid w:val="00524FD6"/>
    <w:rsid w:val="005737FF"/>
    <w:rsid w:val="005A4CEC"/>
    <w:rsid w:val="005B0674"/>
    <w:rsid w:val="005B126A"/>
    <w:rsid w:val="005B27F5"/>
    <w:rsid w:val="005C4595"/>
    <w:rsid w:val="005D15B6"/>
    <w:rsid w:val="005E413A"/>
    <w:rsid w:val="005E7C59"/>
    <w:rsid w:val="005F1445"/>
    <w:rsid w:val="005F6070"/>
    <w:rsid w:val="006715E7"/>
    <w:rsid w:val="00675683"/>
    <w:rsid w:val="00690EAD"/>
    <w:rsid w:val="006A7F97"/>
    <w:rsid w:val="006E3624"/>
    <w:rsid w:val="00703845"/>
    <w:rsid w:val="00725A86"/>
    <w:rsid w:val="00775920"/>
    <w:rsid w:val="007A5901"/>
    <w:rsid w:val="007C2AD8"/>
    <w:rsid w:val="007D6FAD"/>
    <w:rsid w:val="007E5679"/>
    <w:rsid w:val="008023C1"/>
    <w:rsid w:val="00804B08"/>
    <w:rsid w:val="00815DDD"/>
    <w:rsid w:val="008220D1"/>
    <w:rsid w:val="008377C5"/>
    <w:rsid w:val="00867AA2"/>
    <w:rsid w:val="00867F8C"/>
    <w:rsid w:val="00872616"/>
    <w:rsid w:val="00873D47"/>
    <w:rsid w:val="00874175"/>
    <w:rsid w:val="0088316C"/>
    <w:rsid w:val="008B590F"/>
    <w:rsid w:val="008D6046"/>
    <w:rsid w:val="009116A8"/>
    <w:rsid w:val="00944D97"/>
    <w:rsid w:val="00983C5A"/>
    <w:rsid w:val="009F707B"/>
    <w:rsid w:val="00A15C96"/>
    <w:rsid w:val="00A20DA4"/>
    <w:rsid w:val="00A311DF"/>
    <w:rsid w:val="00A54E87"/>
    <w:rsid w:val="00A64F3C"/>
    <w:rsid w:val="00A65B55"/>
    <w:rsid w:val="00A67A80"/>
    <w:rsid w:val="00A9184F"/>
    <w:rsid w:val="00A950DC"/>
    <w:rsid w:val="00A952C3"/>
    <w:rsid w:val="00AB0597"/>
    <w:rsid w:val="00AF597E"/>
    <w:rsid w:val="00AF5F1B"/>
    <w:rsid w:val="00B54934"/>
    <w:rsid w:val="00B67901"/>
    <w:rsid w:val="00B70CE7"/>
    <w:rsid w:val="00BC31B3"/>
    <w:rsid w:val="00BC7FE0"/>
    <w:rsid w:val="00BF3912"/>
    <w:rsid w:val="00BF558C"/>
    <w:rsid w:val="00C065E1"/>
    <w:rsid w:val="00C16A0D"/>
    <w:rsid w:val="00C253A1"/>
    <w:rsid w:val="00C27F5D"/>
    <w:rsid w:val="00C30CEA"/>
    <w:rsid w:val="00C315C9"/>
    <w:rsid w:val="00C35503"/>
    <w:rsid w:val="00C47E16"/>
    <w:rsid w:val="00C617BD"/>
    <w:rsid w:val="00C731FF"/>
    <w:rsid w:val="00C94B41"/>
    <w:rsid w:val="00C96A07"/>
    <w:rsid w:val="00CD0C00"/>
    <w:rsid w:val="00CE6639"/>
    <w:rsid w:val="00D03995"/>
    <w:rsid w:val="00D03A51"/>
    <w:rsid w:val="00D164FB"/>
    <w:rsid w:val="00D37DD5"/>
    <w:rsid w:val="00D45A8F"/>
    <w:rsid w:val="00D67F27"/>
    <w:rsid w:val="00D77722"/>
    <w:rsid w:val="00DB073F"/>
    <w:rsid w:val="00DB2C20"/>
    <w:rsid w:val="00DB49A2"/>
    <w:rsid w:val="00DC4C46"/>
    <w:rsid w:val="00DD2B18"/>
    <w:rsid w:val="00DD322C"/>
    <w:rsid w:val="00E22150"/>
    <w:rsid w:val="00E2514D"/>
    <w:rsid w:val="00EA2CB9"/>
    <w:rsid w:val="00EB3BDB"/>
    <w:rsid w:val="00ED5E14"/>
    <w:rsid w:val="00EE5964"/>
    <w:rsid w:val="00EE79C7"/>
    <w:rsid w:val="00EF000A"/>
    <w:rsid w:val="00F02EAA"/>
    <w:rsid w:val="00F430EC"/>
    <w:rsid w:val="00F46AAC"/>
    <w:rsid w:val="00F476CE"/>
    <w:rsid w:val="00F60004"/>
    <w:rsid w:val="00F66943"/>
    <w:rsid w:val="00FB037F"/>
    <w:rsid w:val="00FB1181"/>
    <w:rsid w:val="00FB5754"/>
    <w:rsid w:val="00FC3374"/>
    <w:rsid w:val="00FD250A"/>
    <w:rsid w:val="00FE20F3"/>
    <w:rsid w:val="00FF3193"/>
    <w:rsid w:val="01046C67"/>
    <w:rsid w:val="01445FBC"/>
    <w:rsid w:val="01544E27"/>
    <w:rsid w:val="01A22CFA"/>
    <w:rsid w:val="01ED7A75"/>
    <w:rsid w:val="02AD006D"/>
    <w:rsid w:val="02AE6EB4"/>
    <w:rsid w:val="043A3CE1"/>
    <w:rsid w:val="04423763"/>
    <w:rsid w:val="0452588F"/>
    <w:rsid w:val="049508D5"/>
    <w:rsid w:val="05A232D4"/>
    <w:rsid w:val="05A93284"/>
    <w:rsid w:val="067604CD"/>
    <w:rsid w:val="068A57E3"/>
    <w:rsid w:val="06D22BE0"/>
    <w:rsid w:val="070C5529"/>
    <w:rsid w:val="07C61AB3"/>
    <w:rsid w:val="07D03F55"/>
    <w:rsid w:val="09384BF2"/>
    <w:rsid w:val="098C79F1"/>
    <w:rsid w:val="0A3D727D"/>
    <w:rsid w:val="0A895B5E"/>
    <w:rsid w:val="0ADD0F4C"/>
    <w:rsid w:val="0AFC534A"/>
    <w:rsid w:val="0CAC4859"/>
    <w:rsid w:val="0D2B34CB"/>
    <w:rsid w:val="0DA64829"/>
    <w:rsid w:val="0DF3267C"/>
    <w:rsid w:val="0EAE0691"/>
    <w:rsid w:val="0F6D7084"/>
    <w:rsid w:val="0F8D1E29"/>
    <w:rsid w:val="0FB71C2C"/>
    <w:rsid w:val="0FEF58C8"/>
    <w:rsid w:val="10950D8A"/>
    <w:rsid w:val="10D55B67"/>
    <w:rsid w:val="111D1E8A"/>
    <w:rsid w:val="126E4937"/>
    <w:rsid w:val="138D68B9"/>
    <w:rsid w:val="140C0CEC"/>
    <w:rsid w:val="15547D16"/>
    <w:rsid w:val="15BB1C9B"/>
    <w:rsid w:val="15BE5F41"/>
    <w:rsid w:val="15F76CC4"/>
    <w:rsid w:val="16094403"/>
    <w:rsid w:val="173D1122"/>
    <w:rsid w:val="181B6D41"/>
    <w:rsid w:val="18D5057D"/>
    <w:rsid w:val="18E25DE8"/>
    <w:rsid w:val="1A17724F"/>
    <w:rsid w:val="1AB77D9A"/>
    <w:rsid w:val="1B5C67E6"/>
    <w:rsid w:val="1BB51E17"/>
    <w:rsid w:val="1BC46D1C"/>
    <w:rsid w:val="1EA34D01"/>
    <w:rsid w:val="1EE66B49"/>
    <w:rsid w:val="20051F7A"/>
    <w:rsid w:val="212F0C57"/>
    <w:rsid w:val="2145793C"/>
    <w:rsid w:val="22551723"/>
    <w:rsid w:val="229029C1"/>
    <w:rsid w:val="233877B7"/>
    <w:rsid w:val="242B0825"/>
    <w:rsid w:val="253D716A"/>
    <w:rsid w:val="25E454DA"/>
    <w:rsid w:val="26A81D23"/>
    <w:rsid w:val="26B5560A"/>
    <w:rsid w:val="26DE1AF9"/>
    <w:rsid w:val="26FB121F"/>
    <w:rsid w:val="26FE7B9C"/>
    <w:rsid w:val="27AF191F"/>
    <w:rsid w:val="27B01C7F"/>
    <w:rsid w:val="27B465CD"/>
    <w:rsid w:val="27C2231B"/>
    <w:rsid w:val="281719CB"/>
    <w:rsid w:val="28194582"/>
    <w:rsid w:val="28E91566"/>
    <w:rsid w:val="28FB2FC6"/>
    <w:rsid w:val="29374835"/>
    <w:rsid w:val="298D230B"/>
    <w:rsid w:val="29D34E95"/>
    <w:rsid w:val="29E64920"/>
    <w:rsid w:val="29F11EC3"/>
    <w:rsid w:val="2AAF3F43"/>
    <w:rsid w:val="2ADC7061"/>
    <w:rsid w:val="2BFD7A8B"/>
    <w:rsid w:val="2CA662F3"/>
    <w:rsid w:val="2CB552C0"/>
    <w:rsid w:val="2D3F2DD9"/>
    <w:rsid w:val="2D4F3838"/>
    <w:rsid w:val="2D7A2518"/>
    <w:rsid w:val="2E0F0670"/>
    <w:rsid w:val="2EED499F"/>
    <w:rsid w:val="300D4A35"/>
    <w:rsid w:val="303529A7"/>
    <w:rsid w:val="3043239A"/>
    <w:rsid w:val="30D94DD4"/>
    <w:rsid w:val="31122093"/>
    <w:rsid w:val="31664EA1"/>
    <w:rsid w:val="31E26FCC"/>
    <w:rsid w:val="31F12A54"/>
    <w:rsid w:val="3225652A"/>
    <w:rsid w:val="322D64F4"/>
    <w:rsid w:val="327805B5"/>
    <w:rsid w:val="32F017FB"/>
    <w:rsid w:val="33364BC7"/>
    <w:rsid w:val="343016F3"/>
    <w:rsid w:val="34451C01"/>
    <w:rsid w:val="34FC7586"/>
    <w:rsid w:val="350C5E4E"/>
    <w:rsid w:val="35292E6E"/>
    <w:rsid w:val="357820BE"/>
    <w:rsid w:val="35786892"/>
    <w:rsid w:val="35D67FD9"/>
    <w:rsid w:val="3609495E"/>
    <w:rsid w:val="367F2AA7"/>
    <w:rsid w:val="368111FF"/>
    <w:rsid w:val="37240A36"/>
    <w:rsid w:val="389043B0"/>
    <w:rsid w:val="38BA7544"/>
    <w:rsid w:val="38F2568A"/>
    <w:rsid w:val="39046D41"/>
    <w:rsid w:val="390E665C"/>
    <w:rsid w:val="3A350BDA"/>
    <w:rsid w:val="3AFA682F"/>
    <w:rsid w:val="3B537B01"/>
    <w:rsid w:val="3B54347B"/>
    <w:rsid w:val="3BBD7BA1"/>
    <w:rsid w:val="3BC84FA8"/>
    <w:rsid w:val="3C2E2089"/>
    <w:rsid w:val="3C991C41"/>
    <w:rsid w:val="3CA35728"/>
    <w:rsid w:val="3E01665D"/>
    <w:rsid w:val="3E7B544D"/>
    <w:rsid w:val="3EA40A0F"/>
    <w:rsid w:val="3EB96C8B"/>
    <w:rsid w:val="3F9523A7"/>
    <w:rsid w:val="3FA53205"/>
    <w:rsid w:val="3FF07442"/>
    <w:rsid w:val="400E0849"/>
    <w:rsid w:val="40FA510C"/>
    <w:rsid w:val="42D4398F"/>
    <w:rsid w:val="43972950"/>
    <w:rsid w:val="43F461DE"/>
    <w:rsid w:val="43F96D7E"/>
    <w:rsid w:val="44296D40"/>
    <w:rsid w:val="44AD18B4"/>
    <w:rsid w:val="44BF52FA"/>
    <w:rsid w:val="45163DE9"/>
    <w:rsid w:val="45186D49"/>
    <w:rsid w:val="46C4426D"/>
    <w:rsid w:val="47833E50"/>
    <w:rsid w:val="478375CC"/>
    <w:rsid w:val="47D14CC5"/>
    <w:rsid w:val="47F0127A"/>
    <w:rsid w:val="48B86661"/>
    <w:rsid w:val="48DB4CF5"/>
    <w:rsid w:val="4A935E72"/>
    <w:rsid w:val="4AD40A6D"/>
    <w:rsid w:val="4B484D83"/>
    <w:rsid w:val="4C160A2F"/>
    <w:rsid w:val="4C475D98"/>
    <w:rsid w:val="4C5635D5"/>
    <w:rsid w:val="4CEC0925"/>
    <w:rsid w:val="4D0650CF"/>
    <w:rsid w:val="4D4C3D20"/>
    <w:rsid w:val="4E914ABF"/>
    <w:rsid w:val="4F984E32"/>
    <w:rsid w:val="502248BD"/>
    <w:rsid w:val="50393390"/>
    <w:rsid w:val="50701310"/>
    <w:rsid w:val="515D4C14"/>
    <w:rsid w:val="52322FE9"/>
    <w:rsid w:val="527210FC"/>
    <w:rsid w:val="52C43295"/>
    <w:rsid w:val="52CD7847"/>
    <w:rsid w:val="52D01323"/>
    <w:rsid w:val="53077D42"/>
    <w:rsid w:val="53577993"/>
    <w:rsid w:val="53AB1A11"/>
    <w:rsid w:val="53B83223"/>
    <w:rsid w:val="53FE7BF9"/>
    <w:rsid w:val="54125AEF"/>
    <w:rsid w:val="54140FC0"/>
    <w:rsid w:val="54383E34"/>
    <w:rsid w:val="54DE679A"/>
    <w:rsid w:val="55775BBC"/>
    <w:rsid w:val="558526C4"/>
    <w:rsid w:val="559E36B6"/>
    <w:rsid w:val="55CE3981"/>
    <w:rsid w:val="573B1630"/>
    <w:rsid w:val="573D7619"/>
    <w:rsid w:val="5808779A"/>
    <w:rsid w:val="592E6908"/>
    <w:rsid w:val="59526D06"/>
    <w:rsid w:val="595F6DEA"/>
    <w:rsid w:val="59D67DCC"/>
    <w:rsid w:val="59D929AF"/>
    <w:rsid w:val="59F6483E"/>
    <w:rsid w:val="5A163588"/>
    <w:rsid w:val="5AF719DE"/>
    <w:rsid w:val="5B5015EF"/>
    <w:rsid w:val="5BA37D14"/>
    <w:rsid w:val="5BE71D67"/>
    <w:rsid w:val="5C065569"/>
    <w:rsid w:val="5C531BB8"/>
    <w:rsid w:val="5CD43C25"/>
    <w:rsid w:val="5CFB4BF3"/>
    <w:rsid w:val="5D0A34B4"/>
    <w:rsid w:val="5D5A3ACB"/>
    <w:rsid w:val="5DC93CEE"/>
    <w:rsid w:val="5DD41933"/>
    <w:rsid w:val="5ED64C34"/>
    <w:rsid w:val="5F220830"/>
    <w:rsid w:val="5F664194"/>
    <w:rsid w:val="5FB92C3E"/>
    <w:rsid w:val="604B345D"/>
    <w:rsid w:val="605F4E3B"/>
    <w:rsid w:val="607B6A4C"/>
    <w:rsid w:val="60E8216E"/>
    <w:rsid w:val="6141694D"/>
    <w:rsid w:val="61513883"/>
    <w:rsid w:val="61E116BF"/>
    <w:rsid w:val="624E05D4"/>
    <w:rsid w:val="6285408E"/>
    <w:rsid w:val="629B1B98"/>
    <w:rsid w:val="62C437B6"/>
    <w:rsid w:val="63CB241D"/>
    <w:rsid w:val="66430CFE"/>
    <w:rsid w:val="667C7BC6"/>
    <w:rsid w:val="66BA3559"/>
    <w:rsid w:val="67125889"/>
    <w:rsid w:val="67330CAE"/>
    <w:rsid w:val="6789023B"/>
    <w:rsid w:val="67C0317E"/>
    <w:rsid w:val="68FE22E4"/>
    <w:rsid w:val="6B002F99"/>
    <w:rsid w:val="6B677059"/>
    <w:rsid w:val="6BC259AA"/>
    <w:rsid w:val="6C4C5D22"/>
    <w:rsid w:val="6CA479F9"/>
    <w:rsid w:val="6CB25CA9"/>
    <w:rsid w:val="6D845593"/>
    <w:rsid w:val="6DC873CE"/>
    <w:rsid w:val="6E815084"/>
    <w:rsid w:val="6E841343"/>
    <w:rsid w:val="6F353290"/>
    <w:rsid w:val="6FCD3EEE"/>
    <w:rsid w:val="7100052A"/>
    <w:rsid w:val="7116714F"/>
    <w:rsid w:val="71891263"/>
    <w:rsid w:val="71C23A9A"/>
    <w:rsid w:val="721A2BA0"/>
    <w:rsid w:val="72637FCA"/>
    <w:rsid w:val="727D42D0"/>
    <w:rsid w:val="73F01E5E"/>
    <w:rsid w:val="740A0A33"/>
    <w:rsid w:val="74375327"/>
    <w:rsid w:val="764E1753"/>
    <w:rsid w:val="77A545F3"/>
    <w:rsid w:val="78BE0D64"/>
    <w:rsid w:val="79574439"/>
    <w:rsid w:val="797F5475"/>
    <w:rsid w:val="79BD1FB6"/>
    <w:rsid w:val="7A610D52"/>
    <w:rsid w:val="7A9F090A"/>
    <w:rsid w:val="7BCA45E3"/>
    <w:rsid w:val="7BD025CE"/>
    <w:rsid w:val="7C0141A2"/>
    <w:rsid w:val="7E070DB7"/>
    <w:rsid w:val="7E28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semiHidden/>
    <w:unhideWhenUsed/>
    <w:qFormat/>
    <w:uiPriority w:val="0"/>
    <w:rPr>
      <w:color w:val="000000"/>
      <w:sz w:val="18"/>
      <w:szCs w:val="18"/>
      <w:u w:val="none"/>
    </w:rPr>
  </w:style>
  <w:style w:type="character" w:styleId="8">
    <w:name w:val="Hyperlink"/>
    <w:basedOn w:val="6"/>
    <w:semiHidden/>
    <w:unhideWhenUsed/>
    <w:qFormat/>
    <w:uiPriority w:val="0"/>
    <w:rPr>
      <w:color w:val="000000"/>
      <w:sz w:val="18"/>
      <w:szCs w:val="18"/>
      <w:u w:val="none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character" w:customStyle="1" w:styleId="11">
    <w:name w:val="pagebanner"/>
    <w:basedOn w:val="6"/>
    <w:qFormat/>
    <w:uiPriority w:val="0"/>
  </w:style>
  <w:style w:type="character" w:customStyle="1" w:styleId="12">
    <w:name w:val="pagelinks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5505</Words>
  <Characters>1889</Characters>
  <Lines>15</Lines>
  <Paragraphs>14</Paragraphs>
  <TotalTime>16</TotalTime>
  <ScaleCrop>false</ScaleCrop>
  <LinksUpToDate>false</LinksUpToDate>
  <CharactersWithSpaces>7380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2019-09-12T01:37:00Z</dcterms:created>
  <dc:creator>似水流年1378470485</dc:creator>
  <cp:lastModifiedBy>#無</cp:lastModifiedBy>
  <cp:lastPrinted>2019-11-29T02:25:00Z</cp:lastPrinted>
  <dcterms:modified xsi:type="dcterms:W3CDTF">2020-09-01T08:37:41Z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