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Theme="minorEastAsia"/>
          <w:b/>
          <w:sz w:val="44"/>
          <w:szCs w:val="44"/>
          <w:lang w:eastAsia="zh-CN"/>
        </w:rPr>
      </w:pPr>
      <w:r>
        <w:rPr>
          <w:rFonts w:hint="eastAsia" w:ascii="宋体" w:hAnsi="宋体" w:eastAsiaTheme="minorEastAsia"/>
          <w:b/>
          <w:sz w:val="44"/>
          <w:szCs w:val="44"/>
          <w:lang w:eastAsia="zh-CN"/>
        </w:rPr>
        <w:t>《</w:t>
      </w:r>
      <w:r>
        <w:rPr>
          <w:rFonts w:hint="eastAsia" w:ascii="宋体" w:hAnsi="宋体"/>
          <w:b/>
          <w:sz w:val="44"/>
          <w:szCs w:val="44"/>
          <w:lang w:eastAsia="zh-CN"/>
        </w:rPr>
        <w:t>光明区新建公共住房类型确定规则（征求意见稿）</w:t>
      </w:r>
      <w:r>
        <w:rPr>
          <w:rFonts w:hint="eastAsia" w:ascii="宋体" w:hAnsi="宋体" w:eastAsiaTheme="minorEastAsia"/>
          <w:b/>
          <w:sz w:val="44"/>
          <w:szCs w:val="44"/>
          <w:lang w:eastAsia="zh-CN"/>
        </w:rPr>
        <w:t>》起草说明</w:t>
      </w:r>
    </w:p>
    <w:p>
      <w:pPr>
        <w:spacing w:line="520" w:lineRule="exact"/>
        <w:ind w:firstLine="633" w:firstLineChars="198"/>
        <w:rPr>
          <w:rFonts w:ascii="黑体" w:hAnsi="黑体" w:eastAsia="黑体"/>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lang w:val="en-US" w:eastAsia="zh-CN"/>
        </w:rPr>
        <w:t>2020年5月7日，市规划和自然资源局出台了</w:t>
      </w:r>
      <w:r>
        <w:rPr>
          <w:rFonts w:hint="eastAsia" w:ascii="仿宋_GB2312" w:hAnsi="仿宋" w:eastAsia="仿宋_GB2312"/>
          <w:color w:val="000000"/>
          <w:sz w:val="32"/>
          <w:szCs w:val="32"/>
          <w:lang w:val="en-US" w:eastAsia="zh-CN"/>
        </w:rPr>
        <w:t>《深圳市落实住房制度加快住房用地供应的暂行规定》（深规划资源规〔2020〕3号，下称《暂行规定》），对</w:t>
      </w:r>
      <w:r>
        <w:rPr>
          <w:rFonts w:hint="eastAsia" w:ascii="仿宋_GB2312" w:hAnsi="仿宋" w:eastAsia="仿宋_GB2312" w:cstheme="minorBidi"/>
          <w:i w:val="0"/>
          <w:caps w:val="0"/>
          <w:color w:val="333333"/>
          <w:spacing w:val="0"/>
          <w:sz w:val="32"/>
          <w:szCs w:val="32"/>
          <w:shd w:val="clear" w:fill="auto"/>
        </w:rPr>
        <w:t>各类住房用地供应建设公共住房的类型进行了原则性的规定。</w:t>
      </w:r>
      <w:r>
        <w:rPr>
          <w:rFonts w:hint="eastAsia" w:ascii="仿宋" w:hAnsi="仿宋" w:eastAsia="仿宋"/>
          <w:sz w:val="32"/>
          <w:szCs w:val="32"/>
          <w:lang w:eastAsia="zh-CN"/>
        </w:rPr>
        <w:t>根据区领导指示，结合光明区新的定位及实际情况，按照《暂行规定》的原则性规定，我局起草了《光明区新建公共住房类型确定规则》。</w:t>
      </w:r>
      <w:r>
        <w:rPr>
          <w:rFonts w:hint="eastAsia" w:ascii="仿宋" w:hAnsi="仿宋" w:eastAsia="仿宋"/>
          <w:sz w:val="32"/>
          <w:szCs w:val="32"/>
        </w:rPr>
        <w:t>有关情况说明如下：</w:t>
      </w:r>
    </w:p>
    <w:p>
      <w:pPr>
        <w:spacing w:line="500" w:lineRule="exact"/>
        <w:ind w:firstLine="803" w:firstLineChars="250"/>
        <w:rPr>
          <w:rFonts w:hint="eastAsia" w:ascii="仿宋_GB2312" w:hAnsi="仿宋" w:eastAsia="仿宋_GB2312"/>
          <w:b/>
          <w:bCs/>
          <w:color w:val="000000"/>
          <w:sz w:val="32"/>
          <w:szCs w:val="32"/>
          <w:lang w:eastAsia="zh-CN"/>
        </w:rPr>
      </w:pPr>
      <w:r>
        <w:rPr>
          <w:rFonts w:hint="eastAsia" w:ascii="黑体" w:hAnsi="黑体" w:eastAsia="黑体"/>
          <w:b/>
          <w:sz w:val="32"/>
          <w:szCs w:val="32"/>
        </w:rPr>
        <w:t>一、</w:t>
      </w:r>
      <w:r>
        <w:rPr>
          <w:rFonts w:hint="eastAsia" w:ascii="黑体" w:hAnsi="黑体" w:eastAsia="黑体"/>
          <w:b/>
          <w:sz w:val="32"/>
          <w:szCs w:val="32"/>
          <w:lang w:eastAsia="zh-CN"/>
        </w:rPr>
        <w:t>起草</w:t>
      </w:r>
      <w:r>
        <w:rPr>
          <w:rFonts w:hint="eastAsia" w:ascii="黑体" w:hAnsi="黑体" w:eastAsia="黑体"/>
          <w:b/>
          <w:sz w:val="32"/>
          <w:szCs w:val="32"/>
        </w:rPr>
        <w:t>背景</w:t>
      </w:r>
      <w:r>
        <w:rPr>
          <w:rFonts w:hint="eastAsia" w:ascii="黑体" w:hAnsi="黑体" w:eastAsia="黑体"/>
          <w:b/>
          <w:sz w:val="32"/>
          <w:szCs w:val="32"/>
          <w:lang w:eastAsia="zh-CN"/>
        </w:rPr>
        <w:t>及必要性</w:t>
      </w:r>
    </w:p>
    <w:p>
      <w:pPr>
        <w:spacing w:line="500" w:lineRule="exact"/>
        <w:ind w:firstLine="640" w:firstLineChars="200"/>
        <w:jc w:val="left"/>
        <w:rPr>
          <w:rFonts w:hint="eastAsia" w:ascii="仿宋" w:hAnsi="仿宋" w:eastAsia="仿宋" w:cstheme="minorBidi"/>
          <w:sz w:val="32"/>
          <w:szCs w:val="32"/>
          <w:lang w:eastAsia="zh-CN"/>
        </w:rPr>
      </w:pPr>
      <w:r>
        <w:rPr>
          <w:rFonts w:hint="eastAsia" w:ascii="仿宋" w:hAnsi="仿宋" w:eastAsia="仿宋" w:cstheme="minorBidi"/>
          <w:i w:val="0"/>
          <w:caps w:val="0"/>
          <w:spacing w:val="0"/>
          <w:sz w:val="32"/>
          <w:szCs w:val="32"/>
          <w:shd w:val="clear"/>
          <w:lang w:val="en-US" w:eastAsia="zh-CN"/>
        </w:rPr>
        <w:t>2020年3月市政府印发的《</w:t>
      </w:r>
      <w:r>
        <w:rPr>
          <w:rFonts w:hint="eastAsia" w:ascii="仿宋" w:hAnsi="仿宋" w:eastAsia="仿宋" w:cstheme="minorBidi"/>
          <w:b w:val="0"/>
          <w:bCs w:val="0"/>
          <w:sz w:val="32"/>
          <w:szCs w:val="32"/>
        </w:rPr>
        <w:t>关于支持光明科学城打造世界一流科学城的若干意见</w:t>
      </w:r>
      <w:r>
        <w:rPr>
          <w:rFonts w:hint="eastAsia" w:ascii="仿宋" w:hAnsi="仿宋" w:eastAsia="仿宋" w:cstheme="minorBidi"/>
          <w:i w:val="0"/>
          <w:caps w:val="0"/>
          <w:spacing w:val="0"/>
          <w:sz w:val="32"/>
          <w:szCs w:val="32"/>
          <w:shd w:val="clear"/>
          <w:lang w:val="en-US" w:eastAsia="zh-CN"/>
        </w:rPr>
        <w:t>》（下称《若干意见》）提出提高光明区人才住房配建比例，位于光明区的市级保障性住房房源优先向光明科学城人才倾斜。</w:t>
      </w:r>
    </w:p>
    <w:p>
      <w:pPr>
        <w:spacing w:line="500" w:lineRule="exact"/>
        <w:ind w:firstLine="640" w:firstLineChars="200"/>
        <w:rPr>
          <w:rFonts w:hint="eastAsia" w:ascii="仿宋" w:hAnsi="仿宋" w:eastAsia="仿宋" w:cstheme="minorBidi"/>
          <w:sz w:val="32"/>
          <w:szCs w:val="32"/>
          <w:lang w:eastAsia="zh-CN"/>
        </w:rPr>
      </w:pPr>
      <w:r>
        <w:rPr>
          <w:rFonts w:hint="eastAsia" w:ascii="仿宋" w:hAnsi="仿宋" w:eastAsia="仿宋" w:cstheme="minorBidi"/>
          <w:sz w:val="32"/>
          <w:szCs w:val="32"/>
          <w:lang w:eastAsia="zh-CN"/>
        </w:rPr>
        <w:t>同时，光明区处于大开发大建设阶段，近几年土地整备任务均位于全市前列，产生的安置房需求量较大，拆迁户对安置房落实时间要求也较高，光明区旨在出台政策，创新性地尝试在城市更新项目中配置可售型公共住房，城市更新项目需无偿贡献部分拆迁安置房以达到政府、市场主体的利益平衡。</w:t>
      </w:r>
    </w:p>
    <w:p>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长期以来，光明区城市更新项目公共住房配建类型的确定主要依据</w:t>
      </w:r>
      <w:r>
        <w:rPr>
          <w:rFonts w:hint="eastAsia" w:ascii="仿宋_GB2312" w:hAnsi="仿宋" w:eastAsia="仿宋_GB2312"/>
          <w:color w:val="000000"/>
          <w:sz w:val="32"/>
          <w:szCs w:val="32"/>
          <w:lang w:val="en-US" w:eastAsia="zh-CN"/>
        </w:rPr>
        <w:t>《深圳市人民政府关于深化住房制度改革加快建立多主体供给多渠道保障租购并举的住房供应与保障体系的意见》（深府规〔2018〕13号，下称《意见》）</w:t>
      </w:r>
      <w:r>
        <w:rPr>
          <w:rFonts w:hint="eastAsia" w:ascii="仿宋" w:hAnsi="仿宋" w:eastAsia="仿宋" w:cs="仿宋"/>
          <w:sz w:val="32"/>
          <w:szCs w:val="32"/>
          <w:lang w:eastAsia="zh-CN"/>
        </w:rPr>
        <w:t>确定的各类型保障性住房比例要求及</w:t>
      </w:r>
      <w:r>
        <w:rPr>
          <w:rFonts w:hint="eastAsia" w:ascii="仿宋" w:hAnsi="仿宋" w:eastAsia="仿宋" w:cs="仿宋"/>
          <w:color w:val="000000"/>
          <w:sz w:val="32"/>
          <w:szCs w:val="32"/>
          <w:lang w:eastAsia="zh-CN"/>
        </w:rPr>
        <w:t>每年</w:t>
      </w:r>
      <w:r>
        <w:rPr>
          <w:rFonts w:hint="eastAsia" w:ascii="仿宋" w:hAnsi="仿宋" w:eastAsia="仿宋" w:cs="仿宋"/>
          <w:sz w:val="32"/>
          <w:szCs w:val="32"/>
          <w:lang w:eastAsia="zh-CN"/>
        </w:rPr>
        <w:t>考核任务指标要求（人才住房、公共租赁住房、安居型商品房比例为</w:t>
      </w:r>
      <w:r>
        <w:rPr>
          <w:rFonts w:hint="eastAsia" w:ascii="仿宋" w:hAnsi="仿宋" w:eastAsia="仿宋" w:cs="仿宋"/>
          <w:sz w:val="32"/>
          <w:szCs w:val="32"/>
          <w:lang w:val="en-US" w:eastAsia="zh-CN"/>
        </w:rPr>
        <w:t>1:1:1</w:t>
      </w:r>
      <w:r>
        <w:rPr>
          <w:rFonts w:hint="eastAsia" w:ascii="仿宋" w:hAnsi="仿宋" w:eastAsia="仿宋" w:cs="仿宋"/>
          <w:sz w:val="32"/>
          <w:szCs w:val="32"/>
          <w:lang w:eastAsia="zh-CN"/>
        </w:rPr>
        <w:t>）确定，</w:t>
      </w:r>
      <w:r>
        <w:rPr>
          <w:rFonts w:hint="eastAsia" w:ascii="仿宋" w:hAnsi="仿宋" w:eastAsia="仿宋" w:cs="仿宋"/>
          <w:color w:val="000000"/>
          <w:sz w:val="32"/>
          <w:szCs w:val="32"/>
          <w:lang w:eastAsia="zh-CN"/>
        </w:rPr>
        <w:t>具体项目公共住房配建类型没有原则性的规定，</w:t>
      </w:r>
      <w:r>
        <w:rPr>
          <w:rFonts w:hint="eastAsia" w:ascii="仿宋" w:hAnsi="仿宋" w:eastAsia="仿宋" w:cs="仿宋"/>
          <w:sz w:val="32"/>
          <w:szCs w:val="32"/>
          <w:lang w:eastAsia="zh-CN"/>
        </w:rPr>
        <w:t>保障性住房类型的确定缺少政策依据，个别项目确定为安居型商品房，市场主体获得的利益较高，存在审计风险。</w:t>
      </w:r>
    </w:p>
    <w:p>
      <w:pPr>
        <w:spacing w:line="500" w:lineRule="exact"/>
        <w:ind w:firstLine="640" w:firstLineChars="200"/>
        <w:rPr>
          <w:rFonts w:hint="eastAsia" w:ascii="仿宋" w:hAnsi="仿宋" w:eastAsia="仿宋" w:cstheme="minorBidi"/>
          <w:sz w:val="32"/>
          <w:szCs w:val="32"/>
          <w:lang w:val="en-US" w:eastAsia="zh-CN"/>
        </w:rPr>
      </w:pPr>
      <w:r>
        <w:rPr>
          <w:rFonts w:hint="eastAsia" w:ascii="仿宋" w:hAnsi="仿宋" w:eastAsia="仿宋" w:cstheme="minorBidi"/>
          <w:sz w:val="32"/>
          <w:szCs w:val="32"/>
          <w:lang w:eastAsia="zh-CN"/>
        </w:rPr>
        <w:t>另外，近期招拍挂出售的可售型人才房项目提出配建</w:t>
      </w:r>
      <w:r>
        <w:rPr>
          <w:rFonts w:hint="eastAsia" w:ascii="仿宋" w:hAnsi="仿宋" w:eastAsia="仿宋" w:cstheme="minorBidi"/>
          <w:sz w:val="32"/>
          <w:szCs w:val="32"/>
          <w:lang w:val="en-US" w:eastAsia="zh-CN"/>
        </w:rPr>
        <w:t>90平方米以上人才房的诉求，未来光明科学城将引进大量高层次人才，有必要提前谋划，为高层次人才引进配备相应的可售型人才房。</w:t>
      </w:r>
    </w:p>
    <w:p>
      <w:pPr>
        <w:spacing w:line="500" w:lineRule="exact"/>
        <w:ind w:firstLine="640" w:firstLineChars="200"/>
        <w:rPr>
          <w:rFonts w:hint="eastAsia" w:ascii="仿宋_GB2312" w:hAnsi="仿宋" w:eastAsia="仿宋_GB2312"/>
          <w:b w:val="0"/>
          <w:color w:val="000000"/>
          <w:sz w:val="32"/>
          <w:szCs w:val="32"/>
        </w:rPr>
      </w:pPr>
      <w:r>
        <w:rPr>
          <w:rFonts w:hint="eastAsia" w:ascii="仿宋" w:hAnsi="仿宋" w:eastAsia="仿宋"/>
          <w:sz w:val="32"/>
          <w:szCs w:val="32"/>
          <w:lang w:eastAsia="zh-CN"/>
        </w:rPr>
        <w:t>综上所述，结合《暂行规定》的原则性规定，光明区有必要尽快出台光明区新建公共住房类型的确定规则，积极争取政策支持，为后续</w:t>
      </w:r>
      <w:r>
        <w:rPr>
          <w:rFonts w:hint="eastAsia" w:ascii="仿宋_GB2312" w:hAnsi="仿宋" w:eastAsia="仿宋_GB2312"/>
          <w:b w:val="0"/>
          <w:bCs w:val="0"/>
          <w:color w:val="000000"/>
          <w:sz w:val="32"/>
          <w:szCs w:val="32"/>
          <w:lang w:val="en-US" w:eastAsia="zh-CN"/>
        </w:rPr>
        <w:t>公共住房配建类型、户型的确定提供政策性依据。</w:t>
      </w:r>
    </w:p>
    <w:p>
      <w:pPr>
        <w:spacing w:line="500" w:lineRule="exact"/>
        <w:ind w:firstLine="636" w:firstLineChars="198"/>
        <w:rPr>
          <w:rFonts w:ascii="黑体" w:hAnsi="黑体" w:eastAsia="黑体"/>
          <w:b/>
          <w:sz w:val="32"/>
          <w:szCs w:val="32"/>
        </w:rPr>
      </w:pPr>
      <w:r>
        <w:rPr>
          <w:rFonts w:hint="eastAsia" w:ascii="黑体" w:hAnsi="黑体" w:eastAsia="黑体"/>
          <w:b/>
          <w:sz w:val="32"/>
          <w:szCs w:val="32"/>
        </w:rPr>
        <w:t>二、主要问题说明</w:t>
      </w:r>
    </w:p>
    <w:p>
      <w:pPr>
        <w:spacing w:line="240" w:lineRule="auto"/>
        <w:ind w:firstLine="643" w:firstLineChars="200"/>
        <w:rPr>
          <w:rFonts w:hint="eastAsia" w:ascii="仿宋_GB2312" w:hAnsi="仿宋" w:eastAsia="仿宋_GB2312"/>
          <w:b/>
          <w:bCs/>
          <w:color w:val="000000"/>
          <w:sz w:val="32"/>
          <w:szCs w:val="32"/>
          <w:lang w:eastAsia="zh-CN"/>
        </w:rPr>
      </w:pPr>
      <w:r>
        <w:rPr>
          <w:rFonts w:hint="eastAsia" w:ascii="仿宋_GB2312" w:hAnsi="仿宋" w:eastAsia="仿宋_GB2312"/>
          <w:b/>
          <w:bCs/>
          <w:color w:val="000000"/>
          <w:sz w:val="32"/>
          <w:szCs w:val="32"/>
          <w:lang w:eastAsia="zh-CN"/>
        </w:rPr>
        <w:t>（一）适用范围</w:t>
      </w:r>
    </w:p>
    <w:p>
      <w:pPr>
        <w:spacing w:line="500" w:lineRule="exact"/>
        <w:ind w:firstLine="640" w:firstLineChars="200"/>
        <w:rPr>
          <w:rFonts w:hint="eastAsia" w:ascii="仿宋_GB2312" w:hAnsi="仿宋" w:eastAsia="仿宋_GB2312"/>
          <w:b w:val="0"/>
          <w:bCs w:val="0"/>
          <w:color w:val="000000"/>
          <w:sz w:val="32"/>
          <w:szCs w:val="32"/>
          <w:lang w:val="en-US" w:eastAsia="zh-CN"/>
        </w:rPr>
      </w:pPr>
      <w:r>
        <w:rPr>
          <w:rFonts w:hint="eastAsia" w:ascii="仿宋_GB2312" w:hAnsi="仿宋" w:eastAsia="仿宋_GB2312"/>
          <w:color w:val="000000"/>
          <w:sz w:val="32"/>
          <w:szCs w:val="32"/>
          <w:lang w:val="en-US" w:eastAsia="zh-CN"/>
        </w:rPr>
        <w:t>《暂行规定》</w:t>
      </w:r>
      <w:r>
        <w:rPr>
          <w:rFonts w:hint="eastAsia" w:ascii="仿宋_GB2312" w:hAnsi="仿宋" w:eastAsia="仿宋_GB2312"/>
          <w:b w:val="0"/>
          <w:color w:val="000000"/>
          <w:sz w:val="32"/>
          <w:szCs w:val="32"/>
          <w:lang w:eastAsia="zh-CN"/>
        </w:rPr>
        <w:t>第十六条规定，新供应公共住房用地和通过城市更新、棚户区改造建设公共住房的存量用地，由区住房和建设部门确定建设住房的类型，</w:t>
      </w:r>
      <w:r>
        <w:rPr>
          <w:rFonts w:hint="eastAsia" w:ascii="仿宋_GB2312" w:hAnsi="仿宋" w:eastAsia="仿宋_GB2312"/>
          <w:b w:val="0"/>
          <w:color w:val="000000"/>
          <w:sz w:val="32"/>
          <w:szCs w:val="32"/>
          <w:highlight w:val="none"/>
          <w:lang w:eastAsia="zh-CN"/>
        </w:rPr>
        <w:t>本规定</w:t>
      </w:r>
      <w:r>
        <w:rPr>
          <w:rFonts w:hint="eastAsia" w:ascii="仿宋_GB2312" w:hAnsi="仿宋" w:eastAsia="仿宋_GB2312"/>
          <w:b w:val="0"/>
          <w:bCs w:val="0"/>
          <w:color w:val="000000"/>
          <w:sz w:val="32"/>
          <w:szCs w:val="32"/>
          <w:lang w:val="en-US" w:eastAsia="zh-CN"/>
        </w:rPr>
        <w:t>研究范围为光明区行政区域内新供应公共住房用地和通过城市更新改造建设公共住房的存量用地。</w:t>
      </w:r>
    </w:p>
    <w:p>
      <w:pPr>
        <w:spacing w:line="240" w:lineRule="auto"/>
        <w:ind w:firstLine="643" w:firstLineChars="200"/>
        <w:rPr>
          <w:rFonts w:hint="eastAsia" w:ascii="仿宋_GB2312" w:hAnsi="仿宋" w:eastAsia="仿宋_GB2312"/>
          <w:b/>
          <w:bCs/>
          <w:color w:val="000000"/>
          <w:sz w:val="32"/>
          <w:szCs w:val="32"/>
          <w:lang w:eastAsia="zh-CN"/>
        </w:rPr>
      </w:pPr>
      <w:r>
        <w:rPr>
          <w:rFonts w:hint="eastAsia" w:ascii="仿宋_GB2312" w:hAnsi="仿宋" w:eastAsia="仿宋_GB2312"/>
          <w:b/>
          <w:bCs/>
          <w:color w:val="000000"/>
          <w:sz w:val="32"/>
          <w:szCs w:val="32"/>
          <w:lang w:eastAsia="zh-CN"/>
        </w:rPr>
        <w:t>（二）适应光明区新定位，适当调高人才住房比例</w:t>
      </w:r>
    </w:p>
    <w:p>
      <w:pPr>
        <w:spacing w:line="50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意见》第五条第八款规定，根据实际需要和市场变化情况，合理调控各类住房的供应节奏，并酌情对人才住房、安居型商品房、公共租赁住房等住房类型进行适当的转换。光明科学城已上升到国家战略，为提供支持科学发展的住房保障，同时，根据</w:t>
      </w:r>
      <w:r>
        <w:rPr>
          <w:rFonts w:hint="eastAsia" w:ascii="仿宋" w:hAnsi="仿宋" w:eastAsia="仿宋" w:cstheme="minorBidi"/>
          <w:i w:val="0"/>
          <w:caps w:val="0"/>
          <w:spacing w:val="0"/>
          <w:sz w:val="32"/>
          <w:szCs w:val="32"/>
          <w:shd w:val="clear"/>
          <w:lang w:val="en-US" w:eastAsia="zh-CN"/>
        </w:rPr>
        <w:t>《若干意见》</w:t>
      </w:r>
      <w:r>
        <w:rPr>
          <w:rFonts w:hint="eastAsia" w:ascii="仿宋_GB2312" w:hAnsi="仿宋" w:eastAsia="仿宋_GB2312"/>
          <w:color w:val="000000"/>
          <w:sz w:val="32"/>
          <w:szCs w:val="32"/>
          <w:lang w:val="en-US" w:eastAsia="zh-CN"/>
        </w:rPr>
        <w:t>，建议调高人才住房比例，光明科学城范围内以人才住房为主，光明科学城范围外以</w:t>
      </w:r>
      <w:r>
        <w:rPr>
          <w:rFonts w:hint="eastAsia" w:ascii="仿宋_GB2312" w:hAnsi="仿宋" w:eastAsia="仿宋_GB2312"/>
          <w:b w:val="0"/>
          <w:bCs w:val="0"/>
          <w:color w:val="000000"/>
          <w:sz w:val="32"/>
          <w:szCs w:val="32"/>
          <w:lang w:val="en-US" w:eastAsia="zh-CN"/>
        </w:rPr>
        <w:t>安居型商品房、公共租赁住房为主，后续如有必要可根据实际需要进行转换。</w:t>
      </w:r>
    </w:p>
    <w:p>
      <w:pPr>
        <w:spacing w:line="240" w:lineRule="auto"/>
        <w:ind w:firstLine="643" w:firstLineChars="200"/>
        <w:rPr>
          <w:rFonts w:hint="default" w:ascii="仿宋_GB2312" w:hAnsi="仿宋" w:eastAsia="仿宋_GB2312"/>
          <w:b/>
          <w:bCs/>
          <w:color w:val="000000"/>
          <w:sz w:val="32"/>
          <w:szCs w:val="32"/>
          <w:lang w:val="en-US" w:eastAsia="zh-CN"/>
        </w:rPr>
      </w:pPr>
      <w:r>
        <w:rPr>
          <w:rFonts w:hint="eastAsia" w:ascii="仿宋_GB2312" w:hAnsi="仿宋" w:eastAsia="仿宋_GB2312"/>
          <w:b/>
          <w:bCs/>
          <w:color w:val="000000"/>
          <w:sz w:val="32"/>
          <w:szCs w:val="32"/>
          <w:lang w:eastAsia="zh-CN"/>
        </w:rPr>
        <w:t>（三）明确公共住房出租、可售类型确定的原则</w:t>
      </w:r>
    </w:p>
    <w:p>
      <w:pPr>
        <w:spacing w:line="500" w:lineRule="exact"/>
        <w:ind w:firstLine="640" w:firstLineChars="200"/>
        <w:rPr>
          <w:rFonts w:hint="eastAsia" w:ascii="仿宋_GB2312" w:hAnsi="仿宋" w:eastAsia="仿宋_GB2312"/>
          <w:color w:val="000000"/>
          <w:sz w:val="32"/>
          <w:szCs w:val="32"/>
          <w:lang w:eastAsia="zh-CN"/>
        </w:rPr>
      </w:pPr>
      <w:r>
        <w:rPr>
          <w:rFonts w:hint="eastAsia" w:ascii="仿宋" w:hAnsi="仿宋" w:eastAsia="仿宋"/>
          <w:sz w:val="32"/>
          <w:szCs w:val="32"/>
          <w:lang w:eastAsia="zh-CN"/>
        </w:rPr>
        <w:t>《暂行规定》</w:t>
      </w:r>
      <w:r>
        <w:rPr>
          <w:rFonts w:hint="eastAsia" w:ascii="仿宋_GB2312" w:hAnsi="仿宋" w:eastAsia="仿宋_GB2312"/>
          <w:b w:val="0"/>
          <w:color w:val="000000"/>
          <w:sz w:val="32"/>
          <w:szCs w:val="32"/>
          <w:lang w:eastAsia="zh-CN"/>
        </w:rPr>
        <w:t>第六条规定，</w:t>
      </w:r>
      <w:r>
        <w:rPr>
          <w:rFonts w:hint="eastAsia" w:ascii="仿宋_GB2312" w:hAnsi="仿宋" w:eastAsia="仿宋_GB2312"/>
          <w:b w:val="0"/>
          <w:color w:val="000000"/>
          <w:sz w:val="32"/>
          <w:szCs w:val="32"/>
          <w:highlight w:val="none"/>
          <w:lang w:eastAsia="zh-CN"/>
        </w:rPr>
        <w:t>政府主导</w:t>
      </w:r>
      <w:r>
        <w:rPr>
          <w:rFonts w:hint="eastAsia" w:ascii="仿宋_GB2312" w:hAnsi="仿宋" w:eastAsia="仿宋_GB2312"/>
          <w:b w:val="0"/>
          <w:color w:val="000000"/>
          <w:sz w:val="32"/>
          <w:szCs w:val="32"/>
          <w:lang w:eastAsia="zh-CN"/>
        </w:rPr>
        <w:t>的用地以建设出租的公共住房为主，市场主体主导的用地以建设出售的公共住房为主；第七条规定，</w:t>
      </w:r>
      <w:r>
        <w:rPr>
          <w:rFonts w:hint="eastAsia" w:ascii="仿宋_GB2312" w:hAnsi="仿宋" w:eastAsia="仿宋_GB2312"/>
          <w:color w:val="000000"/>
          <w:sz w:val="32"/>
          <w:szCs w:val="32"/>
        </w:rPr>
        <w:t>新供应建设用地可用于建设市场商品住房和公共住房</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用于建设公共住房的，以建设出租的公共住房为主</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市场商品住房用地可配建一定比例出租的公共住房，配建类型及比例在出让方案中明确</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城市更新、棚户区改造与土地整备项目建设或配建公共住房的，住房类型按相关规定确定。</w:t>
      </w:r>
      <w:r>
        <w:rPr>
          <w:rFonts w:hint="eastAsia" w:ascii="仿宋_GB2312" w:hAnsi="仿宋" w:eastAsia="仿宋_GB2312"/>
          <w:color w:val="000000"/>
          <w:sz w:val="32"/>
          <w:szCs w:val="32"/>
          <w:lang w:eastAsia="zh-CN"/>
        </w:rPr>
        <w:t>参照该条规定，结合光明区城市更新、土地整备的实际情况，明确科学城范围内的公共住房原则上以人才住房为主，其中政府、人才住房专营机构投资建设的用地以出租的人才房为主，市场主体主导的用地以建设出售的人才房为主；科学城范围外的公共住房原则上以安居型商品房、公共租赁住房为主，其中政府、人才住房专营机构投资建设的用地以建设公共租赁住房为主、出租的人才房为辅，市场主体主导的用地以建设安居型商品房为主、出售的人才住房为辅。</w:t>
      </w:r>
    </w:p>
    <w:p>
      <w:pPr>
        <w:spacing w:line="240" w:lineRule="auto"/>
        <w:ind w:firstLine="643" w:firstLineChars="200"/>
        <w:rPr>
          <w:rFonts w:hint="eastAsia" w:ascii="仿宋_GB2312" w:hAnsi="仿宋" w:eastAsia="仿宋_GB2312"/>
          <w:b/>
          <w:bCs/>
          <w:color w:val="000000"/>
          <w:sz w:val="32"/>
          <w:szCs w:val="32"/>
          <w:highlight w:val="none"/>
        </w:rPr>
      </w:pPr>
      <w:r>
        <w:rPr>
          <w:rFonts w:hint="eastAsia" w:ascii="仿宋_GB2312" w:hAnsi="仿宋" w:eastAsia="仿宋_GB2312"/>
          <w:b/>
          <w:bCs/>
          <w:color w:val="000000"/>
          <w:sz w:val="32"/>
          <w:szCs w:val="32"/>
          <w:lang w:eastAsia="zh-CN"/>
        </w:rPr>
        <w:t>（四）</w:t>
      </w:r>
      <w:r>
        <w:rPr>
          <w:rFonts w:hint="eastAsia" w:ascii="仿宋_GB2312" w:hAnsi="仿宋" w:eastAsia="仿宋_GB2312"/>
          <w:b/>
          <w:bCs/>
          <w:color w:val="000000"/>
          <w:sz w:val="32"/>
          <w:szCs w:val="32"/>
          <w:highlight w:val="none"/>
          <w:lang w:eastAsia="zh-CN"/>
        </w:rPr>
        <w:t>明确配建可售型公共住房城市更新项目需贡献拆迁安置房</w:t>
      </w:r>
    </w:p>
    <w:p>
      <w:pPr>
        <w:pStyle w:val="8"/>
        <w:ind w:firstLine="960" w:firstLineChars="300"/>
        <w:rPr>
          <w:rFonts w:hint="default" w:ascii="仿宋_GB2312" w:hAnsi="仿宋" w:eastAsia="仿宋_GB2312"/>
          <w:color w:val="000000"/>
          <w:sz w:val="32"/>
          <w:szCs w:val="32"/>
          <w:highlight w:val="none"/>
          <w:lang w:val="en-US" w:eastAsia="zh-CN"/>
        </w:rPr>
      </w:pPr>
      <w:r>
        <w:rPr>
          <w:rFonts w:hint="eastAsia" w:ascii="仿宋_GB2312" w:hAnsi="仿宋" w:eastAsia="仿宋_GB2312"/>
          <w:b w:val="0"/>
          <w:bCs w:val="0"/>
          <w:color w:val="000000"/>
          <w:kern w:val="2"/>
          <w:sz w:val="32"/>
          <w:szCs w:val="32"/>
          <w:lang w:val="en-US" w:eastAsia="zh-CN"/>
        </w:rPr>
        <w:t>深圳市政府《关于加强和改进城市更新实施工作暂行措施》（下称《暂行措施》）第五条第十九款，规定工改保城市更新项目建设公共租赁住房、安居型商品房的，实施主体可取得相应的商品性质建筑面积，该条规定对工改保项目的利益平衡进行了量化规定，未对按照《暂行措施》第五条第二十款配建公共住房，公共住房类型为可售人才房或安居型商品房的利益平衡进行考虑，考虑到光明的实际，本办法</w:t>
      </w:r>
      <w:r>
        <w:rPr>
          <w:rFonts w:hint="eastAsia" w:ascii="仿宋_GB2312" w:hAnsi="仿宋" w:eastAsia="仿宋_GB2312"/>
          <w:b w:val="0"/>
          <w:color w:val="000000"/>
          <w:sz w:val="32"/>
          <w:szCs w:val="32"/>
          <w:lang w:eastAsia="zh-CN"/>
        </w:rPr>
        <w:t>明确</w:t>
      </w:r>
      <w:r>
        <w:rPr>
          <w:rFonts w:hint="eastAsia" w:ascii="仿宋_GB2312" w:hAnsi="仿宋" w:eastAsia="仿宋_GB2312"/>
          <w:b w:val="0"/>
          <w:bCs w:val="0"/>
          <w:color w:val="000000"/>
          <w:kern w:val="2"/>
          <w:sz w:val="32"/>
          <w:szCs w:val="32"/>
          <w:lang w:val="en-US" w:eastAsia="zh-CN"/>
        </w:rPr>
        <w:t>该种类型城市更新项目</w:t>
      </w:r>
      <w:r>
        <w:rPr>
          <w:rFonts w:hint="eastAsia" w:ascii="仿宋_GB2312" w:hAnsi="仿宋" w:eastAsia="仿宋_GB2312"/>
          <w:b w:val="0"/>
          <w:color w:val="000000"/>
          <w:sz w:val="32"/>
          <w:szCs w:val="32"/>
          <w:lang w:eastAsia="zh-CN"/>
        </w:rPr>
        <w:t>配建可售型公共住房的项目及棚户区改造项目需无偿贡献部分拆迁安置房。</w:t>
      </w:r>
      <w:r>
        <w:rPr>
          <w:rFonts w:hint="eastAsia" w:ascii="仿宋_GB2312" w:hAnsi="仿宋" w:eastAsia="仿宋_GB2312"/>
          <w:b w:val="0"/>
          <w:color w:val="000000"/>
          <w:sz w:val="32"/>
          <w:szCs w:val="32"/>
          <w:highlight w:val="none"/>
          <w:lang w:eastAsia="zh-CN"/>
        </w:rPr>
        <w:t>关于无偿移交拆迁安置房比例问题，我局采样</w:t>
      </w:r>
      <w:r>
        <w:rPr>
          <w:rFonts w:hint="eastAsia" w:ascii="仿宋_GB2312" w:hAnsi="仿宋" w:eastAsia="仿宋_GB2312"/>
          <w:b w:val="0"/>
          <w:color w:val="000000"/>
          <w:sz w:val="32"/>
          <w:szCs w:val="32"/>
          <w:highlight w:val="none"/>
          <w:lang w:val="en-US" w:eastAsia="zh-CN"/>
        </w:rPr>
        <w:t>11个更新项目进行测算，测算思路为保障房转为可售型人才房/安居型商品房，实施主体可获得一定利润，为保证实施主体获得利润与保障房回购同等利润的前提下，实施主体额外增加的净利润等价值置换商品房，并无偿移交政府</w:t>
      </w:r>
      <w:r>
        <w:rPr>
          <w:rFonts w:hint="eastAsia" w:ascii="仿宋_GB2312" w:hAnsi="仿宋" w:eastAsia="仿宋_GB2312"/>
          <w:b w:val="0"/>
          <w:color w:val="000000"/>
          <w:sz w:val="32"/>
          <w:szCs w:val="32"/>
          <w:highlight w:val="none"/>
          <w:lang w:eastAsia="zh-CN"/>
        </w:rPr>
        <w:t>。测算结果如下：一是若配建公共住房全部为可售型人才房，实施主体需无偿移交非商品性、商品性拆迁安置房，移交的拆迁安置房建筑面积为配建可售型人才房建筑面积的</w:t>
      </w:r>
      <w:r>
        <w:rPr>
          <w:rFonts w:hint="eastAsia" w:ascii="仿宋_GB2312" w:hAnsi="仿宋" w:eastAsia="仿宋_GB2312"/>
          <w:b w:val="0"/>
          <w:color w:val="000000"/>
          <w:sz w:val="32"/>
          <w:szCs w:val="32"/>
          <w:highlight w:val="none"/>
          <w:lang w:val="en-US" w:eastAsia="zh-CN"/>
        </w:rPr>
        <w:t>16%、15%；二是若配建</w:t>
      </w:r>
      <w:r>
        <w:rPr>
          <w:rFonts w:hint="eastAsia" w:ascii="仿宋_GB2312" w:hAnsi="仿宋" w:eastAsia="仿宋_GB2312"/>
          <w:b w:val="0"/>
          <w:color w:val="000000"/>
          <w:sz w:val="32"/>
          <w:szCs w:val="32"/>
          <w:highlight w:val="none"/>
          <w:lang w:eastAsia="zh-CN"/>
        </w:rPr>
        <w:t>公共住房</w:t>
      </w:r>
      <w:r>
        <w:rPr>
          <w:rFonts w:hint="eastAsia" w:ascii="仿宋_GB2312" w:hAnsi="仿宋" w:eastAsia="仿宋_GB2312"/>
          <w:b w:val="0"/>
          <w:color w:val="000000"/>
          <w:sz w:val="32"/>
          <w:szCs w:val="32"/>
          <w:highlight w:val="none"/>
          <w:lang w:val="en-US" w:eastAsia="zh-CN"/>
        </w:rPr>
        <w:t>全部为安居型商品房，</w:t>
      </w:r>
      <w:r>
        <w:rPr>
          <w:rFonts w:hint="eastAsia" w:ascii="仿宋_GB2312" w:hAnsi="仿宋" w:eastAsia="仿宋_GB2312"/>
          <w:b w:val="0"/>
          <w:color w:val="000000"/>
          <w:sz w:val="32"/>
          <w:szCs w:val="32"/>
          <w:highlight w:val="none"/>
          <w:lang w:eastAsia="zh-CN"/>
        </w:rPr>
        <w:t>实施主体需无偿移交非商品性、商品性拆迁安置房，</w:t>
      </w:r>
      <w:r>
        <w:rPr>
          <w:rFonts w:hint="eastAsia" w:ascii="仿宋_GB2312" w:hAnsi="仿宋" w:eastAsia="仿宋_GB2312"/>
          <w:b w:val="0"/>
          <w:color w:val="000000"/>
          <w:sz w:val="32"/>
          <w:szCs w:val="32"/>
          <w:highlight w:val="none"/>
          <w:lang w:val="en-US" w:eastAsia="zh-CN"/>
        </w:rPr>
        <w:t>移交</w:t>
      </w:r>
      <w:r>
        <w:rPr>
          <w:rFonts w:hint="eastAsia" w:ascii="仿宋_GB2312" w:hAnsi="仿宋" w:eastAsia="仿宋_GB2312"/>
          <w:b w:val="0"/>
          <w:color w:val="000000"/>
          <w:sz w:val="32"/>
          <w:szCs w:val="32"/>
          <w:highlight w:val="none"/>
          <w:lang w:eastAsia="zh-CN"/>
        </w:rPr>
        <w:t>的拆迁安置房建筑面积为配建安居型商品房建筑面积的</w:t>
      </w:r>
      <w:r>
        <w:rPr>
          <w:rFonts w:hint="eastAsia" w:ascii="仿宋_GB2312" w:hAnsi="仿宋" w:eastAsia="仿宋_GB2312"/>
          <w:b w:val="0"/>
          <w:color w:val="000000"/>
          <w:sz w:val="32"/>
          <w:szCs w:val="32"/>
          <w:highlight w:val="none"/>
          <w:lang w:val="en-US" w:eastAsia="zh-CN"/>
        </w:rPr>
        <w:t>13%、12%。</w:t>
      </w:r>
    </w:p>
    <w:p>
      <w:pPr>
        <w:numPr>
          <w:ilvl w:val="-1"/>
          <w:numId w:val="0"/>
        </w:numPr>
        <w:spacing w:line="240" w:lineRule="auto"/>
        <w:ind w:left="630" w:firstLine="0" w:firstLineChars="0"/>
        <w:rPr>
          <w:rFonts w:hint="eastAsia" w:ascii="仿宋_GB2312" w:hAnsi="仿宋" w:eastAsia="仿宋_GB2312"/>
          <w:b/>
          <w:bCs/>
          <w:color w:val="000000"/>
          <w:sz w:val="32"/>
          <w:szCs w:val="32"/>
          <w:lang w:eastAsia="zh-CN"/>
        </w:rPr>
      </w:pPr>
      <w:r>
        <w:rPr>
          <w:rFonts w:hint="eastAsia" w:ascii="仿宋_GB2312" w:hAnsi="仿宋" w:eastAsia="仿宋_GB2312"/>
          <w:b/>
          <w:bCs/>
          <w:color w:val="000000"/>
          <w:sz w:val="32"/>
          <w:szCs w:val="32"/>
          <w:lang w:eastAsia="zh-CN"/>
        </w:rPr>
        <w:t>（五）明确</w:t>
      </w:r>
      <w:r>
        <w:rPr>
          <w:rFonts w:hint="eastAsia" w:ascii="仿宋_GB2312" w:hAnsi="仿宋" w:eastAsia="仿宋_GB2312"/>
          <w:b/>
          <w:bCs/>
          <w:color w:val="000000"/>
          <w:sz w:val="32"/>
          <w:szCs w:val="32"/>
          <w:lang w:val="en-US" w:eastAsia="zh-CN"/>
        </w:rPr>
        <w:t>90平方米以上人才房申请条件</w:t>
      </w:r>
    </w:p>
    <w:p>
      <w:pPr>
        <w:pStyle w:val="8"/>
        <w:ind w:firstLine="640" w:firstLineChars="200"/>
        <w:rPr>
          <w:rFonts w:hint="eastAsia"/>
        </w:rPr>
      </w:pPr>
      <w:r>
        <w:rPr>
          <w:rFonts w:hint="eastAsia" w:ascii="仿宋_GB2312" w:hAnsi="仿宋" w:eastAsia="仿宋_GB2312" w:cs="Times New Roman"/>
          <w:b w:val="0"/>
          <w:bCs w:val="0"/>
          <w:color w:val="000000"/>
          <w:kern w:val="2"/>
          <w:sz w:val="32"/>
          <w:szCs w:val="32"/>
          <w:lang w:val="en-US" w:eastAsia="zh-CN"/>
        </w:rPr>
        <w:t>目前，市级层面尚未出台人才房出售的相关规定，考虑到光明科学城将引进大量的高层次人才，为提前做好谋划，结合《深圳市人才安居办法》、《光明区人才住房配租管理办法》等规定，</w:t>
      </w:r>
      <w:r>
        <w:rPr>
          <w:rFonts w:hint="eastAsia" w:ascii="仿宋_GB2312" w:hAnsi="仿宋" w:eastAsia="仿宋_GB2312" w:cs="Times New Roman"/>
          <w:b w:val="0"/>
          <w:bCs w:val="0"/>
          <w:color w:val="000000"/>
          <w:kern w:val="2"/>
          <w:sz w:val="32"/>
          <w:szCs w:val="32"/>
          <w:highlight w:val="none"/>
          <w:lang w:val="en-US" w:eastAsia="zh-CN"/>
        </w:rPr>
        <w:t>明确新供应的可售型人才住房项目</w:t>
      </w:r>
      <w:r>
        <w:rPr>
          <w:rFonts w:hint="eastAsia" w:ascii="仿宋_GB2312" w:hAnsi="仿宋" w:eastAsia="仿宋_GB2312" w:cs="Times New Roman"/>
          <w:b w:val="0"/>
          <w:bCs w:val="0"/>
          <w:color w:val="000000"/>
          <w:kern w:val="2"/>
          <w:sz w:val="32"/>
          <w:szCs w:val="32"/>
          <w:highlight w:val="none"/>
          <w:lang w:val="en-US" w:eastAsia="zh-CN"/>
        </w:rPr>
        <w:t>申请配建部分90平方米以上人才房的，应经区住房和建设局审核后，报市住房和建设局审定。招拍挂用地配建的公共住房类型、户型等按土地出让方案执行</w:t>
      </w:r>
      <w:r>
        <w:rPr>
          <w:rFonts w:hint="eastAsia" w:ascii="仿宋_GB2312" w:hAnsi="仿宋" w:eastAsia="仿宋_GB2312" w:cs="Times New Roman"/>
          <w:b w:val="0"/>
          <w:bCs w:val="0"/>
          <w:color w:val="000000"/>
          <w:kern w:val="2"/>
          <w:sz w:val="32"/>
          <w:szCs w:val="32"/>
          <w:lang w:val="en-US" w:eastAsia="zh-CN"/>
        </w:rPr>
        <w:t>。</w:t>
      </w:r>
      <w:bookmarkStart w:id="0" w:name="_GoBack"/>
      <w:bookmarkEnd w:id="0"/>
    </w:p>
    <w:p>
      <w:pPr>
        <w:pStyle w:val="8"/>
        <w:rPr>
          <w:rFonts w:hint="eastAsia" w:ascii="仿宋_GB2312" w:hAnsi="仿宋" w:eastAsia="仿宋_GB2312"/>
          <w:color w:val="000000"/>
          <w:sz w:val="32"/>
          <w:szCs w:val="32"/>
          <w:lang w:eastAsia="zh-CN"/>
        </w:rPr>
      </w:pPr>
    </w:p>
    <w:p>
      <w:pPr>
        <w:spacing w:line="520" w:lineRule="exact"/>
        <w:ind w:firstLine="633" w:firstLineChars="198"/>
        <w:jc w:val="right"/>
        <w:rPr>
          <w:rFonts w:hint="eastAsia" w:ascii="仿宋" w:hAnsi="仿宋" w:eastAsia="仿宋"/>
          <w:sz w:val="32"/>
          <w:szCs w:val="32"/>
          <w:lang w:eastAsia="zh-CN"/>
        </w:rPr>
      </w:pPr>
      <w:r>
        <w:rPr>
          <w:rFonts w:hint="eastAsia" w:ascii="仿宋" w:hAnsi="仿宋" w:eastAsia="仿宋"/>
          <w:sz w:val="32"/>
          <w:szCs w:val="32"/>
          <w:lang w:eastAsia="zh-CN"/>
        </w:rPr>
        <w:t>光明区住房和建设局</w:t>
      </w:r>
    </w:p>
    <w:p>
      <w:pPr>
        <w:spacing w:line="520" w:lineRule="exact"/>
        <w:ind w:firstLine="633" w:firstLineChars="198"/>
        <w:jc w:val="right"/>
        <w:rPr>
          <w:rFonts w:hint="eastAsia" w:ascii="仿宋" w:hAnsi="仿宋" w:eastAsia="仿宋"/>
          <w:sz w:val="32"/>
          <w:szCs w:val="32"/>
        </w:rPr>
      </w:pPr>
      <w:r>
        <w:rPr>
          <w:rFonts w:hint="eastAsia" w:ascii="仿宋" w:hAnsi="仿宋" w:eastAsia="仿宋"/>
          <w:sz w:val="32"/>
          <w:szCs w:val="32"/>
          <w:lang w:val="en-US" w:eastAsia="zh-CN"/>
        </w:rPr>
        <w:t>2020</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w:t>
      </w:r>
    </w:p>
    <w:p>
      <w:pPr>
        <w:pStyle w:val="8"/>
        <w:ind w:firstLine="643" w:firstLineChars="200"/>
        <w:rPr>
          <w:rFonts w:hint="default" w:ascii="仿宋_GB2312" w:hAnsi="仿宋" w:eastAsia="仿宋_GB2312" w:cs="Times New Roman"/>
          <w:b/>
          <w:bCs/>
          <w:color w:val="000000"/>
          <w:kern w:val="0"/>
          <w:sz w:val="32"/>
          <w:szCs w:val="32"/>
          <w:lang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7871012"/>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7BC"/>
    <w:rsid w:val="000A76B4"/>
    <w:rsid w:val="000D6448"/>
    <w:rsid w:val="00121567"/>
    <w:rsid w:val="00124057"/>
    <w:rsid w:val="00124A2D"/>
    <w:rsid w:val="00137929"/>
    <w:rsid w:val="00164ECE"/>
    <w:rsid w:val="00185E46"/>
    <w:rsid w:val="001B1C75"/>
    <w:rsid w:val="001D5766"/>
    <w:rsid w:val="001E12A0"/>
    <w:rsid w:val="001F5EF9"/>
    <w:rsid w:val="00206A10"/>
    <w:rsid w:val="00207C17"/>
    <w:rsid w:val="00257C1A"/>
    <w:rsid w:val="002620B7"/>
    <w:rsid w:val="00277BC6"/>
    <w:rsid w:val="00293DCB"/>
    <w:rsid w:val="002E20D9"/>
    <w:rsid w:val="00340F02"/>
    <w:rsid w:val="00360E7A"/>
    <w:rsid w:val="003D5E27"/>
    <w:rsid w:val="003F125F"/>
    <w:rsid w:val="0041369A"/>
    <w:rsid w:val="00420D9A"/>
    <w:rsid w:val="004920AF"/>
    <w:rsid w:val="004B2AFA"/>
    <w:rsid w:val="004F27BC"/>
    <w:rsid w:val="005156BA"/>
    <w:rsid w:val="00527CA0"/>
    <w:rsid w:val="00537FBB"/>
    <w:rsid w:val="00540A5F"/>
    <w:rsid w:val="00543137"/>
    <w:rsid w:val="00572BFB"/>
    <w:rsid w:val="005F5BBC"/>
    <w:rsid w:val="00651E87"/>
    <w:rsid w:val="00656EFC"/>
    <w:rsid w:val="00675E06"/>
    <w:rsid w:val="00687A1D"/>
    <w:rsid w:val="00694B8F"/>
    <w:rsid w:val="006A13EC"/>
    <w:rsid w:val="006A6748"/>
    <w:rsid w:val="006B0F72"/>
    <w:rsid w:val="006B2D8D"/>
    <w:rsid w:val="006B5DD7"/>
    <w:rsid w:val="006C27AE"/>
    <w:rsid w:val="006E50F1"/>
    <w:rsid w:val="00772769"/>
    <w:rsid w:val="0078121E"/>
    <w:rsid w:val="007F0A73"/>
    <w:rsid w:val="008030D0"/>
    <w:rsid w:val="0080319C"/>
    <w:rsid w:val="008269E7"/>
    <w:rsid w:val="00862707"/>
    <w:rsid w:val="00864643"/>
    <w:rsid w:val="0088042A"/>
    <w:rsid w:val="008847CD"/>
    <w:rsid w:val="00895845"/>
    <w:rsid w:val="008D141A"/>
    <w:rsid w:val="00990524"/>
    <w:rsid w:val="00A2116C"/>
    <w:rsid w:val="00A23546"/>
    <w:rsid w:val="00AA1338"/>
    <w:rsid w:val="00AC77E2"/>
    <w:rsid w:val="00AF1DE4"/>
    <w:rsid w:val="00B14DC8"/>
    <w:rsid w:val="00B40AAB"/>
    <w:rsid w:val="00B628C5"/>
    <w:rsid w:val="00B74ADA"/>
    <w:rsid w:val="00B74E9C"/>
    <w:rsid w:val="00B809ED"/>
    <w:rsid w:val="00B92583"/>
    <w:rsid w:val="00BC3EF6"/>
    <w:rsid w:val="00BF4701"/>
    <w:rsid w:val="00C133E1"/>
    <w:rsid w:val="00C64724"/>
    <w:rsid w:val="00C700E1"/>
    <w:rsid w:val="00C758EF"/>
    <w:rsid w:val="00C779C1"/>
    <w:rsid w:val="00C80982"/>
    <w:rsid w:val="00CB3036"/>
    <w:rsid w:val="00CC6BF7"/>
    <w:rsid w:val="00D016EB"/>
    <w:rsid w:val="00D4723F"/>
    <w:rsid w:val="00D915AD"/>
    <w:rsid w:val="00DC147B"/>
    <w:rsid w:val="00DD5DA5"/>
    <w:rsid w:val="00E0171C"/>
    <w:rsid w:val="00E55EB3"/>
    <w:rsid w:val="00E72D8B"/>
    <w:rsid w:val="00EC0F5A"/>
    <w:rsid w:val="00EC1924"/>
    <w:rsid w:val="00F16E2F"/>
    <w:rsid w:val="00F9772C"/>
    <w:rsid w:val="00FC1A7D"/>
    <w:rsid w:val="00FF481F"/>
    <w:rsid w:val="013F68F1"/>
    <w:rsid w:val="0193152C"/>
    <w:rsid w:val="021E76AC"/>
    <w:rsid w:val="02644CD6"/>
    <w:rsid w:val="02F52490"/>
    <w:rsid w:val="03CC1EB6"/>
    <w:rsid w:val="063011B1"/>
    <w:rsid w:val="0758683A"/>
    <w:rsid w:val="07D768E3"/>
    <w:rsid w:val="07EC43C6"/>
    <w:rsid w:val="080C6B14"/>
    <w:rsid w:val="08862E7F"/>
    <w:rsid w:val="08FA04AC"/>
    <w:rsid w:val="0A1A40AF"/>
    <w:rsid w:val="0A40525C"/>
    <w:rsid w:val="0A705295"/>
    <w:rsid w:val="0CA24C77"/>
    <w:rsid w:val="0CCD4371"/>
    <w:rsid w:val="0D9C4698"/>
    <w:rsid w:val="0EF2718B"/>
    <w:rsid w:val="0FD571EE"/>
    <w:rsid w:val="10D52AD0"/>
    <w:rsid w:val="11204676"/>
    <w:rsid w:val="13C91EFB"/>
    <w:rsid w:val="1475790A"/>
    <w:rsid w:val="149C35EA"/>
    <w:rsid w:val="15364AFE"/>
    <w:rsid w:val="1683017B"/>
    <w:rsid w:val="176D3B4D"/>
    <w:rsid w:val="17CE4600"/>
    <w:rsid w:val="183E5604"/>
    <w:rsid w:val="192B301C"/>
    <w:rsid w:val="19C10CE8"/>
    <w:rsid w:val="1A4D76FD"/>
    <w:rsid w:val="1AE02D74"/>
    <w:rsid w:val="1B045B1F"/>
    <w:rsid w:val="1BC51F6D"/>
    <w:rsid w:val="1C5259A0"/>
    <w:rsid w:val="1C653063"/>
    <w:rsid w:val="1CB160FB"/>
    <w:rsid w:val="1D777DC5"/>
    <w:rsid w:val="1E1203F3"/>
    <w:rsid w:val="1F1A27F8"/>
    <w:rsid w:val="1FAE08E7"/>
    <w:rsid w:val="1FB90B1D"/>
    <w:rsid w:val="208A04F1"/>
    <w:rsid w:val="214146EB"/>
    <w:rsid w:val="23506199"/>
    <w:rsid w:val="23885718"/>
    <w:rsid w:val="24666D48"/>
    <w:rsid w:val="24B24B6F"/>
    <w:rsid w:val="27DC3A0F"/>
    <w:rsid w:val="29D71FDE"/>
    <w:rsid w:val="2A600F8F"/>
    <w:rsid w:val="2B8C6609"/>
    <w:rsid w:val="2C3E3EFD"/>
    <w:rsid w:val="2CB14A98"/>
    <w:rsid w:val="2D3B0546"/>
    <w:rsid w:val="2DC10D4D"/>
    <w:rsid w:val="2E664A91"/>
    <w:rsid w:val="2ED731A1"/>
    <w:rsid w:val="2FD91780"/>
    <w:rsid w:val="301E5C94"/>
    <w:rsid w:val="318F30BB"/>
    <w:rsid w:val="33292B4B"/>
    <w:rsid w:val="33426671"/>
    <w:rsid w:val="33DA16FE"/>
    <w:rsid w:val="343D0169"/>
    <w:rsid w:val="34B2273A"/>
    <w:rsid w:val="34E87A15"/>
    <w:rsid w:val="354450CC"/>
    <w:rsid w:val="36A956A9"/>
    <w:rsid w:val="37A2232B"/>
    <w:rsid w:val="381C6B07"/>
    <w:rsid w:val="39522363"/>
    <w:rsid w:val="39EF086F"/>
    <w:rsid w:val="3A410491"/>
    <w:rsid w:val="3A6F5E6B"/>
    <w:rsid w:val="3A7F7C3F"/>
    <w:rsid w:val="3C2E1FBB"/>
    <w:rsid w:val="3C712B03"/>
    <w:rsid w:val="3D7657D8"/>
    <w:rsid w:val="3E9E144F"/>
    <w:rsid w:val="3FE458D0"/>
    <w:rsid w:val="400E7C4A"/>
    <w:rsid w:val="41CA4CE6"/>
    <w:rsid w:val="433800F0"/>
    <w:rsid w:val="449745F5"/>
    <w:rsid w:val="45D53A01"/>
    <w:rsid w:val="463000AD"/>
    <w:rsid w:val="472D7271"/>
    <w:rsid w:val="47C32283"/>
    <w:rsid w:val="47C46843"/>
    <w:rsid w:val="4AA12459"/>
    <w:rsid w:val="4AEC62D0"/>
    <w:rsid w:val="4B2F32F9"/>
    <w:rsid w:val="4BDC64C1"/>
    <w:rsid w:val="4D7C3632"/>
    <w:rsid w:val="4D987B43"/>
    <w:rsid w:val="4ED0653D"/>
    <w:rsid w:val="4F000F17"/>
    <w:rsid w:val="51C27066"/>
    <w:rsid w:val="51ED2B47"/>
    <w:rsid w:val="527112E9"/>
    <w:rsid w:val="528758BF"/>
    <w:rsid w:val="532D330E"/>
    <w:rsid w:val="56DF79B6"/>
    <w:rsid w:val="580912F4"/>
    <w:rsid w:val="58374CED"/>
    <w:rsid w:val="584E0730"/>
    <w:rsid w:val="58FF0E1B"/>
    <w:rsid w:val="5CA35E34"/>
    <w:rsid w:val="5DA47444"/>
    <w:rsid w:val="5ED7408C"/>
    <w:rsid w:val="5EEF4BD3"/>
    <w:rsid w:val="5F1B16BB"/>
    <w:rsid w:val="607B4A50"/>
    <w:rsid w:val="60DD495F"/>
    <w:rsid w:val="617D457D"/>
    <w:rsid w:val="625506EE"/>
    <w:rsid w:val="64BD6DAD"/>
    <w:rsid w:val="653507A3"/>
    <w:rsid w:val="65576DBF"/>
    <w:rsid w:val="66877544"/>
    <w:rsid w:val="66B62783"/>
    <w:rsid w:val="67381911"/>
    <w:rsid w:val="676C3A3E"/>
    <w:rsid w:val="685253CB"/>
    <w:rsid w:val="68A7252A"/>
    <w:rsid w:val="699655BB"/>
    <w:rsid w:val="69C9526A"/>
    <w:rsid w:val="6A0052BD"/>
    <w:rsid w:val="6B7E0FEC"/>
    <w:rsid w:val="6BA8191B"/>
    <w:rsid w:val="6C396C39"/>
    <w:rsid w:val="6C4C34CD"/>
    <w:rsid w:val="6D4F6942"/>
    <w:rsid w:val="6FA04C2F"/>
    <w:rsid w:val="7051690B"/>
    <w:rsid w:val="70620903"/>
    <w:rsid w:val="706A66C0"/>
    <w:rsid w:val="70E77350"/>
    <w:rsid w:val="71095C19"/>
    <w:rsid w:val="71984F47"/>
    <w:rsid w:val="72B41CC1"/>
    <w:rsid w:val="734232DD"/>
    <w:rsid w:val="735442BF"/>
    <w:rsid w:val="73C93001"/>
    <w:rsid w:val="73F7236B"/>
    <w:rsid w:val="742C34C2"/>
    <w:rsid w:val="74EA2E9E"/>
    <w:rsid w:val="75024527"/>
    <w:rsid w:val="75D56A1D"/>
    <w:rsid w:val="77A8087E"/>
    <w:rsid w:val="7A014162"/>
    <w:rsid w:val="7A290A99"/>
    <w:rsid w:val="7A547BD3"/>
    <w:rsid w:val="7A71176C"/>
    <w:rsid w:val="7D92520D"/>
    <w:rsid w:val="7E0F66B1"/>
    <w:rsid w:val="7E242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WW-Default"/>
    <w:qFormat/>
    <w:uiPriority w:val="0"/>
    <w:pPr>
      <w:widowControl w:val="0"/>
      <w:suppressAutoHyphens/>
      <w:autoSpaceDE w:val="0"/>
    </w:pPr>
    <w:rPr>
      <w:rFonts w:ascii="Times New Roman" w:hAnsi="Times New Roman" w:eastAsia="宋体" w:cs="Times New Roman"/>
      <w:color w:val="000000"/>
      <w:kern w:val="0"/>
      <w:sz w:val="24"/>
      <w:szCs w:val="24"/>
      <w:lang w:val="en-US" w:eastAsia="zh-CN" w:bidi="ar-SA"/>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1130</Words>
  <Characters>6443</Characters>
  <Lines>53</Lines>
  <Paragraphs>15</Paragraphs>
  <TotalTime>6</TotalTime>
  <ScaleCrop>false</ScaleCrop>
  <LinksUpToDate>false</LinksUpToDate>
  <CharactersWithSpaces>7558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2019-08-13T01:53:00Z</dcterms:created>
  <dc:creator>王雄</dc:creator>
  <cp:lastModifiedBy>施冬冬</cp:lastModifiedBy>
  <cp:lastPrinted>2020-07-08T06:57:00Z</cp:lastPrinted>
  <dcterms:modified xsi:type="dcterms:W3CDTF">2020-11-04T01:40:04Z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