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default" w:ascii="黑体" w:hAnsi="黑体" w:eastAsia="黑体" w:cs="黑体"/>
          <w:b w:val="0"/>
          <w:i w:val="0"/>
          <w:caps w:val="0"/>
          <w:color w:val="000000"/>
          <w:spacing w:val="0"/>
          <w:w w:val="100"/>
          <w:sz w:val="32"/>
          <w:szCs w:val="32"/>
          <w:lang w:val="en-US" w:eastAsia="zh-CN"/>
        </w:rPr>
      </w:pPr>
      <w:bookmarkStart w:id="0" w:name="_GoBack"/>
      <w:bookmarkEnd w:id="0"/>
      <w:r>
        <w:rPr>
          <w:rFonts w:hint="eastAsia" w:ascii="黑体" w:hAnsi="黑体" w:eastAsia="黑体" w:cs="黑体"/>
          <w:b w:val="0"/>
          <w:i w:val="0"/>
          <w:caps w:val="0"/>
          <w:color w:val="000000"/>
          <w:spacing w:val="0"/>
          <w:w w:val="10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3" w:firstLineChars="150"/>
        <w:jc w:val="center"/>
        <w:textAlignment w:val="baseline"/>
        <w:rPr>
          <w:rFonts w:hint="eastAsia" w:ascii="宋体" w:hAnsi="宋体" w:eastAsia="宋体" w:cs="Times New Roman"/>
          <w:b/>
          <w:i w:val="0"/>
          <w:caps w:val="0"/>
          <w:spacing w:val="0"/>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3" w:firstLineChars="150"/>
        <w:jc w:val="center"/>
        <w:textAlignment w:val="baseline"/>
        <w:rPr>
          <w:rFonts w:hint="eastAsia" w:ascii="宋体" w:hAnsi="宋体" w:eastAsia="宋体" w:cs="Times New Roman"/>
          <w:b/>
          <w:i w:val="0"/>
          <w:caps w:val="0"/>
          <w:spacing w:val="0"/>
          <w:w w:val="100"/>
          <w:sz w:val="44"/>
          <w:szCs w:val="44"/>
          <w:lang w:eastAsia="zh-CN"/>
        </w:rPr>
      </w:pPr>
      <w:r>
        <w:rPr>
          <w:rFonts w:hint="eastAsia" w:ascii="宋体" w:hAnsi="宋体" w:eastAsia="宋体" w:cs="Times New Roman"/>
          <w:b/>
          <w:i w:val="0"/>
          <w:caps w:val="0"/>
          <w:spacing w:val="0"/>
          <w:w w:val="100"/>
          <w:sz w:val="44"/>
          <w:szCs w:val="44"/>
          <w:lang w:eastAsia="zh-CN"/>
        </w:rPr>
        <w:t>修订说明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3" w:firstLineChars="150"/>
        <w:jc w:val="center"/>
        <w:textAlignment w:val="baseline"/>
        <w:rPr>
          <w:rFonts w:hint="eastAsia" w:ascii="宋体" w:hAnsi="宋体" w:eastAsia="宋体" w:cs="Times New Roman"/>
          <w:b/>
          <w:i w:val="0"/>
          <w:caps w:val="0"/>
          <w:spacing w:val="0"/>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color w:val="auto"/>
          <w:spacing w:val="0"/>
          <w:w w:val="100"/>
          <w:sz w:val="32"/>
          <w:szCs w:val="32"/>
          <w:lang w:val="en-US" w:eastAsia="zh-CN"/>
        </w:rPr>
      </w:pPr>
      <w:r>
        <w:rPr>
          <w:rFonts w:hint="eastAsia" w:ascii="仿宋_GB2312" w:hAnsi="仿宋_GB2312" w:eastAsia="仿宋_GB2312" w:cs="仿宋_GB2312"/>
          <w:b w:val="0"/>
          <w:bCs w:val="0"/>
          <w:i w:val="0"/>
          <w:caps w:val="0"/>
          <w:color w:val="auto"/>
          <w:spacing w:val="0"/>
          <w:w w:val="100"/>
          <w:sz w:val="32"/>
          <w:szCs w:val="32"/>
          <w:lang w:val="en-US" w:eastAsia="zh-CN"/>
        </w:rPr>
        <w:t>为完善残疾人社会保障制度，建立健全惠及全年龄段、广覆盖的社会保障体系,区残联根据政策薄弱环节，联合原光明新区发展和财政局，于2018年5月28日印发了《光明新区残疾少年儿童居家康复服务补助办法》（以下简称《办法》），对光明区户籍18周岁以下残疾儿童少年发放居家康复服务补助，以改善残疾儿童少年家庭生活状况，填补残疾儿童少年居家康复福利政策空白。此《办法》有效期为三年，将于2021年5月27日到期。为保障政策实施的持续性，进一步巩固拓展残疾人全面小康进程成果，我局拟根据相关文件要求，并结合实际，对《办法》进行修订。现将有关情况说明如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Times New Roman" w:eastAsia="黑体" w:cs="Times New Roman"/>
          <w:b w:val="0"/>
          <w:i w:val="0"/>
          <w:caps w:val="0"/>
          <w:spacing w:val="0"/>
          <w:w w:val="100"/>
          <w:sz w:val="32"/>
          <w:szCs w:val="32"/>
          <w:lang w:val="zh-CN"/>
        </w:rPr>
      </w:pPr>
      <w:r>
        <w:rPr>
          <w:rFonts w:hint="eastAsia" w:ascii="黑体" w:hAnsi="Times New Roman" w:eastAsia="黑体" w:cs="Times New Roman"/>
          <w:b w:val="0"/>
          <w:i w:val="0"/>
          <w:caps w:val="0"/>
          <w:spacing w:val="0"/>
          <w:w w:val="100"/>
          <w:sz w:val="32"/>
          <w:szCs w:val="32"/>
          <w:lang w:val="en-US" w:eastAsia="zh-CN"/>
        </w:rPr>
        <w:t>一、</w:t>
      </w:r>
      <w:r>
        <w:rPr>
          <w:rFonts w:hint="eastAsia" w:ascii="黑体" w:hAnsi="Times New Roman" w:eastAsia="黑体" w:cs="Times New Roman"/>
          <w:b w:val="0"/>
          <w:i w:val="0"/>
          <w:caps w:val="0"/>
          <w:spacing w:val="0"/>
          <w:w w:val="100"/>
          <w:sz w:val="32"/>
          <w:szCs w:val="32"/>
          <w:lang w:val="zh-CN"/>
        </w:rPr>
        <w:t>修订背景</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lang w:eastAsia="zh-CN"/>
        </w:rPr>
      </w:pPr>
      <w:r>
        <w:rPr>
          <w:rFonts w:hint="eastAsia" w:ascii="仿宋_GB2312" w:eastAsia="仿宋_GB2312"/>
          <w:b w:val="0"/>
          <w:i w:val="0"/>
          <w:caps w:val="0"/>
          <w:color w:val="000000"/>
          <w:spacing w:val="0"/>
          <w:w w:val="100"/>
          <w:sz w:val="32"/>
          <w:szCs w:val="32"/>
          <w:lang w:val="en-US" w:eastAsia="zh-CN"/>
        </w:rPr>
        <w:t>残疾人是人类大家庭的弱势群体，残疾儿童少年是弱势群体当中的特殊困难群体。对于残疾儿童少年家庭来说，家庭部分劳动力因需照看残疾儿童少年而无法外出工作，导致家庭经济收入减少，加之残疾儿童少年在成长过程中康复、医疗、教育等产生的高额费用，更易导致家庭陷入困境，在生活、经济和精神上都承受着压力。因此，区残联联合原光明新区发展和财政局于</w:t>
      </w:r>
      <w:r>
        <w:rPr>
          <w:rFonts w:hint="eastAsia" w:ascii="仿宋_GB2312" w:eastAsia="仿宋_GB2312"/>
          <w:b w:val="0"/>
          <w:i w:val="0"/>
          <w:caps w:val="0"/>
          <w:color w:val="000000"/>
          <w:spacing w:val="0"/>
          <w:w w:val="100"/>
          <w:sz w:val="32"/>
          <w:szCs w:val="32"/>
          <w:lang w:eastAsia="zh-CN"/>
        </w:rPr>
        <w:t>201</w:t>
      </w:r>
      <w:r>
        <w:rPr>
          <w:rFonts w:hint="eastAsia" w:ascii="仿宋_GB2312" w:eastAsia="仿宋_GB2312"/>
          <w:b w:val="0"/>
          <w:i w:val="0"/>
          <w:caps w:val="0"/>
          <w:color w:val="000000"/>
          <w:spacing w:val="0"/>
          <w:w w:val="100"/>
          <w:sz w:val="32"/>
          <w:szCs w:val="32"/>
          <w:lang w:val="en-US" w:eastAsia="zh-CN"/>
        </w:rPr>
        <w:t>8</w:t>
      </w:r>
      <w:r>
        <w:rPr>
          <w:rFonts w:hint="eastAsia" w:ascii="仿宋_GB2312" w:eastAsia="仿宋_GB2312"/>
          <w:b w:val="0"/>
          <w:i w:val="0"/>
          <w:caps w:val="0"/>
          <w:color w:val="000000"/>
          <w:spacing w:val="0"/>
          <w:w w:val="100"/>
          <w:sz w:val="32"/>
          <w:szCs w:val="32"/>
          <w:lang w:eastAsia="zh-CN"/>
        </w:rPr>
        <w:t>年出台</w:t>
      </w:r>
      <w:r>
        <w:rPr>
          <w:rFonts w:hint="eastAsia" w:ascii="仿宋_GB2312" w:eastAsia="仿宋_GB2312"/>
          <w:b w:val="0"/>
          <w:i w:val="0"/>
          <w:caps w:val="0"/>
          <w:color w:val="000000"/>
          <w:spacing w:val="0"/>
          <w:w w:val="100"/>
          <w:sz w:val="32"/>
          <w:szCs w:val="32"/>
          <w:lang w:val="en-US" w:eastAsia="zh-CN"/>
        </w:rPr>
        <w:t>了《办法》</w:t>
      </w:r>
      <w:r>
        <w:rPr>
          <w:rFonts w:hint="eastAsia" w:ascii="仿宋_GB2312" w:eastAsia="仿宋_GB2312"/>
          <w:b w:val="0"/>
          <w:i w:val="0"/>
          <w:caps w:val="0"/>
          <w:color w:val="000000"/>
          <w:spacing w:val="0"/>
          <w:w w:val="100"/>
          <w:sz w:val="32"/>
          <w:szCs w:val="32"/>
          <w:lang w:eastAsia="zh-CN"/>
        </w:rPr>
        <w:t>，</w:t>
      </w:r>
      <w:r>
        <w:rPr>
          <w:rFonts w:hint="eastAsia" w:ascii="仿宋_GB2312" w:eastAsia="仿宋_GB2312"/>
          <w:b w:val="0"/>
          <w:i w:val="0"/>
          <w:caps w:val="0"/>
          <w:color w:val="000000"/>
          <w:spacing w:val="0"/>
          <w:w w:val="100"/>
          <w:sz w:val="32"/>
          <w:szCs w:val="32"/>
          <w:lang w:val="en-US" w:eastAsia="zh-CN"/>
        </w:rPr>
        <w:t>以缓解此类家庭的经济困难。为防止此类家庭经济再次陷入困境，出现返贫现象，同时加强对</w:t>
      </w:r>
      <w:r>
        <w:rPr>
          <w:rFonts w:hint="eastAsia" w:ascii="仿宋_GB2312" w:eastAsia="仿宋_GB2312"/>
          <w:b w:val="0"/>
          <w:i w:val="0"/>
          <w:caps w:val="0"/>
          <w:color w:val="000000"/>
          <w:spacing w:val="0"/>
          <w:w w:val="100"/>
          <w:sz w:val="32"/>
          <w:szCs w:val="32"/>
          <w:lang w:eastAsia="zh-CN"/>
        </w:rPr>
        <w:t>规范性文件的管理，确保规范性文件适应机构改革和优化营商环境需要，提高规范性文件质量和实施效能，</w:t>
      </w:r>
      <w:r>
        <w:rPr>
          <w:rFonts w:hint="eastAsia" w:ascii="仿宋_GB2312" w:eastAsia="仿宋_GB2312"/>
          <w:b w:val="0"/>
          <w:i w:val="0"/>
          <w:caps w:val="0"/>
          <w:color w:val="000000"/>
          <w:spacing w:val="0"/>
          <w:w w:val="100"/>
          <w:sz w:val="32"/>
          <w:szCs w:val="32"/>
          <w:lang w:val="en-US" w:eastAsia="zh-CN"/>
        </w:rPr>
        <w:t>坚持保基本、可持续的原则，有必要延续《办法》，</w:t>
      </w:r>
      <w:r>
        <w:rPr>
          <w:rFonts w:hint="eastAsia" w:ascii="仿宋_GB2312" w:hAnsi="Times New Roman" w:eastAsia="仿宋_GB2312" w:cs="Times New Roman"/>
          <w:b w:val="0"/>
          <w:i w:val="0"/>
          <w:caps w:val="0"/>
          <w:spacing w:val="0"/>
          <w:w w:val="100"/>
          <w:sz w:val="32"/>
          <w:szCs w:val="32"/>
          <w:lang w:val="en-US" w:eastAsia="zh-CN"/>
        </w:rPr>
        <w:t>让惠民利民政策持续发力。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黑体" w:hAnsi="Times New Roman" w:eastAsia="黑体" w:cs="Times New Roman"/>
          <w:b w:val="0"/>
          <w:i w:val="0"/>
          <w:caps w:val="0"/>
          <w:spacing w:val="0"/>
          <w:w w:val="100"/>
          <w:sz w:val="32"/>
          <w:szCs w:val="32"/>
          <w:lang w:val="en-US" w:eastAsia="zh-CN"/>
        </w:rPr>
      </w:pPr>
      <w:r>
        <w:rPr>
          <w:rFonts w:hint="eastAsia" w:ascii="黑体" w:hAnsi="Times New Roman" w:eastAsia="黑体" w:cs="Times New Roman"/>
          <w:b w:val="0"/>
          <w:i w:val="0"/>
          <w:caps w:val="0"/>
          <w:spacing w:val="0"/>
          <w:w w:val="100"/>
          <w:sz w:val="32"/>
          <w:szCs w:val="32"/>
          <w:lang w:val="zh-CN" w:eastAsia="zh-CN"/>
        </w:rPr>
        <w:t>二、</w:t>
      </w:r>
      <w:r>
        <w:rPr>
          <w:rFonts w:hint="eastAsia" w:ascii="黑体" w:hAnsi="Times New Roman" w:eastAsia="黑体" w:cs="Times New Roman"/>
          <w:b w:val="0"/>
          <w:i w:val="0"/>
          <w:caps w:val="0"/>
          <w:spacing w:val="0"/>
          <w:w w:val="100"/>
          <w:sz w:val="32"/>
          <w:szCs w:val="32"/>
          <w:lang w:val="en-US" w:eastAsia="zh-CN"/>
        </w:rPr>
        <w:t>政策依据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Times New Roman" w:hAnsi="Times New Roman" w:eastAsia="仿宋_GB2312" w:cs="Times New Roman"/>
          <w:b w:val="0"/>
          <w:i w:val="0"/>
          <w:caps w:val="0"/>
          <w:spacing w:val="0"/>
          <w:w w:val="100"/>
          <w:sz w:val="32"/>
          <w:szCs w:val="32"/>
          <w:lang w:val="zh-CN"/>
        </w:rPr>
      </w:pPr>
      <w:r>
        <w:rPr>
          <w:rFonts w:hint="eastAsia" w:ascii="仿宋_GB2312" w:hAnsi="仿宋_GB2312" w:eastAsia="仿宋_GB2312" w:cs="仿宋_GB2312"/>
          <w:b w:val="0"/>
          <w:bCs/>
          <w:i w:val="0"/>
          <w:caps w:val="0"/>
          <w:spacing w:val="0"/>
          <w:w w:val="100"/>
          <w:sz w:val="32"/>
          <w:szCs w:val="32"/>
        </w:rPr>
        <w:t>深圳市残疾人联合会等7部门《关于印发〈深圳市残疾人精准康复服务行动实施方案〉的通知》（深残联发</w:t>
      </w:r>
      <w:r>
        <w:rPr>
          <w:rFonts w:hint="eastAsia" w:ascii="仿宋_GB2312" w:hAnsi="Times New Roman" w:eastAsia="仿宋_GB2312" w:cs="Times New Roman"/>
          <w:b w:val="0"/>
          <w:i w:val="0"/>
          <w:caps w:val="0"/>
          <w:spacing w:val="0"/>
          <w:w w:val="100"/>
          <w:sz w:val="32"/>
          <w:szCs w:val="32"/>
          <w:lang w:val="zh-CN"/>
        </w:rPr>
        <w:t>〔</w:t>
      </w:r>
      <w:r>
        <w:rPr>
          <w:rFonts w:hint="eastAsia" w:ascii="仿宋_GB2312" w:hAnsi="Times New Roman" w:eastAsia="仿宋_GB2312" w:cs="Times New Roman"/>
          <w:b w:val="0"/>
          <w:i w:val="0"/>
          <w:caps w:val="0"/>
          <w:spacing w:val="0"/>
          <w:w w:val="100"/>
          <w:sz w:val="32"/>
          <w:szCs w:val="32"/>
        </w:rPr>
        <w:t>2017</w:t>
      </w:r>
      <w:r>
        <w:rPr>
          <w:rFonts w:hint="eastAsia" w:ascii="仿宋_GB2312" w:hAnsi="Times New Roman" w:eastAsia="仿宋_GB2312" w:cs="Times New Roman"/>
          <w:b w:val="0"/>
          <w:i w:val="0"/>
          <w:caps w:val="0"/>
          <w:spacing w:val="0"/>
          <w:w w:val="100"/>
          <w:sz w:val="32"/>
          <w:szCs w:val="32"/>
          <w:lang w:val="zh-CN"/>
        </w:rPr>
        <w:t>〕</w:t>
      </w:r>
      <w:r>
        <w:rPr>
          <w:rFonts w:hint="eastAsia" w:ascii="仿宋_GB2312" w:hAnsi="Times New Roman" w:eastAsia="仿宋_GB2312" w:cs="Times New Roman"/>
          <w:b w:val="0"/>
          <w:i w:val="0"/>
          <w:caps w:val="0"/>
          <w:spacing w:val="0"/>
          <w:w w:val="100"/>
          <w:sz w:val="32"/>
          <w:szCs w:val="32"/>
        </w:rPr>
        <w:t>2</w:t>
      </w:r>
      <w:r>
        <w:rPr>
          <w:rFonts w:hint="eastAsia" w:ascii="仿宋_GB2312" w:hAnsi="Times New Roman" w:eastAsia="仿宋_GB2312" w:cs="Times New Roman"/>
          <w:b w:val="0"/>
          <w:i w:val="0"/>
          <w:caps w:val="0"/>
          <w:spacing w:val="0"/>
          <w:w w:val="100"/>
          <w:sz w:val="32"/>
          <w:szCs w:val="32"/>
          <w:lang w:val="zh-CN"/>
        </w:rPr>
        <w:t>号）</w:t>
      </w:r>
      <w:r>
        <w:rPr>
          <w:rFonts w:hint="eastAsia" w:ascii="Times New Roman" w:hAnsi="Times New Roman" w:eastAsia="仿宋_GB2312" w:cs="Times New Roman"/>
          <w:b w:val="0"/>
          <w:i w:val="0"/>
          <w:caps w:val="0"/>
          <w:spacing w:val="0"/>
          <w:w w:val="100"/>
          <w:sz w:val="32"/>
          <w:szCs w:val="32"/>
          <w:lang w:val="zh-CN"/>
        </w:rPr>
        <w:t>要求“各区可在市级内容的基础上适当增加康复服务及补贴项目，逐步建立惠及全年龄段、全覆盖的残疾人精准康复服务体系”。</w:t>
      </w:r>
      <w:r>
        <w:rPr>
          <w:rFonts w:hint="eastAsia" w:ascii="仿宋_GB2312" w:hAnsi="仿宋_GB2312" w:eastAsia="仿宋_GB2312" w:cs="仿宋_GB2312"/>
          <w:b w:val="0"/>
          <w:bCs/>
          <w:i w:val="0"/>
          <w:caps w:val="0"/>
          <w:spacing w:val="0"/>
          <w:w w:val="100"/>
          <w:sz w:val="32"/>
          <w:szCs w:val="32"/>
          <w:lang w:eastAsia="zh-CN"/>
        </w:rPr>
        <w:t>《</w:t>
      </w:r>
      <w:r>
        <w:rPr>
          <w:rFonts w:hint="eastAsia" w:ascii="仿宋_GB2312" w:hAnsi="仿宋_GB2312" w:eastAsia="仿宋_GB2312" w:cs="仿宋_GB2312"/>
          <w:b w:val="0"/>
          <w:bCs/>
          <w:i w:val="0"/>
          <w:caps w:val="0"/>
          <w:spacing w:val="0"/>
          <w:w w:val="100"/>
          <w:sz w:val="32"/>
          <w:szCs w:val="32"/>
        </w:rPr>
        <w:t>深圳市民政局等部门关于印发深圳市困境儿童分类保障工作指引</w:t>
      </w:r>
      <w:r>
        <w:rPr>
          <w:rFonts w:hint="eastAsia" w:ascii="仿宋_GB2312" w:hAnsi="仿宋_GB2312" w:eastAsia="仿宋_GB2312" w:cs="仿宋_GB2312"/>
          <w:b w:val="0"/>
          <w:bCs/>
          <w:i w:val="0"/>
          <w:caps w:val="0"/>
          <w:spacing w:val="0"/>
          <w:w w:val="100"/>
          <w:sz w:val="32"/>
          <w:szCs w:val="32"/>
          <w:lang w:eastAsia="zh-CN"/>
        </w:rPr>
        <w:t>（</w:t>
      </w:r>
      <w:r>
        <w:rPr>
          <w:rFonts w:hint="eastAsia" w:ascii="仿宋_GB2312" w:hAnsi="仿宋_GB2312" w:eastAsia="仿宋_GB2312" w:cs="仿宋_GB2312"/>
          <w:b w:val="0"/>
          <w:bCs/>
          <w:i w:val="0"/>
          <w:caps w:val="0"/>
          <w:spacing w:val="0"/>
          <w:w w:val="100"/>
          <w:sz w:val="32"/>
          <w:szCs w:val="32"/>
        </w:rPr>
        <w:t>试行</w:t>
      </w:r>
      <w:r>
        <w:rPr>
          <w:rFonts w:hint="eastAsia" w:ascii="仿宋_GB2312" w:hAnsi="仿宋_GB2312" w:eastAsia="仿宋_GB2312" w:cs="仿宋_GB2312"/>
          <w:b w:val="0"/>
          <w:bCs/>
          <w:i w:val="0"/>
          <w:caps w:val="0"/>
          <w:spacing w:val="0"/>
          <w:w w:val="100"/>
          <w:sz w:val="32"/>
          <w:szCs w:val="32"/>
          <w:lang w:eastAsia="zh-CN"/>
        </w:rPr>
        <w:t>）</w:t>
      </w:r>
      <w:r>
        <w:rPr>
          <w:rFonts w:hint="eastAsia" w:ascii="仿宋_GB2312" w:hAnsi="仿宋_GB2312" w:eastAsia="仿宋_GB2312" w:cs="仿宋_GB2312"/>
          <w:b w:val="0"/>
          <w:bCs/>
          <w:i w:val="0"/>
          <w:caps w:val="0"/>
          <w:spacing w:val="0"/>
          <w:w w:val="100"/>
          <w:sz w:val="32"/>
          <w:szCs w:val="32"/>
        </w:rPr>
        <w:t>的通知》</w:t>
      </w:r>
      <w:r>
        <w:rPr>
          <w:rFonts w:hint="eastAsia" w:ascii="仿宋_GB2312" w:hAnsi="仿宋_GB2312" w:eastAsia="仿宋_GB2312" w:cs="仿宋_GB2312"/>
          <w:b w:val="0"/>
          <w:bCs/>
          <w:i w:val="0"/>
          <w:caps w:val="0"/>
          <w:spacing w:val="0"/>
          <w:w w:val="100"/>
          <w:sz w:val="32"/>
          <w:szCs w:val="32"/>
          <w:lang w:eastAsia="zh-CN"/>
        </w:rPr>
        <w:t>（</w:t>
      </w:r>
      <w:r>
        <w:rPr>
          <w:rFonts w:hint="eastAsia" w:ascii="仿宋_GB2312" w:hAnsi="仿宋_GB2312" w:eastAsia="仿宋_GB2312" w:cs="仿宋_GB2312"/>
          <w:b w:val="0"/>
          <w:bCs/>
          <w:i w:val="0"/>
          <w:caps w:val="0"/>
          <w:spacing w:val="0"/>
          <w:w w:val="100"/>
          <w:sz w:val="32"/>
          <w:szCs w:val="32"/>
        </w:rPr>
        <w:t>深民〔2021〕</w:t>
      </w:r>
      <w:r>
        <w:rPr>
          <w:rFonts w:hint="eastAsia" w:ascii="仿宋_GB2312" w:hAnsi="仿宋_GB2312" w:eastAsia="仿宋_GB2312" w:cs="仿宋_GB2312"/>
          <w:b w:val="0"/>
          <w:bCs/>
          <w:i w:val="0"/>
          <w:caps w:val="0"/>
          <w:spacing w:val="0"/>
          <w:w w:val="100"/>
          <w:sz w:val="32"/>
          <w:szCs w:val="32"/>
          <w:lang w:val="en-US" w:eastAsia="zh-CN"/>
        </w:rPr>
        <w:t>6号）要求</w:t>
      </w:r>
      <w:r>
        <w:rPr>
          <w:rFonts w:hint="eastAsia" w:ascii="仿宋_GB2312" w:hAnsi="仿宋_GB2312" w:eastAsia="仿宋_GB2312" w:cs="仿宋_GB2312"/>
          <w:b w:val="0"/>
          <w:bCs/>
          <w:i w:val="0"/>
          <w:caps w:val="0"/>
          <w:spacing w:val="0"/>
          <w:w w:val="100"/>
          <w:sz w:val="32"/>
          <w:szCs w:val="32"/>
          <w:lang w:eastAsia="zh-CN"/>
        </w:rPr>
        <w:t>“各成员单位要按照职责分工落实工作责任，针对困境儿童生存发展面临的突出问题和困难，不断建立完善困境儿童在生活、医疗、康复、教育、安全住房、就业等方面的分类保障制度，逐步规范健全保障制度化、组织网格化、服务专业化，惠及各类困境儿童的适度普惠型儿童福利保障体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Times New Roman" w:eastAsia="黑体" w:cs="Times New Roman"/>
          <w:b w:val="0"/>
          <w:i w:val="0"/>
          <w:caps w:val="0"/>
          <w:spacing w:val="0"/>
          <w:w w:val="100"/>
          <w:sz w:val="32"/>
          <w:szCs w:val="32"/>
          <w:lang w:val="en-US" w:eastAsia="zh-CN"/>
        </w:rPr>
      </w:pPr>
      <w:r>
        <w:rPr>
          <w:rFonts w:hint="eastAsia" w:ascii="黑体" w:hAnsi="Times New Roman" w:eastAsia="黑体" w:cs="Times New Roman"/>
          <w:b w:val="0"/>
          <w:i w:val="0"/>
          <w:caps w:val="0"/>
          <w:spacing w:val="0"/>
          <w:w w:val="100"/>
          <w:sz w:val="32"/>
          <w:szCs w:val="32"/>
          <w:lang w:val="en-US" w:eastAsia="zh-CN"/>
        </w:rPr>
        <w:t>三、主要修订内容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i w:val="0"/>
          <w:caps w:val="0"/>
          <w:spacing w:val="0"/>
          <w:w w:val="100"/>
          <w:sz w:val="32"/>
          <w:szCs w:val="32"/>
          <w:lang w:eastAsia="zh-CN"/>
        </w:rPr>
      </w:pPr>
      <w:r>
        <w:rPr>
          <w:rFonts w:hint="eastAsia" w:ascii="仿宋_GB2312" w:hAnsi="仿宋_GB2312" w:eastAsia="仿宋_GB2312" w:cs="仿宋_GB2312"/>
          <w:b w:val="0"/>
          <w:bCs/>
          <w:i w:val="0"/>
          <w:caps w:val="0"/>
          <w:spacing w:val="0"/>
          <w:w w:val="100"/>
          <w:sz w:val="32"/>
          <w:szCs w:val="32"/>
          <w:lang w:eastAsia="zh-CN"/>
        </w:rPr>
        <w:t>（一）光明区于2018年9月揭牌成立，现将《办法》全文有关“光明新区”、“办事处”的表述对应修改为“光明区”、“街道”。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i w:val="0"/>
          <w:caps w:val="0"/>
          <w:spacing w:val="0"/>
          <w:w w:val="100"/>
          <w:sz w:val="32"/>
          <w:szCs w:val="32"/>
          <w:lang w:eastAsia="zh-CN"/>
        </w:rPr>
      </w:pPr>
      <w:r>
        <w:rPr>
          <w:rFonts w:hint="eastAsia" w:ascii="仿宋_GB2312" w:hAnsi="仿宋_GB2312" w:eastAsia="仿宋_GB2312" w:cs="仿宋_GB2312"/>
          <w:b w:val="0"/>
          <w:bCs/>
          <w:i w:val="0"/>
          <w:caps w:val="0"/>
          <w:spacing w:val="0"/>
          <w:w w:val="100"/>
          <w:sz w:val="32"/>
          <w:szCs w:val="32"/>
          <w:lang w:eastAsia="zh-CN"/>
        </w:rPr>
        <w:t>（二）为与上级部门名称表述保持一致，全文有关“残疾少年儿童”的表述对应修改为“残疾儿童少年”。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i w:val="0"/>
          <w:caps w:val="0"/>
          <w:spacing w:val="0"/>
          <w:w w:val="100"/>
          <w:sz w:val="32"/>
          <w:szCs w:val="32"/>
          <w:lang w:eastAsia="zh-CN"/>
        </w:rPr>
      </w:pPr>
      <w:r>
        <w:rPr>
          <w:rFonts w:hint="eastAsia" w:ascii="仿宋_GB2312" w:hAnsi="仿宋_GB2312" w:eastAsia="仿宋_GB2312" w:cs="仿宋_GB2312"/>
          <w:b w:val="0"/>
          <w:bCs/>
          <w:i w:val="0"/>
          <w:caps w:val="0"/>
          <w:spacing w:val="0"/>
          <w:w w:val="100"/>
          <w:sz w:val="32"/>
          <w:szCs w:val="32"/>
          <w:lang w:eastAsia="zh-CN"/>
        </w:rPr>
        <w:t>（三）《办法》第二条修改为:本办法所称残疾儿童少年是指持有深圳市或光明区残疾人联合会核发的《中华人民共和国残疾人证》的未满18周岁儿童少年，以及持有深圳市二级甲等以上医院疑似残疾诊断证明书的3周岁以下儿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b w:val="0"/>
          <w:bCs/>
          <w:i w:val="0"/>
          <w:caps w:val="0"/>
          <w:spacing w:val="0"/>
          <w:w w:val="100"/>
          <w:sz w:val="32"/>
          <w:szCs w:val="32"/>
          <w:lang w:val="en-US" w:eastAsia="zh-CN"/>
        </w:rPr>
      </w:pPr>
      <w:r>
        <w:rPr>
          <w:rFonts w:hint="eastAsia" w:ascii="黑体" w:hAnsi="黑体" w:eastAsia="黑体" w:cs="黑体"/>
          <w:b w:val="0"/>
          <w:bCs/>
          <w:i w:val="0"/>
          <w:caps w:val="0"/>
          <w:spacing w:val="0"/>
          <w:w w:val="100"/>
          <w:sz w:val="32"/>
          <w:szCs w:val="32"/>
          <w:lang w:val="en-US" w:eastAsia="zh-CN"/>
        </w:rPr>
        <w:t>四、社会效益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仿宋_GB2312" w:hAnsi="仿宋_GB2312" w:eastAsia="仿宋_GB2312" w:cs="仿宋_GB2312"/>
          <w:b w:val="0"/>
          <w:bCs/>
          <w:i w:val="0"/>
          <w:caps w:val="0"/>
          <w:spacing w:val="0"/>
          <w:w w:val="100"/>
          <w:sz w:val="32"/>
          <w:szCs w:val="32"/>
          <w:lang w:val="en-US" w:eastAsia="zh-CN"/>
        </w:rPr>
      </w:pPr>
      <w:r>
        <w:rPr>
          <w:rFonts w:hint="eastAsia" w:ascii="仿宋_GB2312" w:hAnsi="仿宋_GB2312" w:eastAsia="仿宋_GB2312" w:cs="仿宋_GB2312"/>
          <w:b w:val="0"/>
          <w:bCs/>
          <w:i w:val="0"/>
          <w:caps w:val="0"/>
          <w:spacing w:val="0"/>
          <w:w w:val="100"/>
          <w:sz w:val="32"/>
          <w:szCs w:val="32"/>
          <w:lang w:val="en-US" w:eastAsia="zh-CN"/>
        </w:rPr>
        <w:t>《办法》自2018年实施以来，共为268名残疾儿童少年发放居家康复补助经费468.9万元，惠及4620人次。2021年，区残联对光明区残疾儿童少年进行了相关调查，了解到《办法》的实施，有利于预防返贫现象发生，促进了残疾儿童少年居家康复服务，有效减轻了残疾儿童少年家庭的经济、生活和精神压力，进一步增强了残疾儿童少年的获得感、幸福感和安全感，</w:t>
      </w:r>
      <w:r>
        <w:rPr>
          <w:rFonts w:hint="eastAsia" w:ascii="仿宋_GB2312" w:hAnsi="Times New Roman" w:eastAsia="仿宋_GB2312" w:cs="Times New Roman"/>
          <w:b w:val="0"/>
          <w:i w:val="0"/>
          <w:caps w:val="0"/>
          <w:spacing w:val="0"/>
          <w:w w:val="100"/>
          <w:sz w:val="32"/>
          <w:szCs w:val="32"/>
          <w:lang w:val="en-US" w:eastAsia="zh-CN"/>
        </w:rPr>
        <w:t>巩固拓展了残疾人全面小康进程成果</w:t>
      </w:r>
      <w:r>
        <w:rPr>
          <w:rFonts w:hint="eastAsia" w:ascii="仿宋_GB2312" w:hAnsi="仿宋_GB2312" w:eastAsia="仿宋_GB2312" w:cs="仿宋_GB2312"/>
          <w:b w:val="0"/>
          <w:bCs/>
          <w:i w:val="0"/>
          <w:caps w:val="0"/>
          <w:spacing w:val="0"/>
          <w:w w:val="1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Times New Roman" w:eastAsia="黑体" w:cs="Times New Roman"/>
          <w:b w:val="0"/>
          <w:i w:val="0"/>
          <w:caps w:val="0"/>
          <w:spacing w:val="0"/>
          <w:w w:val="100"/>
          <w:sz w:val="32"/>
          <w:szCs w:val="32"/>
          <w:lang w:val="en-US" w:eastAsia="zh-CN"/>
        </w:rPr>
      </w:pPr>
      <w:r>
        <w:rPr>
          <w:rFonts w:hint="eastAsia" w:ascii="黑体" w:hAnsi="Times New Roman" w:eastAsia="黑体" w:cs="Times New Roman"/>
          <w:b w:val="0"/>
          <w:i w:val="0"/>
          <w:caps w:val="0"/>
          <w:spacing w:val="0"/>
          <w:w w:val="100"/>
          <w:sz w:val="32"/>
          <w:szCs w:val="32"/>
          <w:lang w:val="en-US" w:eastAsia="zh-CN"/>
        </w:rPr>
        <w:t>五、风险评估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经统计，截至2021年4月21日，光明区共有在册残疾人1204人，残疾儿童少年（含3岁以下疑似残疾儿童）244人，残疾儿童少年约占残疾人总数的20.27%，总体占比相对较少，且补助标准维持不变，不会造成较大的财政压力。经了解，福田、南山、龙华等区也有类似的补助政策。</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b w:val="0"/>
          <w:i w:val="0"/>
          <w:caps w:val="0"/>
          <w:spacing w:val="0"/>
          <w:w w:val="100"/>
          <w:sz w:val="32"/>
          <w:szCs w:val="32"/>
          <w:lang w:val="en-US" w:eastAsia="zh-CN"/>
        </w:rPr>
      </w:pPr>
      <w:r>
        <w:rPr>
          <w:rFonts w:hint="eastAsia" w:ascii="黑体" w:hAnsi="黑体" w:eastAsia="黑体" w:cs="黑体"/>
          <w:b w:val="0"/>
          <w:i w:val="0"/>
          <w:caps w:val="0"/>
          <w:spacing w:val="0"/>
          <w:w w:val="100"/>
          <w:sz w:val="32"/>
          <w:szCs w:val="32"/>
          <w:lang w:val="en-US" w:eastAsia="zh-CN"/>
        </w:rPr>
        <w:t>六、现行政策实施情况及经费测算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近年来，由于我市残疾儿童少年福利保障政策越来越完善，相关补贴标准也较高，加上政策普及率、知晓率提高，残疾儿童少年办证人数逐年增加，居家康复补助申请人数也随之增长。经统计，2016年，光明区残疾儿童少年人数为69人，2017年83人，2018年95人，2019年138人，2020年231人。近5年，平均每年约增加41人。按平均每年增加41人，1000元/人/月的标准来测算，预计到2023年，残疾儿童少年将增至354人，居家康复补助预算经费需424.8万元（</w:t>
      </w:r>
      <w:r>
        <w:rPr>
          <w:rFonts w:hint="eastAsia" w:ascii="仿宋_GB2312" w:hAnsi="仿宋_GB2312" w:eastAsia="仿宋_GB2312" w:cs="仿宋_GB2312"/>
          <w:b w:val="0"/>
          <w:i w:val="0"/>
          <w:caps w:val="0"/>
          <w:spacing w:val="0"/>
          <w:w w:val="100"/>
          <w:sz w:val="32"/>
          <w:szCs w:val="32"/>
        </w:rPr>
        <w:t>1000元×</w:t>
      </w:r>
      <w:r>
        <w:rPr>
          <w:rFonts w:hint="eastAsia" w:ascii="仿宋_GB2312" w:hAnsi="仿宋_GB2312" w:eastAsia="仿宋_GB2312" w:cs="仿宋_GB2312"/>
          <w:b w:val="0"/>
          <w:i w:val="0"/>
          <w:caps w:val="0"/>
          <w:spacing w:val="0"/>
          <w:w w:val="100"/>
          <w:sz w:val="32"/>
          <w:szCs w:val="32"/>
          <w:lang w:val="en-US" w:eastAsia="zh-CN"/>
        </w:rPr>
        <w:t>354</w:t>
      </w:r>
      <w:r>
        <w:rPr>
          <w:rFonts w:hint="eastAsia" w:ascii="仿宋_GB2312" w:hAnsi="仿宋_GB2312" w:eastAsia="仿宋_GB2312" w:cs="仿宋_GB2312"/>
          <w:b w:val="0"/>
          <w:i w:val="0"/>
          <w:caps w:val="0"/>
          <w:spacing w:val="0"/>
          <w:w w:val="100"/>
          <w:sz w:val="32"/>
          <w:szCs w:val="32"/>
        </w:rPr>
        <w:t>人×12月）</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lang w:val="en-US" w:eastAsia="zh-CN"/>
        </w:rPr>
        <w:t>经费测算详见下表。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p>
    <w:tbl>
      <w:tblPr>
        <w:tblStyle w:val="5"/>
        <w:tblW w:w="9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794"/>
        <w:gridCol w:w="794"/>
        <w:gridCol w:w="794"/>
        <w:gridCol w:w="794"/>
        <w:gridCol w:w="862"/>
        <w:gridCol w:w="726"/>
        <w:gridCol w:w="794"/>
        <w:gridCol w:w="794"/>
        <w:gridCol w:w="794"/>
        <w:gridCol w:w="794"/>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588"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eastAsia" w:ascii="宋体" w:hAnsi="宋体" w:eastAsia="宋体" w:cs="宋体"/>
                <w:b w:val="0"/>
                <w:bCs/>
                <w:i w:val="0"/>
                <w:caps w:val="0"/>
                <w:color w:val="000000"/>
                <w:spacing w:val="0"/>
                <w:w w:val="100"/>
                <w:kern w:val="0"/>
                <w:sz w:val="20"/>
                <w:szCs w:val="20"/>
                <w:vertAlign w:val="baseline"/>
                <w:lang w:val="en-US" w:eastAsia="zh-CN" w:bidi="ar"/>
              </w:rPr>
            </w:pPr>
            <w:r>
              <w:rPr>
                <w:rFonts w:hint="eastAsia" w:ascii="宋体" w:hAnsi="宋体" w:eastAsia="宋体" w:cs="宋体"/>
                <w:b/>
                <w:bCs w:val="0"/>
                <w:i w:val="0"/>
                <w:caps w:val="0"/>
                <w:color w:val="000000"/>
                <w:spacing w:val="0"/>
                <w:w w:val="100"/>
                <w:kern w:val="0"/>
                <w:sz w:val="20"/>
                <w:szCs w:val="20"/>
                <w:vertAlign w:val="baseline"/>
                <w:lang w:val="en-US" w:eastAsia="zh-CN" w:bidi="ar"/>
              </w:rPr>
              <w:t>2018年</w:t>
            </w:r>
          </w:p>
        </w:tc>
        <w:tc>
          <w:tcPr>
            <w:tcW w:w="1588"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eastAsia" w:ascii="宋体" w:hAnsi="宋体" w:eastAsia="宋体" w:cs="宋体"/>
                <w:b w:val="0"/>
                <w:bCs/>
                <w:i w:val="0"/>
                <w:caps w:val="0"/>
                <w:color w:val="000000"/>
                <w:spacing w:val="0"/>
                <w:w w:val="100"/>
                <w:kern w:val="0"/>
                <w:sz w:val="20"/>
                <w:szCs w:val="20"/>
                <w:vertAlign w:val="baseline"/>
                <w:lang w:val="en-US" w:eastAsia="zh-CN" w:bidi="ar"/>
              </w:rPr>
            </w:pPr>
            <w:r>
              <w:rPr>
                <w:rFonts w:hint="eastAsia" w:ascii="宋体" w:hAnsi="宋体" w:eastAsia="宋体" w:cs="宋体"/>
                <w:b/>
                <w:i w:val="0"/>
                <w:caps w:val="0"/>
                <w:color w:val="000000"/>
                <w:spacing w:val="0"/>
                <w:w w:val="100"/>
                <w:kern w:val="0"/>
                <w:sz w:val="20"/>
                <w:szCs w:val="20"/>
                <w:vertAlign w:val="baseline"/>
                <w:lang w:val="en-US" w:eastAsia="zh-CN" w:bidi="ar"/>
              </w:rPr>
              <w:t>2019年</w:t>
            </w:r>
          </w:p>
        </w:tc>
        <w:tc>
          <w:tcPr>
            <w:tcW w:w="165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eastAsia" w:ascii="宋体" w:hAnsi="宋体" w:eastAsia="宋体" w:cs="宋体"/>
                <w:b w:val="0"/>
                <w:bCs/>
                <w:i w:val="0"/>
                <w:caps w:val="0"/>
                <w:color w:val="000000"/>
                <w:spacing w:val="0"/>
                <w:w w:val="100"/>
                <w:kern w:val="0"/>
                <w:sz w:val="20"/>
                <w:szCs w:val="20"/>
                <w:vertAlign w:val="baseline"/>
                <w:lang w:val="en-US" w:eastAsia="zh-CN" w:bidi="ar"/>
              </w:rPr>
            </w:pPr>
            <w:r>
              <w:rPr>
                <w:rFonts w:hint="eastAsia" w:ascii="宋体" w:hAnsi="宋体" w:eastAsia="宋体" w:cs="宋体"/>
                <w:b/>
                <w:i w:val="0"/>
                <w:caps w:val="0"/>
                <w:color w:val="000000"/>
                <w:spacing w:val="0"/>
                <w:w w:val="100"/>
                <w:kern w:val="0"/>
                <w:sz w:val="20"/>
                <w:szCs w:val="20"/>
                <w:vertAlign w:val="baseline"/>
                <w:lang w:val="en-US" w:eastAsia="zh-CN" w:bidi="ar"/>
              </w:rPr>
              <w:t>2020年</w:t>
            </w:r>
          </w:p>
        </w:tc>
        <w:tc>
          <w:tcPr>
            <w:tcW w:w="1520" w:type="dxa"/>
            <w:gridSpan w:val="2"/>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i w:val="0"/>
                <w:caps w:val="0"/>
                <w:color w:val="000000"/>
                <w:spacing w:val="0"/>
                <w:w w:val="100"/>
                <w:kern w:val="0"/>
                <w:sz w:val="20"/>
                <w:szCs w:val="20"/>
                <w:vertAlign w:val="baseline"/>
                <w:lang w:val="en-US" w:eastAsia="zh-CN" w:bidi="ar"/>
              </w:rPr>
              <w:t>2021年测算</w:t>
            </w:r>
          </w:p>
        </w:tc>
        <w:tc>
          <w:tcPr>
            <w:tcW w:w="1588"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aps w:val="0"/>
                <w:color w:val="000000"/>
                <w:spacing w:val="0"/>
                <w:w w:val="100"/>
                <w:kern w:val="0"/>
                <w:sz w:val="20"/>
                <w:szCs w:val="20"/>
                <w:vertAlign w:val="baseline"/>
                <w:lang w:val="en-US" w:eastAsia="zh-CN" w:bidi="ar"/>
              </w:rPr>
              <w:t>2022年测算</w:t>
            </w:r>
          </w:p>
        </w:tc>
        <w:tc>
          <w:tcPr>
            <w:tcW w:w="1588"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aps w:val="0"/>
                <w:color w:val="000000"/>
                <w:spacing w:val="0"/>
                <w:w w:val="100"/>
                <w:kern w:val="0"/>
                <w:sz w:val="20"/>
                <w:szCs w:val="20"/>
                <w:vertAlign w:val="baseline"/>
                <w:lang w:val="en-US" w:eastAsia="zh-CN" w:bidi="ar"/>
              </w:rPr>
              <w:t>2023年测算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center"/>
              <w:rPr>
                <w:rFonts w:hint="eastAsia" w:ascii="宋体" w:hAnsi="宋体" w:eastAsia="宋体" w:cs="宋体"/>
                <w:b/>
                <w:i w:val="0"/>
                <w:caps w:val="0"/>
                <w:color w:val="000000"/>
                <w:spacing w:val="0"/>
                <w:w w:val="100"/>
                <w:kern w:val="0"/>
                <w:sz w:val="20"/>
                <w:szCs w:val="20"/>
                <w:vertAlign w:val="baseline"/>
                <w:lang w:val="en-US" w:eastAsia="zh-CN" w:bidi="ar"/>
              </w:rPr>
            </w:pPr>
            <w:r>
              <w:rPr>
                <w:rFonts w:hint="eastAsia" w:ascii="宋体" w:hAnsi="宋体" w:eastAsia="宋体" w:cs="宋体"/>
                <w:b/>
                <w:i w:val="0"/>
                <w:caps w:val="0"/>
                <w:color w:val="000000"/>
                <w:spacing w:val="0"/>
                <w:w w:val="100"/>
                <w:kern w:val="0"/>
                <w:sz w:val="20"/>
                <w:szCs w:val="20"/>
                <w:vertAlign w:val="baseline"/>
                <w:lang w:val="en-US" w:eastAsia="zh-CN" w:bidi="ar"/>
              </w:rPr>
              <w:t>人数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center"/>
              <w:rPr>
                <w:rFonts w:hint="eastAsia" w:ascii="宋体" w:hAnsi="宋体" w:eastAsia="宋体" w:cs="宋体"/>
                <w:b/>
                <w:bCs w:val="0"/>
                <w:i w:val="0"/>
                <w:caps w:val="0"/>
                <w:color w:val="000000"/>
                <w:spacing w:val="0"/>
                <w:w w:val="100"/>
                <w:kern w:val="0"/>
                <w:sz w:val="20"/>
                <w:szCs w:val="20"/>
                <w:vertAlign w:val="baseline"/>
                <w:lang w:val="en-US" w:eastAsia="zh-CN" w:bidi="ar"/>
              </w:rPr>
            </w:pPr>
            <w:r>
              <w:rPr>
                <w:rFonts w:hint="eastAsia" w:ascii="宋体" w:hAnsi="宋体" w:eastAsia="宋体" w:cs="宋体"/>
                <w:b/>
                <w:i w:val="0"/>
                <w:caps w:val="0"/>
                <w:color w:val="000000"/>
                <w:spacing w:val="0"/>
                <w:w w:val="100"/>
                <w:kern w:val="0"/>
                <w:sz w:val="20"/>
                <w:szCs w:val="20"/>
                <w:vertAlign w:val="baseline"/>
                <w:lang w:val="en-US" w:eastAsia="zh-CN" w:bidi="ar"/>
              </w:rPr>
              <w:t>（人）</w:t>
            </w:r>
          </w:p>
        </w:tc>
        <w:tc>
          <w:tcPr>
            <w:tcW w:w="79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center"/>
              <w:rPr>
                <w:rFonts w:hint="eastAsia" w:ascii="宋体" w:hAnsi="宋体" w:eastAsia="宋体" w:cs="宋体"/>
                <w:b/>
                <w:i w:val="0"/>
                <w:caps w:val="0"/>
                <w:color w:val="000000"/>
                <w:spacing w:val="0"/>
                <w:w w:val="100"/>
                <w:kern w:val="0"/>
                <w:sz w:val="20"/>
                <w:szCs w:val="20"/>
                <w:vertAlign w:val="baseline"/>
                <w:lang w:val="en-US" w:eastAsia="zh-CN" w:bidi="ar"/>
              </w:rPr>
            </w:pPr>
            <w:r>
              <w:rPr>
                <w:rFonts w:hint="eastAsia" w:ascii="宋体" w:hAnsi="宋体" w:eastAsia="宋体" w:cs="宋体"/>
                <w:b/>
                <w:i w:val="0"/>
                <w:caps w:val="0"/>
                <w:color w:val="000000"/>
                <w:spacing w:val="0"/>
                <w:w w:val="100"/>
                <w:kern w:val="0"/>
                <w:sz w:val="20"/>
                <w:szCs w:val="20"/>
                <w:vertAlign w:val="baseline"/>
                <w:lang w:val="en-US" w:eastAsia="zh-CN" w:bidi="ar"/>
              </w:rPr>
              <w:t>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center"/>
              <w:rPr>
                <w:rFonts w:hint="eastAsia" w:ascii="宋体" w:hAnsi="宋体" w:eastAsia="宋体" w:cs="宋体"/>
                <w:b w:val="0"/>
                <w:bCs/>
                <w:i w:val="0"/>
                <w:caps w:val="0"/>
                <w:color w:val="000000"/>
                <w:spacing w:val="0"/>
                <w:w w:val="100"/>
                <w:kern w:val="0"/>
                <w:sz w:val="20"/>
                <w:szCs w:val="20"/>
                <w:vertAlign w:val="baseline"/>
                <w:lang w:val="en-US" w:eastAsia="zh-CN" w:bidi="ar"/>
              </w:rPr>
            </w:pPr>
            <w:r>
              <w:rPr>
                <w:rFonts w:hint="eastAsia" w:ascii="宋体" w:hAnsi="宋体" w:eastAsia="宋体" w:cs="宋体"/>
                <w:b/>
                <w:i w:val="0"/>
                <w:caps w:val="0"/>
                <w:color w:val="000000"/>
                <w:spacing w:val="0"/>
                <w:w w:val="100"/>
                <w:kern w:val="0"/>
                <w:sz w:val="16"/>
                <w:szCs w:val="16"/>
                <w:vertAlign w:val="baseline"/>
                <w:lang w:val="en-US" w:eastAsia="zh-CN" w:bidi="ar"/>
              </w:rPr>
              <w:t>（万元）</w:t>
            </w:r>
          </w:p>
        </w:tc>
        <w:tc>
          <w:tcPr>
            <w:tcW w:w="79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center"/>
              <w:rPr>
                <w:rFonts w:hint="eastAsia" w:ascii="宋体" w:hAnsi="宋体" w:eastAsia="宋体" w:cs="宋体"/>
                <w:b/>
                <w:i w:val="0"/>
                <w:caps w:val="0"/>
                <w:color w:val="000000"/>
                <w:spacing w:val="0"/>
                <w:w w:val="100"/>
                <w:kern w:val="0"/>
                <w:sz w:val="20"/>
                <w:szCs w:val="20"/>
                <w:vertAlign w:val="baseline"/>
                <w:lang w:val="en-US" w:eastAsia="zh-CN" w:bidi="ar"/>
              </w:rPr>
            </w:pPr>
            <w:r>
              <w:rPr>
                <w:rFonts w:hint="eastAsia" w:ascii="宋体" w:hAnsi="宋体" w:eastAsia="宋体" w:cs="宋体"/>
                <w:b/>
                <w:i w:val="0"/>
                <w:caps w:val="0"/>
                <w:color w:val="000000"/>
                <w:spacing w:val="0"/>
                <w:w w:val="100"/>
                <w:kern w:val="0"/>
                <w:sz w:val="20"/>
                <w:szCs w:val="20"/>
                <w:vertAlign w:val="baseline"/>
                <w:lang w:val="en-US" w:eastAsia="zh-CN" w:bidi="ar"/>
              </w:rPr>
              <w:t>人数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center"/>
              <w:rPr>
                <w:rFonts w:hint="eastAsia" w:ascii="宋体" w:hAnsi="宋体" w:eastAsia="宋体" w:cs="宋体"/>
                <w:b/>
                <w:i w:val="0"/>
                <w:caps w:val="0"/>
                <w:color w:val="000000"/>
                <w:spacing w:val="0"/>
                <w:w w:val="100"/>
                <w:kern w:val="0"/>
                <w:sz w:val="20"/>
                <w:szCs w:val="20"/>
                <w:vertAlign w:val="baseline"/>
                <w:lang w:val="en-US" w:eastAsia="zh-CN" w:bidi="ar"/>
              </w:rPr>
            </w:pPr>
            <w:r>
              <w:rPr>
                <w:rFonts w:hint="eastAsia" w:ascii="宋体" w:hAnsi="宋体" w:eastAsia="宋体" w:cs="宋体"/>
                <w:b/>
                <w:i w:val="0"/>
                <w:caps w:val="0"/>
                <w:color w:val="000000"/>
                <w:spacing w:val="0"/>
                <w:w w:val="100"/>
                <w:kern w:val="0"/>
                <w:sz w:val="20"/>
                <w:szCs w:val="20"/>
                <w:vertAlign w:val="baseline"/>
                <w:lang w:val="en-US" w:eastAsia="zh-CN" w:bidi="ar"/>
              </w:rPr>
              <w:t>（人）</w:t>
            </w:r>
          </w:p>
        </w:tc>
        <w:tc>
          <w:tcPr>
            <w:tcW w:w="79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center"/>
              <w:rPr>
                <w:rFonts w:hint="eastAsia" w:ascii="宋体" w:hAnsi="宋体" w:eastAsia="宋体" w:cs="宋体"/>
                <w:b/>
                <w:i w:val="0"/>
                <w:caps w:val="0"/>
                <w:color w:val="000000"/>
                <w:spacing w:val="0"/>
                <w:w w:val="100"/>
                <w:kern w:val="0"/>
                <w:sz w:val="20"/>
                <w:szCs w:val="20"/>
                <w:vertAlign w:val="baseline"/>
                <w:lang w:val="en-US" w:eastAsia="zh-CN" w:bidi="ar"/>
              </w:rPr>
            </w:pPr>
            <w:r>
              <w:rPr>
                <w:rFonts w:hint="eastAsia" w:ascii="宋体" w:hAnsi="宋体" w:eastAsia="宋体" w:cs="宋体"/>
                <w:b/>
                <w:i w:val="0"/>
                <w:caps w:val="0"/>
                <w:color w:val="000000"/>
                <w:spacing w:val="0"/>
                <w:w w:val="100"/>
                <w:kern w:val="0"/>
                <w:sz w:val="20"/>
                <w:szCs w:val="20"/>
                <w:vertAlign w:val="baseline"/>
                <w:lang w:val="en-US" w:eastAsia="zh-CN" w:bidi="ar"/>
              </w:rPr>
              <w:t>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center"/>
              <w:rPr>
                <w:rFonts w:hint="eastAsia" w:ascii="宋体" w:hAnsi="宋体" w:eastAsia="宋体" w:cs="宋体"/>
                <w:b w:val="0"/>
                <w:bCs/>
                <w:i w:val="0"/>
                <w:caps w:val="0"/>
                <w:color w:val="000000"/>
                <w:spacing w:val="0"/>
                <w:w w:val="100"/>
                <w:kern w:val="0"/>
                <w:sz w:val="20"/>
                <w:szCs w:val="20"/>
                <w:vertAlign w:val="baseline"/>
                <w:lang w:val="en-US" w:eastAsia="zh-CN" w:bidi="ar"/>
              </w:rPr>
            </w:pPr>
            <w:r>
              <w:rPr>
                <w:rFonts w:hint="eastAsia" w:ascii="宋体" w:hAnsi="宋体" w:eastAsia="宋体" w:cs="宋体"/>
                <w:b/>
                <w:i w:val="0"/>
                <w:caps w:val="0"/>
                <w:color w:val="000000"/>
                <w:spacing w:val="0"/>
                <w:w w:val="100"/>
                <w:kern w:val="0"/>
                <w:sz w:val="16"/>
                <w:szCs w:val="16"/>
                <w:vertAlign w:val="baseline"/>
                <w:lang w:val="en-US" w:eastAsia="zh-CN" w:bidi="ar"/>
              </w:rPr>
              <w:t>（万元）</w:t>
            </w:r>
          </w:p>
        </w:tc>
        <w:tc>
          <w:tcPr>
            <w:tcW w:w="79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center"/>
              <w:rPr>
                <w:rFonts w:hint="eastAsia" w:ascii="宋体" w:hAnsi="宋体" w:eastAsia="宋体" w:cs="宋体"/>
                <w:b/>
                <w:i w:val="0"/>
                <w:caps w:val="0"/>
                <w:color w:val="000000"/>
                <w:spacing w:val="0"/>
                <w:w w:val="100"/>
                <w:kern w:val="0"/>
                <w:sz w:val="20"/>
                <w:szCs w:val="20"/>
                <w:vertAlign w:val="baseline"/>
                <w:lang w:val="en-US" w:eastAsia="zh-CN" w:bidi="ar"/>
              </w:rPr>
            </w:pPr>
            <w:r>
              <w:rPr>
                <w:rFonts w:hint="eastAsia" w:ascii="宋体" w:hAnsi="宋体" w:eastAsia="宋体" w:cs="宋体"/>
                <w:b/>
                <w:i w:val="0"/>
                <w:caps w:val="0"/>
                <w:color w:val="000000"/>
                <w:spacing w:val="0"/>
                <w:w w:val="100"/>
                <w:kern w:val="0"/>
                <w:sz w:val="20"/>
                <w:szCs w:val="20"/>
                <w:vertAlign w:val="baseline"/>
                <w:lang w:val="en-US" w:eastAsia="zh-CN" w:bidi="ar"/>
              </w:rPr>
              <w:t>人数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center"/>
              <w:rPr>
                <w:rFonts w:hint="eastAsia" w:ascii="宋体" w:hAnsi="宋体" w:eastAsia="宋体" w:cs="宋体"/>
                <w:b/>
                <w:i w:val="0"/>
                <w:caps w:val="0"/>
                <w:color w:val="000000"/>
                <w:spacing w:val="0"/>
                <w:w w:val="100"/>
                <w:kern w:val="0"/>
                <w:sz w:val="20"/>
                <w:szCs w:val="20"/>
                <w:vertAlign w:val="baseline"/>
                <w:lang w:val="en-US" w:eastAsia="zh-CN" w:bidi="ar"/>
              </w:rPr>
            </w:pPr>
            <w:r>
              <w:rPr>
                <w:rFonts w:hint="eastAsia" w:ascii="宋体" w:hAnsi="宋体" w:eastAsia="宋体" w:cs="宋体"/>
                <w:b/>
                <w:i w:val="0"/>
                <w:caps w:val="0"/>
                <w:color w:val="000000"/>
                <w:spacing w:val="0"/>
                <w:w w:val="100"/>
                <w:kern w:val="0"/>
                <w:sz w:val="20"/>
                <w:szCs w:val="20"/>
                <w:vertAlign w:val="baseline"/>
                <w:lang w:val="en-US" w:eastAsia="zh-CN" w:bidi="ar"/>
              </w:rPr>
              <w:t>（人）</w:t>
            </w:r>
          </w:p>
        </w:tc>
        <w:tc>
          <w:tcPr>
            <w:tcW w:w="8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center"/>
              <w:rPr>
                <w:rFonts w:hint="eastAsia" w:ascii="宋体" w:hAnsi="宋体" w:eastAsia="宋体" w:cs="宋体"/>
                <w:b/>
                <w:i w:val="0"/>
                <w:caps w:val="0"/>
                <w:color w:val="000000"/>
                <w:spacing w:val="0"/>
                <w:w w:val="100"/>
                <w:kern w:val="0"/>
                <w:sz w:val="20"/>
                <w:szCs w:val="20"/>
                <w:vertAlign w:val="baseline"/>
                <w:lang w:val="en-US" w:eastAsia="zh-CN" w:bidi="ar"/>
              </w:rPr>
            </w:pPr>
            <w:r>
              <w:rPr>
                <w:rFonts w:hint="eastAsia" w:ascii="宋体" w:hAnsi="宋体" w:eastAsia="宋体" w:cs="宋体"/>
                <w:b/>
                <w:i w:val="0"/>
                <w:caps w:val="0"/>
                <w:color w:val="000000"/>
                <w:spacing w:val="0"/>
                <w:w w:val="100"/>
                <w:kern w:val="0"/>
                <w:sz w:val="20"/>
                <w:szCs w:val="20"/>
                <w:vertAlign w:val="baseline"/>
                <w:lang w:val="en-US" w:eastAsia="zh-CN" w:bidi="ar"/>
              </w:rPr>
              <w:t>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center"/>
              <w:rPr>
                <w:rFonts w:hint="eastAsia" w:ascii="宋体" w:hAnsi="宋体" w:eastAsia="宋体" w:cs="宋体"/>
                <w:b w:val="0"/>
                <w:bCs/>
                <w:i w:val="0"/>
                <w:caps w:val="0"/>
                <w:color w:val="000000"/>
                <w:spacing w:val="0"/>
                <w:w w:val="100"/>
                <w:kern w:val="0"/>
                <w:sz w:val="20"/>
                <w:szCs w:val="20"/>
                <w:vertAlign w:val="baseline"/>
                <w:lang w:val="en-US" w:eastAsia="zh-CN" w:bidi="ar"/>
              </w:rPr>
            </w:pPr>
            <w:r>
              <w:rPr>
                <w:rFonts w:hint="eastAsia" w:ascii="宋体" w:hAnsi="宋体" w:eastAsia="宋体" w:cs="宋体"/>
                <w:b/>
                <w:i w:val="0"/>
                <w:caps w:val="0"/>
                <w:color w:val="000000"/>
                <w:spacing w:val="0"/>
                <w:w w:val="100"/>
                <w:kern w:val="0"/>
                <w:sz w:val="16"/>
                <w:szCs w:val="16"/>
                <w:vertAlign w:val="baseline"/>
                <w:lang w:val="en-US" w:eastAsia="zh-CN" w:bidi="ar"/>
              </w:rPr>
              <w:t>（万元）</w:t>
            </w:r>
          </w:p>
        </w:tc>
        <w:tc>
          <w:tcPr>
            <w:tcW w:w="72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center"/>
              <w:rPr>
                <w:rFonts w:hint="eastAsia" w:ascii="宋体" w:hAnsi="宋体" w:eastAsia="宋体" w:cs="宋体"/>
                <w:b/>
                <w:i w:val="0"/>
                <w:caps w:val="0"/>
                <w:color w:val="000000"/>
                <w:spacing w:val="0"/>
                <w:w w:val="100"/>
                <w:kern w:val="0"/>
                <w:sz w:val="20"/>
                <w:szCs w:val="20"/>
                <w:vertAlign w:val="baseline"/>
                <w:lang w:val="en-US" w:eastAsia="zh-CN" w:bidi="ar"/>
              </w:rPr>
            </w:pPr>
            <w:r>
              <w:rPr>
                <w:rFonts w:hint="eastAsia" w:ascii="宋体" w:hAnsi="宋体" w:eastAsia="宋体" w:cs="宋体"/>
                <w:b/>
                <w:i w:val="0"/>
                <w:caps w:val="0"/>
                <w:color w:val="000000"/>
                <w:spacing w:val="0"/>
                <w:w w:val="100"/>
                <w:kern w:val="0"/>
                <w:sz w:val="20"/>
                <w:szCs w:val="20"/>
                <w:vertAlign w:val="baseline"/>
                <w:lang w:val="en-US" w:eastAsia="zh-CN" w:bidi="ar"/>
              </w:rPr>
              <w:t>人数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center"/>
              <w:rPr>
                <w:rFonts w:hint="eastAsia" w:ascii="宋体" w:hAnsi="宋体" w:eastAsia="宋体" w:cs="宋体"/>
                <w:b/>
                <w:i w:val="0"/>
                <w:caps w:val="0"/>
                <w:color w:val="000000"/>
                <w:spacing w:val="0"/>
                <w:w w:val="100"/>
                <w:kern w:val="0"/>
                <w:sz w:val="20"/>
                <w:szCs w:val="20"/>
                <w:vertAlign w:val="baseline"/>
                <w:lang w:val="en-US" w:eastAsia="zh-CN" w:bidi="ar"/>
              </w:rPr>
            </w:pPr>
            <w:r>
              <w:rPr>
                <w:rFonts w:hint="eastAsia" w:ascii="宋体" w:hAnsi="宋体" w:eastAsia="宋体" w:cs="宋体"/>
                <w:b/>
                <w:i w:val="0"/>
                <w:caps w:val="0"/>
                <w:color w:val="000000"/>
                <w:spacing w:val="0"/>
                <w:w w:val="100"/>
                <w:kern w:val="0"/>
                <w:sz w:val="20"/>
                <w:szCs w:val="20"/>
                <w:vertAlign w:val="baseline"/>
                <w:lang w:val="en-US" w:eastAsia="zh-CN" w:bidi="ar"/>
              </w:rPr>
              <w:t>（人）</w:t>
            </w:r>
          </w:p>
        </w:tc>
        <w:tc>
          <w:tcPr>
            <w:tcW w:w="79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center"/>
              <w:rPr>
                <w:rFonts w:hint="eastAsia" w:ascii="宋体" w:hAnsi="宋体" w:eastAsia="宋体" w:cs="宋体"/>
                <w:b/>
                <w:i w:val="0"/>
                <w:caps w:val="0"/>
                <w:color w:val="000000"/>
                <w:spacing w:val="0"/>
                <w:w w:val="100"/>
                <w:kern w:val="0"/>
                <w:sz w:val="20"/>
                <w:szCs w:val="20"/>
                <w:vertAlign w:val="baseline"/>
                <w:lang w:val="en-US" w:eastAsia="zh-CN" w:bidi="ar"/>
              </w:rPr>
            </w:pPr>
            <w:r>
              <w:rPr>
                <w:rFonts w:hint="eastAsia" w:ascii="宋体" w:hAnsi="宋体" w:eastAsia="宋体" w:cs="宋体"/>
                <w:b/>
                <w:i w:val="0"/>
                <w:caps w:val="0"/>
                <w:color w:val="000000"/>
                <w:spacing w:val="0"/>
                <w:w w:val="100"/>
                <w:kern w:val="0"/>
                <w:sz w:val="20"/>
                <w:szCs w:val="20"/>
                <w:vertAlign w:val="baseline"/>
                <w:lang w:val="en-US" w:eastAsia="zh-CN" w:bidi="ar"/>
              </w:rPr>
              <w:t>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i w:val="0"/>
                <w:caps w:val="0"/>
                <w:color w:val="000000"/>
                <w:spacing w:val="0"/>
                <w:w w:val="100"/>
                <w:kern w:val="0"/>
                <w:sz w:val="16"/>
                <w:szCs w:val="16"/>
                <w:vertAlign w:val="baseline"/>
                <w:lang w:val="en-US" w:eastAsia="zh-CN" w:bidi="ar"/>
              </w:rPr>
              <w:t>（万元）</w:t>
            </w:r>
          </w:p>
        </w:tc>
        <w:tc>
          <w:tcPr>
            <w:tcW w:w="79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center"/>
              <w:rPr>
                <w:rFonts w:hint="eastAsia" w:ascii="宋体" w:hAnsi="宋体" w:eastAsia="宋体" w:cs="宋体"/>
                <w:b/>
                <w:i w:val="0"/>
                <w:caps w:val="0"/>
                <w:color w:val="000000"/>
                <w:spacing w:val="0"/>
                <w:w w:val="100"/>
                <w:kern w:val="0"/>
                <w:sz w:val="20"/>
                <w:szCs w:val="20"/>
                <w:vertAlign w:val="baseline"/>
                <w:lang w:val="en-US" w:eastAsia="zh-CN" w:bidi="ar"/>
              </w:rPr>
            </w:pPr>
            <w:r>
              <w:rPr>
                <w:rFonts w:hint="eastAsia" w:ascii="宋体" w:hAnsi="宋体" w:eastAsia="宋体" w:cs="宋体"/>
                <w:b/>
                <w:i w:val="0"/>
                <w:caps w:val="0"/>
                <w:color w:val="000000"/>
                <w:spacing w:val="0"/>
                <w:w w:val="100"/>
                <w:kern w:val="0"/>
                <w:sz w:val="20"/>
                <w:szCs w:val="20"/>
                <w:vertAlign w:val="baseline"/>
                <w:lang w:val="en-US" w:eastAsia="zh-CN" w:bidi="ar"/>
              </w:rPr>
              <w:t>人数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center"/>
              <w:rPr>
                <w:rFonts w:hint="eastAsia" w:ascii="宋体" w:hAnsi="宋体" w:eastAsia="宋体" w:cs="宋体"/>
                <w:b/>
                <w:i w:val="0"/>
                <w:caps w:val="0"/>
                <w:color w:val="000000"/>
                <w:spacing w:val="0"/>
                <w:w w:val="100"/>
                <w:kern w:val="0"/>
                <w:sz w:val="20"/>
                <w:szCs w:val="20"/>
                <w:vertAlign w:val="baseline"/>
                <w:lang w:val="en-US" w:eastAsia="zh-CN" w:bidi="ar"/>
              </w:rPr>
            </w:pPr>
            <w:r>
              <w:rPr>
                <w:rFonts w:hint="eastAsia" w:ascii="宋体" w:hAnsi="宋体" w:eastAsia="宋体" w:cs="宋体"/>
                <w:b/>
                <w:i w:val="0"/>
                <w:caps w:val="0"/>
                <w:color w:val="000000"/>
                <w:spacing w:val="0"/>
                <w:w w:val="100"/>
                <w:kern w:val="0"/>
                <w:sz w:val="20"/>
                <w:szCs w:val="20"/>
                <w:vertAlign w:val="baseline"/>
                <w:lang w:val="en-US" w:eastAsia="zh-CN" w:bidi="ar"/>
              </w:rPr>
              <w:t>（人）</w:t>
            </w:r>
          </w:p>
        </w:tc>
        <w:tc>
          <w:tcPr>
            <w:tcW w:w="79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center"/>
              <w:rPr>
                <w:rFonts w:hint="eastAsia" w:ascii="宋体" w:hAnsi="宋体" w:eastAsia="宋体" w:cs="宋体"/>
                <w:b/>
                <w:i w:val="0"/>
                <w:caps w:val="0"/>
                <w:color w:val="000000"/>
                <w:spacing w:val="0"/>
                <w:w w:val="100"/>
                <w:kern w:val="0"/>
                <w:sz w:val="20"/>
                <w:szCs w:val="20"/>
                <w:vertAlign w:val="baseline"/>
                <w:lang w:val="en-US" w:eastAsia="zh-CN" w:bidi="ar"/>
              </w:rPr>
            </w:pPr>
            <w:r>
              <w:rPr>
                <w:rFonts w:hint="eastAsia" w:ascii="宋体" w:hAnsi="宋体" w:eastAsia="宋体" w:cs="宋体"/>
                <w:b/>
                <w:i w:val="0"/>
                <w:caps w:val="0"/>
                <w:color w:val="000000"/>
                <w:spacing w:val="0"/>
                <w:w w:val="100"/>
                <w:kern w:val="0"/>
                <w:sz w:val="20"/>
                <w:szCs w:val="20"/>
                <w:vertAlign w:val="baseline"/>
                <w:lang w:val="en-US" w:eastAsia="zh-CN" w:bidi="ar"/>
              </w:rPr>
              <w:t>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aps w:val="0"/>
                <w:color w:val="000000"/>
                <w:spacing w:val="0"/>
                <w:w w:val="100"/>
                <w:kern w:val="0"/>
                <w:sz w:val="16"/>
                <w:szCs w:val="16"/>
                <w:vertAlign w:val="baseline"/>
                <w:lang w:val="en-US" w:eastAsia="zh-CN" w:bidi="ar"/>
              </w:rPr>
              <w:t>（万元）</w:t>
            </w:r>
          </w:p>
        </w:tc>
        <w:tc>
          <w:tcPr>
            <w:tcW w:w="79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center"/>
              <w:rPr>
                <w:rFonts w:hint="eastAsia" w:ascii="宋体" w:hAnsi="宋体" w:eastAsia="宋体" w:cs="宋体"/>
                <w:b/>
                <w:i w:val="0"/>
                <w:caps w:val="0"/>
                <w:color w:val="000000"/>
                <w:spacing w:val="0"/>
                <w:w w:val="100"/>
                <w:kern w:val="0"/>
                <w:sz w:val="20"/>
                <w:szCs w:val="20"/>
                <w:vertAlign w:val="baseline"/>
                <w:lang w:val="en-US" w:eastAsia="zh-CN" w:bidi="ar"/>
              </w:rPr>
            </w:pPr>
            <w:r>
              <w:rPr>
                <w:rFonts w:hint="eastAsia" w:ascii="宋体" w:hAnsi="宋体" w:eastAsia="宋体" w:cs="宋体"/>
                <w:b/>
                <w:i w:val="0"/>
                <w:caps w:val="0"/>
                <w:color w:val="000000"/>
                <w:spacing w:val="0"/>
                <w:w w:val="100"/>
                <w:kern w:val="0"/>
                <w:sz w:val="20"/>
                <w:szCs w:val="20"/>
                <w:vertAlign w:val="baseline"/>
                <w:lang w:val="en-US" w:eastAsia="zh-CN" w:bidi="ar"/>
              </w:rPr>
              <w:t>人数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center"/>
              <w:rPr>
                <w:rFonts w:hint="eastAsia" w:ascii="宋体" w:hAnsi="宋体" w:eastAsia="宋体" w:cs="宋体"/>
                <w:b/>
                <w:i w:val="0"/>
                <w:caps w:val="0"/>
                <w:color w:val="000000"/>
                <w:spacing w:val="0"/>
                <w:w w:val="100"/>
                <w:kern w:val="0"/>
                <w:sz w:val="20"/>
                <w:szCs w:val="20"/>
                <w:vertAlign w:val="baseline"/>
                <w:lang w:val="en-US" w:eastAsia="zh-CN" w:bidi="ar"/>
              </w:rPr>
            </w:pPr>
            <w:r>
              <w:rPr>
                <w:rFonts w:hint="eastAsia" w:ascii="宋体" w:hAnsi="宋体" w:eastAsia="宋体" w:cs="宋体"/>
                <w:b/>
                <w:i w:val="0"/>
                <w:caps w:val="0"/>
                <w:color w:val="000000"/>
                <w:spacing w:val="0"/>
                <w:w w:val="100"/>
                <w:kern w:val="0"/>
                <w:sz w:val="20"/>
                <w:szCs w:val="20"/>
                <w:vertAlign w:val="baseline"/>
                <w:lang w:val="en-US" w:eastAsia="zh-CN" w:bidi="ar"/>
              </w:rPr>
              <w:t>（人）</w:t>
            </w:r>
          </w:p>
        </w:tc>
        <w:tc>
          <w:tcPr>
            <w:tcW w:w="79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center"/>
              <w:rPr>
                <w:rFonts w:hint="eastAsia" w:ascii="宋体" w:hAnsi="宋体" w:eastAsia="宋体" w:cs="宋体"/>
                <w:b/>
                <w:i w:val="0"/>
                <w:caps w:val="0"/>
                <w:color w:val="000000"/>
                <w:spacing w:val="0"/>
                <w:w w:val="100"/>
                <w:kern w:val="0"/>
                <w:sz w:val="20"/>
                <w:szCs w:val="20"/>
                <w:vertAlign w:val="baseline"/>
                <w:lang w:val="en-US" w:eastAsia="zh-CN" w:bidi="ar"/>
              </w:rPr>
            </w:pPr>
            <w:r>
              <w:rPr>
                <w:rFonts w:hint="eastAsia" w:ascii="宋体" w:hAnsi="宋体" w:eastAsia="宋体" w:cs="宋体"/>
                <w:b/>
                <w:i w:val="0"/>
                <w:caps w:val="0"/>
                <w:color w:val="000000"/>
                <w:spacing w:val="0"/>
                <w:w w:val="100"/>
                <w:kern w:val="0"/>
                <w:sz w:val="20"/>
                <w:szCs w:val="20"/>
                <w:vertAlign w:val="baseline"/>
                <w:lang w:val="en-US" w:eastAsia="zh-CN" w:bidi="ar"/>
              </w:rPr>
              <w:t>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aps w:val="0"/>
                <w:color w:val="000000"/>
                <w:spacing w:val="0"/>
                <w:w w:val="100"/>
                <w:kern w:val="0"/>
                <w:sz w:val="16"/>
                <w:szCs w:val="16"/>
                <w:vertAlign w:val="baseli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79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eastAsia" w:ascii="宋体" w:hAnsi="宋体" w:eastAsia="宋体" w:cs="宋体"/>
                <w:b/>
                <w:bCs w:val="0"/>
                <w:i w:val="0"/>
                <w:caps w:val="0"/>
                <w:color w:val="000000"/>
                <w:spacing w:val="0"/>
                <w:w w:val="100"/>
                <w:kern w:val="0"/>
                <w:sz w:val="20"/>
                <w:szCs w:val="20"/>
                <w:vertAlign w:val="baseline"/>
                <w:lang w:val="en-US" w:eastAsia="zh-CN" w:bidi="ar"/>
              </w:rPr>
            </w:pPr>
            <w:r>
              <w:rPr>
                <w:rFonts w:hint="eastAsia" w:ascii="宋体" w:hAnsi="宋体" w:eastAsia="宋体" w:cs="宋体"/>
                <w:b w:val="0"/>
                <w:bCs/>
                <w:i w:val="0"/>
                <w:caps w:val="0"/>
                <w:color w:val="000000"/>
                <w:spacing w:val="0"/>
                <w:w w:val="100"/>
                <w:kern w:val="0"/>
                <w:sz w:val="20"/>
                <w:szCs w:val="20"/>
                <w:vertAlign w:val="baseline"/>
                <w:lang w:val="en-US" w:eastAsia="zh-CN" w:bidi="ar"/>
              </w:rPr>
              <w:t>95</w:t>
            </w:r>
          </w:p>
        </w:tc>
        <w:tc>
          <w:tcPr>
            <w:tcW w:w="79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eastAsia" w:ascii="宋体" w:hAnsi="宋体" w:eastAsia="宋体" w:cs="宋体"/>
                <w:b w:val="0"/>
                <w:bCs/>
                <w:i w:val="0"/>
                <w:caps w:val="0"/>
                <w:color w:val="000000"/>
                <w:spacing w:val="0"/>
                <w:w w:val="100"/>
                <w:kern w:val="0"/>
                <w:sz w:val="20"/>
                <w:szCs w:val="20"/>
                <w:vertAlign w:val="baseline"/>
                <w:lang w:val="en-US" w:eastAsia="zh-CN" w:bidi="ar"/>
              </w:rPr>
            </w:pPr>
            <w:r>
              <w:rPr>
                <w:rFonts w:hint="eastAsia" w:ascii="宋体" w:hAnsi="宋体" w:eastAsia="宋体" w:cs="宋体"/>
                <w:b w:val="0"/>
                <w:bCs/>
                <w:i w:val="0"/>
                <w:caps w:val="0"/>
                <w:color w:val="000000"/>
                <w:spacing w:val="0"/>
                <w:w w:val="100"/>
                <w:kern w:val="0"/>
                <w:sz w:val="20"/>
                <w:szCs w:val="20"/>
                <w:vertAlign w:val="baseline"/>
                <w:lang w:val="en-US" w:eastAsia="zh-CN" w:bidi="ar"/>
              </w:rPr>
              <w:t>61.35</w:t>
            </w:r>
          </w:p>
        </w:tc>
        <w:tc>
          <w:tcPr>
            <w:tcW w:w="79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eastAsia" w:ascii="宋体" w:hAnsi="宋体" w:eastAsia="宋体" w:cs="宋体"/>
                <w:b/>
                <w:i w:val="0"/>
                <w:caps w:val="0"/>
                <w:color w:val="000000"/>
                <w:spacing w:val="0"/>
                <w:w w:val="100"/>
                <w:kern w:val="0"/>
                <w:sz w:val="20"/>
                <w:szCs w:val="20"/>
                <w:vertAlign w:val="baseline"/>
                <w:lang w:val="en-US" w:eastAsia="zh-CN" w:bidi="ar"/>
              </w:rPr>
            </w:pPr>
            <w:r>
              <w:rPr>
                <w:rFonts w:hint="eastAsia" w:ascii="宋体" w:hAnsi="宋体" w:eastAsia="宋体" w:cs="宋体"/>
                <w:b w:val="0"/>
                <w:bCs/>
                <w:i w:val="0"/>
                <w:caps w:val="0"/>
                <w:color w:val="000000"/>
                <w:spacing w:val="0"/>
                <w:w w:val="100"/>
                <w:kern w:val="0"/>
                <w:sz w:val="20"/>
                <w:szCs w:val="20"/>
                <w:vertAlign w:val="baseline"/>
                <w:lang w:val="en-US" w:eastAsia="zh-CN" w:bidi="ar"/>
              </w:rPr>
              <w:t>138</w:t>
            </w:r>
          </w:p>
        </w:tc>
        <w:tc>
          <w:tcPr>
            <w:tcW w:w="79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eastAsia" w:ascii="宋体" w:hAnsi="宋体" w:eastAsia="宋体" w:cs="宋体"/>
                <w:b w:val="0"/>
                <w:bCs/>
                <w:i w:val="0"/>
                <w:caps w:val="0"/>
                <w:color w:val="000000"/>
                <w:spacing w:val="0"/>
                <w:w w:val="100"/>
                <w:kern w:val="0"/>
                <w:sz w:val="20"/>
                <w:szCs w:val="20"/>
                <w:vertAlign w:val="baseline"/>
                <w:lang w:val="en-US" w:eastAsia="zh-CN" w:bidi="ar"/>
              </w:rPr>
            </w:pPr>
            <w:r>
              <w:rPr>
                <w:rFonts w:hint="eastAsia" w:ascii="宋体" w:hAnsi="宋体" w:eastAsia="宋体" w:cs="宋体"/>
                <w:b w:val="0"/>
                <w:bCs/>
                <w:i w:val="0"/>
                <w:caps w:val="0"/>
                <w:color w:val="000000"/>
                <w:spacing w:val="0"/>
                <w:w w:val="100"/>
                <w:kern w:val="0"/>
                <w:sz w:val="20"/>
                <w:szCs w:val="20"/>
                <w:vertAlign w:val="baseline"/>
                <w:lang w:val="en-US" w:eastAsia="zh-CN" w:bidi="ar"/>
              </w:rPr>
              <w:t>144.7</w:t>
            </w:r>
          </w:p>
        </w:tc>
        <w:tc>
          <w:tcPr>
            <w:tcW w:w="79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eastAsia" w:ascii="宋体" w:hAnsi="宋体" w:eastAsia="宋体" w:cs="宋体"/>
                <w:b/>
                <w:i w:val="0"/>
                <w:caps w:val="0"/>
                <w:color w:val="000000"/>
                <w:spacing w:val="0"/>
                <w:w w:val="100"/>
                <w:kern w:val="0"/>
                <w:sz w:val="20"/>
                <w:szCs w:val="20"/>
                <w:vertAlign w:val="baseline"/>
                <w:lang w:val="en-US" w:eastAsia="zh-CN" w:bidi="ar"/>
              </w:rPr>
            </w:pPr>
            <w:r>
              <w:rPr>
                <w:rFonts w:hint="eastAsia" w:ascii="宋体" w:hAnsi="宋体" w:eastAsia="宋体" w:cs="宋体"/>
                <w:b w:val="0"/>
                <w:bCs/>
                <w:i w:val="0"/>
                <w:caps w:val="0"/>
                <w:color w:val="000000"/>
                <w:spacing w:val="0"/>
                <w:w w:val="100"/>
                <w:kern w:val="0"/>
                <w:sz w:val="20"/>
                <w:szCs w:val="20"/>
                <w:vertAlign w:val="baseline"/>
                <w:lang w:val="en-US" w:eastAsia="zh-CN" w:bidi="ar"/>
              </w:rPr>
              <w:t>231</w:t>
            </w:r>
          </w:p>
        </w:tc>
        <w:tc>
          <w:tcPr>
            <w:tcW w:w="8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center"/>
              <w:rPr>
                <w:rFonts w:hint="eastAsia" w:ascii="宋体" w:hAnsi="宋体" w:eastAsia="宋体" w:cs="宋体"/>
                <w:b w:val="0"/>
                <w:bCs/>
                <w:i w:val="0"/>
                <w:caps w:val="0"/>
                <w:color w:val="000000"/>
                <w:spacing w:val="0"/>
                <w:w w:val="100"/>
                <w:kern w:val="0"/>
                <w:sz w:val="20"/>
                <w:szCs w:val="20"/>
                <w:vertAlign w:val="baseline"/>
                <w:lang w:val="en-US" w:eastAsia="zh-CN" w:bidi="ar"/>
              </w:rPr>
            </w:pPr>
            <w:r>
              <w:rPr>
                <w:rFonts w:hint="eastAsia" w:ascii="宋体" w:hAnsi="宋体" w:eastAsia="宋体" w:cs="宋体"/>
                <w:b w:val="0"/>
                <w:bCs/>
                <w:i w:val="0"/>
                <w:caps w:val="0"/>
                <w:color w:val="000000"/>
                <w:spacing w:val="0"/>
                <w:w w:val="100"/>
                <w:kern w:val="0"/>
                <w:sz w:val="20"/>
                <w:szCs w:val="20"/>
                <w:vertAlign w:val="baseline"/>
                <w:lang w:val="en-US" w:eastAsia="zh-CN" w:bidi="ar"/>
              </w:rPr>
              <w:t>216.65</w:t>
            </w:r>
          </w:p>
        </w:tc>
        <w:tc>
          <w:tcPr>
            <w:tcW w:w="726" w:type="dxa"/>
            <w:vAlign w:val="center"/>
          </w:tcPr>
          <w:p>
            <w:pPr>
              <w:keepNext w:val="0"/>
              <w:keepLines w:val="0"/>
              <w:widowControl/>
              <w:suppressLineNumbers w:val="0"/>
              <w:jc w:val="center"/>
              <w:textAlignment w:val="center"/>
              <w:rPr>
                <w:rFonts w:hint="eastAsia" w:ascii="宋体" w:hAnsi="宋体" w:eastAsia="宋体" w:cs="宋体"/>
                <w:b/>
                <w:i w:val="0"/>
                <w:caps w:val="0"/>
                <w:color w:val="000000"/>
                <w:spacing w:val="0"/>
                <w:w w:val="100"/>
                <w:kern w:val="0"/>
                <w:sz w:val="20"/>
                <w:szCs w:val="20"/>
                <w:vertAlign w:val="baseline"/>
                <w:lang w:val="en-US" w:eastAsia="zh-CN" w:bidi="ar"/>
              </w:rPr>
            </w:pPr>
            <w:r>
              <w:rPr>
                <w:rFonts w:hint="eastAsia" w:ascii="宋体" w:hAnsi="宋体" w:eastAsia="宋体" w:cs="宋体"/>
                <w:b w:val="0"/>
                <w:bCs/>
                <w:i w:val="0"/>
                <w:color w:val="000000"/>
                <w:kern w:val="0"/>
                <w:sz w:val="20"/>
                <w:szCs w:val="20"/>
                <w:u w:val="none"/>
                <w:lang w:val="en-US" w:eastAsia="zh-CN" w:bidi="ar"/>
              </w:rPr>
              <w:t>272</w:t>
            </w:r>
          </w:p>
        </w:tc>
        <w:tc>
          <w:tcPr>
            <w:tcW w:w="794"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326.4</w:t>
            </w:r>
          </w:p>
        </w:tc>
        <w:tc>
          <w:tcPr>
            <w:tcW w:w="794" w:type="dxa"/>
            <w:vAlign w:val="center"/>
          </w:tcPr>
          <w:p>
            <w:pPr>
              <w:keepNext w:val="0"/>
              <w:keepLines w:val="0"/>
              <w:widowControl/>
              <w:suppressLineNumbers w:val="0"/>
              <w:jc w:val="center"/>
              <w:textAlignment w:val="center"/>
              <w:rPr>
                <w:rFonts w:hint="eastAsia" w:ascii="宋体" w:hAnsi="宋体" w:eastAsia="宋体" w:cs="宋体"/>
                <w:b/>
                <w:i w:val="0"/>
                <w:caps w:val="0"/>
                <w:color w:val="000000"/>
                <w:spacing w:val="0"/>
                <w:w w:val="100"/>
                <w:kern w:val="0"/>
                <w:sz w:val="20"/>
                <w:szCs w:val="20"/>
                <w:vertAlign w:val="baseline"/>
                <w:lang w:val="en-US" w:eastAsia="zh-CN" w:bidi="ar"/>
              </w:rPr>
            </w:pPr>
            <w:r>
              <w:rPr>
                <w:rFonts w:hint="eastAsia" w:ascii="宋体" w:hAnsi="宋体" w:eastAsia="宋体" w:cs="宋体"/>
                <w:b w:val="0"/>
                <w:bCs/>
                <w:i w:val="0"/>
                <w:color w:val="000000"/>
                <w:kern w:val="0"/>
                <w:sz w:val="20"/>
                <w:szCs w:val="20"/>
                <w:u w:val="none"/>
                <w:lang w:val="en-US" w:eastAsia="zh-CN" w:bidi="ar"/>
              </w:rPr>
              <w:t>313</w:t>
            </w:r>
          </w:p>
        </w:tc>
        <w:tc>
          <w:tcPr>
            <w:tcW w:w="79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375.6</w:t>
            </w:r>
          </w:p>
        </w:tc>
        <w:tc>
          <w:tcPr>
            <w:tcW w:w="794" w:type="dxa"/>
            <w:vAlign w:val="center"/>
          </w:tcPr>
          <w:p>
            <w:pPr>
              <w:keepNext w:val="0"/>
              <w:keepLines w:val="0"/>
              <w:widowControl/>
              <w:suppressLineNumbers w:val="0"/>
              <w:jc w:val="center"/>
              <w:textAlignment w:val="center"/>
              <w:rPr>
                <w:rFonts w:hint="eastAsia" w:ascii="宋体" w:hAnsi="宋体" w:eastAsia="宋体" w:cs="宋体"/>
                <w:b/>
                <w:i w:val="0"/>
                <w:caps w:val="0"/>
                <w:color w:val="000000"/>
                <w:spacing w:val="0"/>
                <w:w w:val="100"/>
                <w:kern w:val="0"/>
                <w:sz w:val="20"/>
                <w:szCs w:val="20"/>
                <w:vertAlign w:val="baseline"/>
                <w:lang w:val="en-US" w:eastAsia="zh-CN" w:bidi="ar"/>
              </w:rPr>
            </w:pPr>
            <w:r>
              <w:rPr>
                <w:rFonts w:hint="eastAsia" w:ascii="宋体" w:hAnsi="宋体" w:eastAsia="宋体" w:cs="宋体"/>
                <w:i w:val="0"/>
                <w:color w:val="000000"/>
                <w:kern w:val="0"/>
                <w:sz w:val="20"/>
                <w:szCs w:val="20"/>
                <w:u w:val="none"/>
                <w:lang w:val="en-US" w:eastAsia="zh-CN" w:bidi="ar"/>
              </w:rPr>
              <w:t>354</w:t>
            </w:r>
          </w:p>
        </w:tc>
        <w:tc>
          <w:tcPr>
            <w:tcW w:w="79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424.8</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F1466"/>
    <w:rsid w:val="368B49B7"/>
    <w:rsid w:val="409A3775"/>
    <w:rsid w:val="50FF1466"/>
    <w:rsid w:val="606E5AAF"/>
    <w:rsid w:val="65F23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2021-04-23T07:46:00Z</dcterms:created>
  <dc:creator>曾淑贞</dc:creator>
  <cp:lastModifiedBy>曾淑贞</cp:lastModifiedBy>
  <cp:lastPrinted>2021-04-23T07:46:00Z</cp:lastPrinted>
  <dcterms:modified xsi:type="dcterms:W3CDTF">2021-04-23T09:32:38Z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