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3</w:t>
      </w:r>
    </w:p>
    <w:p>
      <w:pPr>
        <w:tabs>
          <w:tab w:val="left" w:pos="1024"/>
        </w:tabs>
        <w:bidi w:val="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亲属联系人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扶持经费的情况说明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兹有我社区户籍居民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张三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为回国超龄归侨老人，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其于X年X月X日去世。根据《光明区回国超龄归侨老人扶持经费管理办法》第二章第四条款的有关规定，现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张三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女儿李四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银行账号：，银行及开户行：）代领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回国超龄归国老人扶持经费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tabs>
          <w:tab w:val="left" w:pos="10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XXX社区工作站/居委会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X年X月X日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E1147"/>
    <w:rsid w:val="3D0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2021-07-09T09:15:00Z</dcterms:created>
  <dc:creator>OA系统技术支持</dc:creator>
  <cp:lastModifiedBy>OA系统技术支持</cp:lastModifiedBy>
  <dcterms:modified xsi:type="dcterms:W3CDTF">2021-07-09T09:15:31Z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