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Style w:val="15"/>
          <w:rFonts w:hint="eastAsia" w:ascii="黑体" w:hAnsi="黑体" w:eastAsia="黑体" w:cs="黑体"/>
          <w:b w:val="0"/>
          <w:bCs w:val="0"/>
          <w:color w:val="auto"/>
          <w:sz w:val="32"/>
          <w:szCs w:val="32"/>
          <w:lang w:val="en-US" w:eastAsia="zh-CN"/>
        </w:rPr>
      </w:pPr>
      <w:bookmarkStart w:id="0" w:name="_GoBack"/>
      <w:bookmarkEnd w:id="0"/>
      <w:r>
        <w:rPr>
          <w:rStyle w:val="15"/>
          <w:rFonts w:hint="eastAsia" w:ascii="黑体" w:hAnsi="黑体" w:eastAsia="黑体" w:cs="黑体"/>
          <w:b w:val="0"/>
          <w:bCs w:val="0"/>
          <w:color w:val="auto"/>
          <w:sz w:val="32"/>
          <w:szCs w:val="32"/>
          <w:lang w:eastAsia="zh-CN"/>
        </w:rPr>
        <w:t>附件</w:t>
      </w:r>
      <w:r>
        <w:rPr>
          <w:rStyle w:val="15"/>
          <w:rFonts w:hint="eastAsia" w:ascii="黑体" w:hAnsi="黑体" w:eastAsia="黑体" w:cs="黑体"/>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Style w:val="15"/>
          <w:rFonts w:hint="default"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Style w:val="15"/>
          <w:rFonts w:hint="eastAsia" w:ascii="方正小标宋_GBK" w:hAnsi="方正小标宋_GBK" w:eastAsia="方正小标宋_GBK" w:cs="方正小标宋_GBK"/>
          <w:b w:val="0"/>
          <w:bCs w:val="0"/>
          <w:color w:val="auto"/>
          <w:sz w:val="44"/>
          <w:szCs w:val="44"/>
        </w:rPr>
      </w:pPr>
      <w:r>
        <w:rPr>
          <w:rStyle w:val="15"/>
          <w:rFonts w:hint="eastAsia" w:ascii="方正小标宋_GBK" w:hAnsi="方正小标宋_GBK" w:eastAsia="方正小标宋_GBK" w:cs="方正小标宋_GBK"/>
          <w:b w:val="0"/>
          <w:bCs w:val="0"/>
          <w:color w:val="auto"/>
          <w:sz w:val="44"/>
          <w:szCs w:val="44"/>
        </w:rPr>
        <w:t>光明区202</w:t>
      </w:r>
      <w:r>
        <w:rPr>
          <w:rStyle w:val="15"/>
          <w:rFonts w:hint="eastAsia" w:ascii="方正小标宋_GBK" w:hAnsi="方正小标宋_GBK" w:eastAsia="方正小标宋_GBK" w:cs="方正小标宋_GBK"/>
          <w:b w:val="0"/>
          <w:bCs w:val="0"/>
          <w:color w:val="auto"/>
          <w:sz w:val="44"/>
          <w:szCs w:val="44"/>
          <w:lang w:val="en" w:eastAsia="zh-CN"/>
        </w:rPr>
        <w:t>2</w:t>
      </w:r>
      <w:r>
        <w:rPr>
          <w:rStyle w:val="15"/>
          <w:rFonts w:hint="eastAsia" w:ascii="方正小标宋_GBK" w:hAnsi="方正小标宋_GBK" w:eastAsia="方正小标宋_GBK" w:cs="方正小标宋_GBK"/>
          <w:b w:val="0"/>
          <w:bCs w:val="0"/>
          <w:color w:val="auto"/>
          <w:sz w:val="44"/>
          <w:szCs w:val="44"/>
        </w:rPr>
        <w:t>年义务教育阶段学校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Style w:val="15"/>
          <w:rFonts w:hint="eastAsia" w:ascii="方正小标宋_GBK" w:hAnsi="方正小标宋_GBK" w:eastAsia="方正小标宋_GBK" w:cs="方正小标宋_GBK"/>
          <w:b w:val="0"/>
          <w:bCs w:val="0"/>
          <w:color w:val="auto"/>
          <w:sz w:val="44"/>
          <w:szCs w:val="44"/>
        </w:rPr>
      </w:pPr>
      <w:r>
        <w:rPr>
          <w:rStyle w:val="15"/>
          <w:rFonts w:hint="eastAsia" w:ascii="方正小标宋_GBK" w:hAnsi="方正小标宋_GBK" w:eastAsia="方正小标宋_GBK" w:cs="方正小标宋_GBK"/>
          <w:b w:val="0"/>
          <w:bCs w:val="0"/>
          <w:color w:val="auto"/>
          <w:sz w:val="44"/>
          <w:szCs w:val="44"/>
        </w:rPr>
        <w:t>积分入学办法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Style w:val="15"/>
          <w:rFonts w:hint="eastAsia" w:ascii="仿宋_GB2312" w:hAnsi="仿宋_GB2312" w:eastAsia="仿宋_GB2312" w:cs="仿宋_GB2312"/>
          <w:b w:val="0"/>
          <w:bCs w:val="0"/>
          <w:color w:val="auto"/>
          <w:sz w:val="32"/>
          <w:szCs w:val="32"/>
          <w:lang w:eastAsia="zh-CN"/>
        </w:rPr>
      </w:pPr>
      <w:r>
        <w:rPr>
          <w:rStyle w:val="15"/>
          <w:rFonts w:hint="eastAsia" w:ascii="仿宋_GB2312" w:hAnsi="仿宋_GB2312" w:eastAsia="仿宋_GB2312" w:cs="仿宋_GB2312"/>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jc w:val="center"/>
        <w:textAlignment w:val="auto"/>
        <w:rPr>
          <w:rStyle w:val="15"/>
          <w:rFonts w:ascii="仿宋_GB2312" w:hAnsi="Calibri" w:eastAsia="仿宋_GB2312" w:cs="Times New Roman"/>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b/>
          <w:bCs/>
          <w:color w:val="auto"/>
          <w:sz w:val="32"/>
          <w:szCs w:val="32"/>
          <w:shd w:val="clear" w:color="auto" w:fill="FFFFFF"/>
        </w:rPr>
        <w:t>第一条 </w:t>
      </w:r>
      <w:r>
        <w:rPr>
          <w:rFonts w:hint="eastAsia" w:ascii="仿宋_GB2312" w:hAnsi="宋体" w:eastAsia="仿宋_GB2312" w:cs="宋体"/>
          <w:color w:val="auto"/>
          <w:sz w:val="32"/>
          <w:szCs w:val="32"/>
          <w:shd w:val="clear" w:color="auto" w:fill="FFFFFF"/>
        </w:rPr>
        <w:t>为规范义务教育招生行为，保障符合在深就读条件适龄儿童、少年接受义务教育的合法权利，促进教育公平，根据《中华人民共和国义务教育法》《深圳经济特区居住证条例》《深圳市非深户籍人员子女接受义务教育管理办法》（深府规</w:t>
      </w:r>
      <w:r>
        <w:rPr>
          <w:rFonts w:hint="eastAsia" w:ascii="仿宋_GB2312" w:hAnsi="仿宋_GB2312" w:eastAsia="仿宋_GB2312" w:cs="仿宋_GB2312"/>
          <w:color w:val="auto"/>
          <w:sz w:val="32"/>
          <w:szCs w:val="32"/>
          <w:shd w:val="clear" w:color="auto" w:fill="FFFFFF"/>
        </w:rPr>
        <w:t>〔</w:t>
      </w:r>
      <w:r>
        <w:rPr>
          <w:rFonts w:hint="eastAsia" w:ascii="仿宋" w:hAnsi="仿宋" w:eastAsia="仿宋" w:cs="仿宋"/>
          <w:color w:val="auto"/>
          <w:sz w:val="32"/>
          <w:szCs w:val="32"/>
          <w:shd w:val="clear" w:color="auto" w:fill="FFFFFF"/>
        </w:rPr>
        <w:t>2018</w:t>
      </w:r>
      <w:r>
        <w:rPr>
          <w:rFonts w:hint="eastAsia" w:ascii="仿宋_GB2312" w:hAnsi="仿宋_GB2312" w:eastAsia="仿宋_GB2312" w:cs="仿宋_GB2312"/>
          <w:color w:val="auto"/>
          <w:sz w:val="32"/>
          <w:szCs w:val="32"/>
          <w:shd w:val="clear" w:color="auto" w:fill="FFFFFF"/>
        </w:rPr>
        <w:t>〕</w:t>
      </w:r>
      <w:r>
        <w:rPr>
          <w:rFonts w:hint="eastAsia" w:ascii="仿宋" w:hAnsi="仿宋" w:eastAsia="仿宋" w:cs="仿宋"/>
          <w:color w:val="auto"/>
          <w:sz w:val="32"/>
          <w:szCs w:val="32"/>
          <w:shd w:val="clear" w:color="auto" w:fill="FFFFFF"/>
        </w:rPr>
        <w:t>3号</w:t>
      </w:r>
      <w:r>
        <w:rPr>
          <w:rFonts w:hint="eastAsia" w:ascii="仿宋_GB2312" w:hAnsi="宋体" w:eastAsia="仿宋_GB2312" w:cs="宋体"/>
          <w:color w:val="auto"/>
          <w:sz w:val="32"/>
          <w:szCs w:val="32"/>
          <w:shd w:val="clear" w:color="auto" w:fill="FFFFFF"/>
        </w:rPr>
        <w:t>）等有关法律法规和文件精神，光明区义务教育阶段新生入学和转学插班实行积分入学学位派位制度。参加积分入学学位派位对象为：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（一）</w:t>
      </w:r>
      <w:r>
        <w:rPr>
          <w:rFonts w:hint="eastAsia" w:ascii="仿宋_GB2312" w:hAnsi="宋体" w:eastAsia="仿宋_GB2312" w:cs="宋体"/>
          <w:color w:val="auto"/>
          <w:kern w:val="0"/>
          <w:sz w:val="32"/>
          <w:szCs w:val="32"/>
        </w:rPr>
        <w:t>深圳市户籍儿童、少年；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sz w:val="32"/>
          <w:szCs w:val="32"/>
          <w:shd w:val="clear" w:color="auto" w:fill="FFFFFF"/>
        </w:rPr>
        <w:t>（二）</w:t>
      </w:r>
      <w:r>
        <w:rPr>
          <w:rFonts w:hint="eastAsia" w:ascii="仿宋_GB2312" w:hAnsi="宋体" w:eastAsia="仿宋_GB2312" w:cs="宋体"/>
          <w:color w:val="auto"/>
          <w:kern w:val="0"/>
          <w:sz w:val="32"/>
          <w:szCs w:val="32"/>
        </w:rPr>
        <w:t>符合《深圳市非深户籍人员子女接受义务教育管理办法》（深府规〔2018〕3号）文件规定的非深户籍适龄儿童、少年；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（三）享受政府相关优惠政策人员子女。</w:t>
      </w:r>
    </w:p>
    <w:p>
      <w:pPr>
        <w:keepNext w:val="0"/>
        <w:keepLines w:val="0"/>
        <w:pageBreakBefore w:val="0"/>
        <w:widowControl w:val="0"/>
        <w:kinsoku/>
        <w:wordWrap/>
        <w:overflowPunct/>
        <w:topLinePunct w:val="0"/>
        <w:autoSpaceDE/>
        <w:autoSpaceDN/>
        <w:bidi w:val="0"/>
        <w:adjustRightInd/>
        <w:snapToGrid/>
        <w:spacing w:line="560" w:lineRule="exact"/>
        <w:ind w:left="2" w:leftChars="1" w:firstLine="643" w:firstLineChars="0"/>
        <w:jc w:val="both"/>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b/>
          <w:bCs/>
          <w:color w:val="auto"/>
          <w:sz w:val="32"/>
          <w:szCs w:val="32"/>
          <w:shd w:val="clear" w:color="auto" w:fill="FFFFFF"/>
        </w:rPr>
        <w:t>第二条</w:t>
      </w:r>
      <w:r>
        <w:rPr>
          <w:rFonts w:hint="eastAsia" w:ascii="仿宋_GB2312" w:hAnsi="宋体" w:eastAsia="仿宋_GB2312" w:cs="宋体"/>
          <w:color w:val="auto"/>
          <w:sz w:val="32"/>
          <w:szCs w:val="32"/>
        </w:rPr>
        <w:t> </w:t>
      </w:r>
      <w:r>
        <w:rPr>
          <w:rFonts w:hint="eastAsia" w:ascii="仿宋_GB2312" w:hAnsi="宋体" w:eastAsia="仿宋_GB2312" w:cs="宋体"/>
          <w:color w:val="auto"/>
          <w:sz w:val="32"/>
          <w:szCs w:val="32"/>
          <w:shd w:val="clear" w:color="auto" w:fill="FFFFFF"/>
        </w:rPr>
        <w:t>光明区义务教育阶段学位类型按照适龄儿童、少年户籍和家庭购房情况分为八类，积分项目及标准如下：</w:t>
      </w:r>
    </w:p>
    <w:p>
      <w:pPr>
        <w:spacing w:line="240" w:lineRule="auto"/>
        <w:ind w:firstLine="0" w:firstLineChars="0"/>
        <w:jc w:val="both"/>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br w:type="page"/>
      </w:r>
    </w:p>
    <w:tbl>
      <w:tblPr>
        <w:tblStyle w:val="6"/>
        <w:tblW w:w="8910" w:type="dxa"/>
        <w:tblInd w:w="153" w:type="dxa"/>
        <w:tblLayout w:type="fixed"/>
        <w:tblCellMar>
          <w:top w:w="0" w:type="dxa"/>
          <w:left w:w="108" w:type="dxa"/>
          <w:bottom w:w="0" w:type="dxa"/>
          <w:right w:w="108" w:type="dxa"/>
        </w:tblCellMar>
      </w:tblPr>
      <w:tblGrid>
        <w:gridCol w:w="2520"/>
        <w:gridCol w:w="945"/>
        <w:gridCol w:w="4500"/>
        <w:gridCol w:w="945"/>
      </w:tblGrid>
      <w:tr>
        <w:tblPrEx>
          <w:tblLayout w:type="fixed"/>
          <w:tblCellMar>
            <w:top w:w="0" w:type="dxa"/>
            <w:left w:w="108" w:type="dxa"/>
            <w:bottom w:w="0" w:type="dxa"/>
            <w:right w:w="108" w:type="dxa"/>
          </w:tblCellMar>
        </w:tblPrEx>
        <w:trPr>
          <w:trHeight w:val="777" w:hRule="atLeast"/>
        </w:trPr>
        <w:tc>
          <w:tcPr>
            <w:tcW w:w="2520" w:type="dxa"/>
            <w:tcBorders>
              <w:top w:val="single" w:color="auto" w:sz="4" w:space="0"/>
              <w:left w:val="single" w:color="auto" w:sz="4" w:space="0"/>
              <w:right w:val="single" w:color="auto" w:sz="4" w:space="0"/>
            </w:tcBorders>
            <w:noWrap w:val="0"/>
            <w:vAlign w:val="center"/>
          </w:tcPr>
          <w:p>
            <w:pPr>
              <w:widowControl/>
              <w:spacing w:line="0" w:lineRule="atLeast"/>
              <w:ind w:firstLine="0" w:firstLineChars="0"/>
              <w:jc w:val="center"/>
              <w:rPr>
                <w:rFonts w:ascii="仿宋_GB2312" w:hAnsi="宋体" w:eastAsia="仿宋_GB2312" w:cs="宋体"/>
                <w:b/>
                <w:color w:val="auto"/>
                <w:sz w:val="24"/>
              </w:rPr>
            </w:pPr>
            <w:r>
              <w:rPr>
                <w:rFonts w:hint="eastAsia" w:ascii="仿宋_GB2312" w:hAnsi="宋体" w:eastAsia="仿宋_GB2312" w:cs="宋体"/>
                <w:b/>
                <w:color w:val="auto"/>
                <w:sz w:val="24"/>
              </w:rPr>
              <w:t>学位类型</w:t>
            </w:r>
          </w:p>
        </w:tc>
        <w:tc>
          <w:tcPr>
            <w:tcW w:w="945" w:type="dxa"/>
            <w:tcBorders>
              <w:top w:val="single" w:color="auto" w:sz="4" w:space="0"/>
              <w:left w:val="single" w:color="auto" w:sz="4" w:space="0"/>
              <w:right w:val="single" w:color="auto" w:sz="4" w:space="0"/>
            </w:tcBorders>
            <w:noWrap w:val="0"/>
            <w:vAlign w:val="center"/>
          </w:tcPr>
          <w:p>
            <w:pPr>
              <w:widowControl/>
              <w:spacing w:line="0" w:lineRule="atLeast"/>
              <w:ind w:firstLine="0" w:firstLineChars="0"/>
              <w:jc w:val="center"/>
              <w:rPr>
                <w:rFonts w:ascii="仿宋_GB2312" w:hAnsi="宋体" w:eastAsia="仿宋_GB2312" w:cs="宋体"/>
                <w:b/>
                <w:color w:val="auto"/>
                <w:sz w:val="24"/>
              </w:rPr>
            </w:pPr>
            <w:r>
              <w:rPr>
                <w:rFonts w:hint="eastAsia" w:ascii="仿宋_GB2312" w:hAnsi="宋体" w:eastAsia="仿宋_GB2312" w:cs="宋体"/>
                <w:b/>
                <w:color w:val="auto"/>
                <w:sz w:val="24"/>
              </w:rPr>
              <w:t>基础积分</w:t>
            </w:r>
          </w:p>
        </w:tc>
        <w:tc>
          <w:tcPr>
            <w:tcW w:w="4500" w:type="dxa"/>
            <w:tcBorders>
              <w:top w:val="single" w:color="auto" w:sz="4" w:space="0"/>
              <w:left w:val="single" w:color="auto" w:sz="4" w:space="0"/>
              <w:right w:val="single" w:color="auto" w:sz="4" w:space="0"/>
            </w:tcBorders>
            <w:noWrap w:val="0"/>
            <w:vAlign w:val="center"/>
          </w:tcPr>
          <w:p>
            <w:pPr>
              <w:widowControl/>
              <w:spacing w:line="0" w:lineRule="atLeast"/>
              <w:ind w:firstLine="0" w:firstLineChars="0"/>
              <w:jc w:val="center"/>
              <w:rPr>
                <w:rFonts w:ascii="仿宋_GB2312" w:hAnsi="宋体" w:eastAsia="仿宋_GB2312" w:cs="宋体"/>
                <w:b/>
                <w:color w:val="auto"/>
                <w:sz w:val="24"/>
              </w:rPr>
            </w:pPr>
            <w:r>
              <w:rPr>
                <w:rFonts w:hint="eastAsia" w:ascii="仿宋_GB2312" w:hAnsi="宋体" w:eastAsia="仿宋_GB2312" w:cs="宋体"/>
                <w:b/>
                <w:color w:val="auto"/>
                <w:sz w:val="24"/>
              </w:rPr>
              <w:t>加分项目及标准</w:t>
            </w:r>
          </w:p>
        </w:tc>
        <w:tc>
          <w:tcPr>
            <w:tcW w:w="945" w:type="dxa"/>
            <w:tcBorders>
              <w:top w:val="single" w:color="auto" w:sz="4" w:space="0"/>
              <w:left w:val="single" w:color="auto" w:sz="4" w:space="0"/>
              <w:right w:val="single" w:color="auto" w:sz="4" w:space="0"/>
            </w:tcBorders>
            <w:noWrap w:val="0"/>
            <w:vAlign w:val="center"/>
          </w:tcPr>
          <w:p>
            <w:pPr>
              <w:widowControl/>
              <w:spacing w:line="0" w:lineRule="atLeast"/>
              <w:ind w:firstLine="0" w:firstLineChars="0"/>
              <w:jc w:val="center"/>
              <w:rPr>
                <w:rFonts w:ascii="仿宋_GB2312" w:hAnsi="宋体" w:eastAsia="仿宋_GB2312" w:cs="宋体"/>
                <w:b/>
                <w:color w:val="auto"/>
                <w:sz w:val="24"/>
              </w:rPr>
            </w:pPr>
            <w:r>
              <w:rPr>
                <w:rFonts w:hint="eastAsia" w:ascii="仿宋_GB2312" w:hAnsi="宋体" w:eastAsia="仿宋_GB2312"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2520" w:type="dxa"/>
            <w:tcBorders>
              <w:top w:val="single" w:color="auto" w:sz="4" w:space="0"/>
            </w:tcBorders>
            <w:noWrap w:val="0"/>
            <w:vAlign w:val="center"/>
          </w:tcPr>
          <w:p>
            <w:pPr>
              <w:widowControl/>
              <w:spacing w:line="0" w:lineRule="atLeast"/>
              <w:ind w:firstLine="0" w:firstLineChars="0"/>
              <w:jc w:val="left"/>
              <w:rPr>
                <w:rFonts w:hint="eastAsia" w:ascii="仿宋_GB2312" w:hAnsi="宋体" w:eastAsia="仿宋_GB2312" w:cs="宋体"/>
                <w:color w:val="auto"/>
                <w:sz w:val="24"/>
              </w:rPr>
            </w:pPr>
            <w:r>
              <w:rPr>
                <w:rFonts w:hint="eastAsia" w:ascii="仿宋_GB2312" w:hAnsi="宋体" w:eastAsia="仿宋_GB2312" w:cs="宋体"/>
                <w:color w:val="auto"/>
                <w:sz w:val="24"/>
              </w:rPr>
              <w:t>第一类：</w:t>
            </w:r>
          </w:p>
          <w:p>
            <w:pPr>
              <w:widowControl/>
              <w:spacing w:line="0" w:lineRule="atLeast"/>
              <w:ind w:firstLine="0" w:firstLineChars="0"/>
              <w:jc w:val="left"/>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rPr>
              <w:t>学区内光明户籍，学区内拥有合法产权房</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监护人产权</w:t>
            </w:r>
            <w:r>
              <w:rPr>
                <w:rFonts w:hint="eastAsia" w:ascii="仿宋_GB2312" w:hAnsi="宋体" w:eastAsia="仿宋_GB2312" w:cs="宋体"/>
                <w:color w:val="auto"/>
                <w:sz w:val="24"/>
                <w:highlight w:val="none"/>
                <w:lang w:val="en-US" w:eastAsia="zh-CN"/>
              </w:rPr>
              <w:t>〉</w:t>
            </w:r>
            <w:r>
              <w:rPr>
                <w:rFonts w:hint="eastAsia" w:ascii="仿宋_GB2312" w:hAnsi="宋体" w:eastAsia="仿宋_GB2312" w:cs="宋体"/>
                <w:color w:val="auto"/>
                <w:sz w:val="24"/>
                <w:lang w:val="en-US" w:eastAsia="zh-CN"/>
              </w:rPr>
              <w:t>50%,户籍地址和居住地址一致</w:t>
            </w:r>
            <w:r>
              <w:rPr>
                <w:rFonts w:hint="eastAsia" w:ascii="仿宋_GB2312" w:hAnsi="宋体" w:eastAsia="仿宋_GB2312" w:cs="宋体"/>
                <w:color w:val="auto"/>
                <w:sz w:val="24"/>
                <w:highlight w:val="none"/>
                <w:lang w:val="en-US" w:eastAsia="zh-CN"/>
              </w:rPr>
              <w:t>）</w:t>
            </w:r>
          </w:p>
        </w:tc>
        <w:tc>
          <w:tcPr>
            <w:tcW w:w="945" w:type="dxa"/>
            <w:tcBorders>
              <w:top w:val="single" w:color="auto" w:sz="4" w:space="0"/>
            </w:tcBorders>
            <w:noWrap w:val="0"/>
            <w:vAlign w:val="center"/>
          </w:tcPr>
          <w:p>
            <w:pPr>
              <w:spacing w:line="4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lang w:val="en-US" w:eastAsia="zh-CN"/>
              </w:rPr>
              <w:t>90</w:t>
            </w:r>
            <w:r>
              <w:rPr>
                <w:rFonts w:hint="eastAsia" w:ascii="仿宋_GB2312" w:hAnsi="宋体" w:eastAsia="仿宋_GB2312" w:cs="宋体"/>
                <w:color w:val="auto"/>
                <w:sz w:val="24"/>
              </w:rPr>
              <w:t>分</w:t>
            </w:r>
          </w:p>
        </w:tc>
        <w:tc>
          <w:tcPr>
            <w:tcW w:w="4500" w:type="dxa"/>
            <w:vMerge w:val="restart"/>
            <w:tcBorders>
              <w:top w:val="single" w:color="auto" w:sz="4" w:space="0"/>
            </w:tcBorders>
            <w:noWrap w:val="0"/>
            <w:vAlign w:val="center"/>
          </w:tcPr>
          <w:p>
            <w:pPr>
              <w:widowControl/>
              <w:spacing w:line="0" w:lineRule="atLeast"/>
              <w:ind w:firstLine="482" w:firstLineChars="200"/>
              <w:jc w:val="both"/>
              <w:rPr>
                <w:rFonts w:hint="eastAsia" w:ascii="仿宋_GB2312" w:hAnsi="宋体" w:eastAsia="仿宋_GB2312" w:cs="宋体"/>
                <w:b/>
                <w:bCs/>
                <w:color w:val="auto"/>
                <w:sz w:val="24"/>
              </w:rPr>
            </w:pPr>
            <w:r>
              <w:rPr>
                <w:rFonts w:hint="eastAsia" w:ascii="仿宋_GB2312" w:hAnsi="宋体" w:eastAsia="仿宋_GB2312" w:cs="宋体"/>
                <w:b/>
                <w:bCs/>
                <w:color w:val="auto"/>
                <w:sz w:val="24"/>
              </w:rPr>
              <w:t>1.入户时长加分：</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rPr>
              <w:t>以适龄儿童、少年父母（监护人）一方户口迁入深圳市时长积分：0.1分/月。</w:t>
            </w:r>
          </w:p>
          <w:p>
            <w:pPr>
              <w:widowControl/>
              <w:spacing w:line="0" w:lineRule="atLeast"/>
              <w:ind w:firstLine="482" w:firstLineChars="200"/>
              <w:jc w:val="both"/>
              <w:rPr>
                <w:rFonts w:hint="eastAsia" w:ascii="仿宋_GB2312" w:hAnsi="宋体" w:eastAsia="仿宋_GB2312" w:cs="宋体"/>
                <w:b/>
                <w:bCs/>
                <w:color w:val="auto"/>
                <w:sz w:val="24"/>
              </w:rPr>
            </w:pPr>
            <w:r>
              <w:rPr>
                <w:rFonts w:hint="eastAsia" w:ascii="仿宋_GB2312" w:hAnsi="宋体" w:eastAsia="仿宋_GB2312" w:cs="宋体"/>
                <w:b/>
                <w:bCs/>
                <w:color w:val="auto"/>
                <w:sz w:val="24"/>
              </w:rPr>
              <w:t>2.居住时长加分：</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rPr>
              <w:t>按申请人家庭在学区内连续居住的时长进行积分：</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1</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拥有合法产权房（用途为住宅）的，以房地产证、不动产证的发证日期，或与政府（职能部门）签订的政策性住房协议的签订日期开始积分：0.1分/月。</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2</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租房（用途为住宅）的，以《房屋租赁凭证》（红本）的发证日期，或与政府（职能部门）签订的政策性住房租赁协议的签订日期开始积分：0.1分/月。</w:t>
            </w:r>
          </w:p>
          <w:p>
            <w:pPr>
              <w:widowControl/>
              <w:spacing w:line="0" w:lineRule="atLeast"/>
              <w:ind w:firstLine="480" w:firstLineChars="200"/>
              <w:jc w:val="both"/>
              <w:rPr>
                <w:rFonts w:ascii="仿宋_GB2312" w:hAnsi="宋体" w:eastAsia="仿宋_GB2312" w:cs="宋体"/>
                <w:color w:val="auto"/>
                <w:sz w:val="24"/>
              </w:rPr>
            </w:pPr>
            <w:r>
              <w:rPr>
                <w:rFonts w:hint="eastAsia" w:ascii="仿宋_GB2312" w:hAnsi="宋体" w:eastAsia="仿宋_GB2312" w:cs="宋体"/>
                <w:color w:val="auto"/>
                <w:sz w:val="24"/>
              </w:rPr>
              <w:t>注：承租人需为监护人。</w:t>
            </w:r>
          </w:p>
          <w:p>
            <w:pPr>
              <w:widowControl/>
              <w:spacing w:line="0" w:lineRule="atLeast"/>
              <w:ind w:firstLine="480" w:firstLineChars="200"/>
              <w:jc w:val="both"/>
              <w:rPr>
                <w:rFonts w:ascii="仿宋_GB2312" w:hAnsi="宋体" w:eastAsia="仿宋_GB2312" w:cs="宋体"/>
                <w:color w:val="auto"/>
                <w:sz w:val="24"/>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3</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拥有特殊住房（自建房、集资房、祖屋，用途为住宅）的，以辖区居委会出具证明显示的入住时间或水电费单、煤气单缴交时间开始积分：0.1分/月。</w:t>
            </w:r>
          </w:p>
        </w:tc>
        <w:tc>
          <w:tcPr>
            <w:tcW w:w="945" w:type="dxa"/>
            <w:vMerge w:val="restart"/>
            <w:tcBorders>
              <w:top w:val="single" w:color="auto" w:sz="4" w:space="0"/>
            </w:tcBorders>
            <w:noWrap w:val="0"/>
            <w:vAlign w:val="center"/>
          </w:tcPr>
          <w:p>
            <w:pPr>
              <w:widowControl/>
              <w:spacing w:line="0" w:lineRule="atLeast"/>
              <w:ind w:firstLine="0" w:firstLineChars="0"/>
              <w:jc w:val="both"/>
              <w:rPr>
                <w:rFonts w:hint="eastAsia" w:ascii="仿宋_GB2312" w:hAnsi="宋体" w:eastAsia="仿宋_GB2312" w:cs="宋体"/>
                <w:color w:val="auto"/>
                <w:sz w:val="24"/>
              </w:rPr>
            </w:pPr>
            <w:r>
              <w:rPr>
                <w:rFonts w:hint="eastAsia" w:ascii="仿宋_GB2312" w:hAnsi="宋体" w:eastAsia="仿宋_GB2312" w:cs="宋体"/>
                <w:color w:val="auto"/>
                <w:sz w:val="24"/>
              </w:rPr>
              <w:t>1.相关积分或加分以职能部门审核结果为准。</w:t>
            </w:r>
          </w:p>
          <w:p>
            <w:pPr>
              <w:spacing w:line="400" w:lineRule="exact"/>
              <w:ind w:firstLine="0" w:firstLineChars="0"/>
              <w:jc w:val="both"/>
              <w:rPr>
                <w:rFonts w:hint="eastAsia" w:ascii="仿宋_GB2312" w:hAnsi="宋体" w:eastAsia="仿宋_GB2312" w:cs="宋体"/>
                <w:color w:val="auto"/>
                <w:sz w:val="24"/>
              </w:rPr>
            </w:pPr>
          </w:p>
          <w:p>
            <w:pPr>
              <w:widowControl/>
              <w:spacing w:line="0" w:lineRule="atLeast"/>
              <w:ind w:firstLine="0" w:firstLineChars="0"/>
              <w:jc w:val="left"/>
              <w:rPr>
                <w:rFonts w:ascii="仿宋_GB2312" w:hAnsi="宋体" w:eastAsia="仿宋_GB2312" w:cs="宋体"/>
                <w:color w:val="auto"/>
                <w:sz w:val="24"/>
              </w:rPr>
            </w:pPr>
            <w:r>
              <w:rPr>
                <w:rFonts w:hint="eastAsia" w:ascii="仿宋_GB2312" w:hAnsi="宋体" w:eastAsia="仿宋_GB2312" w:cs="宋体"/>
                <w:color w:val="auto"/>
                <w:sz w:val="24"/>
              </w:rPr>
              <w:t>2.累计积分，不封顶。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2520" w:type="dxa"/>
            <w:tcBorders>
              <w:top w:val="single" w:color="auto" w:sz="4" w:space="0"/>
            </w:tcBorders>
            <w:noWrap w:val="0"/>
            <w:vAlign w:val="center"/>
          </w:tcPr>
          <w:p>
            <w:pPr>
              <w:widowControl/>
              <w:spacing w:line="0" w:lineRule="atLeast"/>
              <w:ind w:firstLine="0" w:firstLineChars="0"/>
              <w:jc w:val="left"/>
              <w:rPr>
                <w:rFonts w:hint="eastAsia" w:ascii="仿宋_GB2312" w:hAnsi="宋体" w:eastAsia="仿宋_GB2312" w:cs="宋体"/>
                <w:color w:val="auto"/>
                <w:sz w:val="24"/>
              </w:rPr>
            </w:pPr>
            <w:r>
              <w:rPr>
                <w:rFonts w:hint="eastAsia" w:ascii="仿宋_GB2312" w:hAnsi="宋体" w:eastAsia="仿宋_GB2312" w:cs="宋体"/>
                <w:color w:val="auto"/>
                <w:sz w:val="24"/>
              </w:rPr>
              <w:t>第二类：</w:t>
            </w:r>
          </w:p>
          <w:p>
            <w:pPr>
              <w:widowControl/>
              <w:spacing w:line="0" w:lineRule="atLeast"/>
              <w:ind w:firstLine="0" w:firstLineChars="0"/>
              <w:jc w:val="left"/>
              <w:rPr>
                <w:rFonts w:ascii="仿宋_GB2312" w:hAnsi="宋体" w:eastAsia="仿宋_GB2312" w:cs="宋体"/>
                <w:color w:val="auto"/>
                <w:sz w:val="24"/>
              </w:rPr>
            </w:pPr>
            <w:r>
              <w:rPr>
                <w:rFonts w:hint="eastAsia" w:ascii="仿宋_GB2312" w:hAnsi="宋体" w:eastAsia="仿宋_GB2312" w:cs="宋体"/>
                <w:color w:val="auto"/>
                <w:sz w:val="24"/>
              </w:rPr>
              <w:t>学区内光明户籍，学区内租房或居住其他住房</w:t>
            </w:r>
          </w:p>
        </w:tc>
        <w:tc>
          <w:tcPr>
            <w:tcW w:w="945" w:type="dxa"/>
            <w:tcBorders>
              <w:top w:val="single" w:color="auto" w:sz="4" w:space="0"/>
            </w:tcBorders>
            <w:noWrap w:val="0"/>
            <w:vAlign w:val="center"/>
          </w:tcPr>
          <w:p>
            <w:pPr>
              <w:spacing w:line="4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lang w:val="en-US" w:eastAsia="zh-CN"/>
              </w:rPr>
              <w:t>80</w:t>
            </w:r>
            <w:r>
              <w:rPr>
                <w:rFonts w:hint="eastAsia" w:ascii="仿宋_GB2312" w:hAnsi="宋体" w:eastAsia="仿宋_GB2312" w:cs="宋体"/>
                <w:color w:val="auto"/>
                <w:sz w:val="24"/>
              </w:rPr>
              <w:t>分</w:t>
            </w:r>
          </w:p>
        </w:tc>
        <w:tc>
          <w:tcPr>
            <w:tcW w:w="4500" w:type="dxa"/>
            <w:vMerge w:val="continue"/>
            <w:noWrap w:val="0"/>
            <w:vAlign w:val="center"/>
          </w:tcPr>
          <w:p>
            <w:pPr>
              <w:widowControl/>
              <w:spacing w:line="0" w:lineRule="atLeast"/>
              <w:ind w:firstLine="480" w:firstLineChars="200"/>
              <w:jc w:val="both"/>
              <w:rPr>
                <w:rFonts w:hint="eastAsia" w:ascii="仿宋_GB2312" w:hAnsi="宋体" w:eastAsia="仿宋_GB2312" w:cs="宋体"/>
                <w:color w:val="auto"/>
                <w:sz w:val="24"/>
              </w:rPr>
            </w:pPr>
          </w:p>
        </w:tc>
        <w:tc>
          <w:tcPr>
            <w:tcW w:w="945" w:type="dxa"/>
            <w:vMerge w:val="continue"/>
            <w:noWrap w:val="0"/>
            <w:vAlign w:val="center"/>
          </w:tcPr>
          <w:p>
            <w:pPr>
              <w:spacing w:line="400" w:lineRule="exact"/>
              <w:ind w:firstLine="0" w:firstLineChars="0"/>
              <w:jc w:val="both"/>
              <w:rPr>
                <w:rFonts w:hint="eastAsia"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2520" w:type="dxa"/>
            <w:tcBorders>
              <w:top w:val="single" w:color="auto" w:sz="4" w:space="0"/>
            </w:tcBorders>
            <w:noWrap w:val="0"/>
            <w:vAlign w:val="center"/>
          </w:tcPr>
          <w:p>
            <w:pPr>
              <w:widowControl/>
              <w:spacing w:line="0" w:lineRule="atLeast"/>
              <w:ind w:firstLine="0" w:firstLineChars="0"/>
              <w:jc w:val="left"/>
              <w:rPr>
                <w:rFonts w:hint="eastAsia" w:ascii="仿宋_GB2312" w:hAnsi="宋体" w:eastAsia="仿宋_GB2312" w:cs="宋体"/>
                <w:color w:val="auto"/>
                <w:sz w:val="24"/>
              </w:rPr>
            </w:pPr>
            <w:r>
              <w:rPr>
                <w:rFonts w:hint="eastAsia" w:ascii="仿宋_GB2312" w:hAnsi="宋体" w:eastAsia="仿宋_GB2312" w:cs="宋体"/>
                <w:color w:val="auto"/>
                <w:sz w:val="24"/>
              </w:rPr>
              <w:t>第三类：</w:t>
            </w:r>
          </w:p>
          <w:p>
            <w:pPr>
              <w:widowControl/>
              <w:spacing w:line="0" w:lineRule="atLeast"/>
              <w:ind w:firstLine="0" w:firstLineChars="0"/>
              <w:jc w:val="left"/>
              <w:rPr>
                <w:rFonts w:ascii="仿宋_GB2312" w:hAnsi="宋体" w:eastAsia="仿宋_GB2312" w:cs="宋体"/>
                <w:color w:val="auto"/>
                <w:sz w:val="24"/>
              </w:rPr>
            </w:pPr>
            <w:r>
              <w:rPr>
                <w:rFonts w:hint="eastAsia" w:ascii="仿宋_GB2312" w:hAnsi="宋体" w:eastAsia="仿宋_GB2312" w:cs="宋体"/>
                <w:color w:val="auto"/>
                <w:sz w:val="24"/>
              </w:rPr>
              <w:t>非学区内光明户籍，学区内拥有合法产权房</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监护人产权</w:t>
            </w:r>
            <w:r>
              <w:rPr>
                <w:rFonts w:hint="eastAsia" w:ascii="仿宋_GB2312" w:hAnsi="宋体" w:eastAsia="仿宋_GB2312" w:cs="宋体"/>
                <w:color w:val="auto"/>
                <w:sz w:val="24"/>
                <w:highlight w:val="none"/>
                <w:lang w:val="en-US" w:eastAsia="zh-CN"/>
              </w:rPr>
              <w:t>〉</w:t>
            </w:r>
            <w:r>
              <w:rPr>
                <w:rFonts w:hint="eastAsia" w:ascii="仿宋_GB2312" w:hAnsi="宋体" w:eastAsia="仿宋_GB2312" w:cs="宋体"/>
                <w:color w:val="auto"/>
                <w:sz w:val="24"/>
                <w:lang w:val="en-US" w:eastAsia="zh-CN"/>
              </w:rPr>
              <w:t>50%）</w:t>
            </w:r>
          </w:p>
        </w:tc>
        <w:tc>
          <w:tcPr>
            <w:tcW w:w="945" w:type="dxa"/>
            <w:tcBorders>
              <w:top w:val="single" w:color="auto" w:sz="4" w:space="0"/>
            </w:tcBorders>
            <w:noWrap w:val="0"/>
            <w:vAlign w:val="center"/>
          </w:tcPr>
          <w:p>
            <w:pPr>
              <w:spacing w:line="4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lang w:val="en-US" w:eastAsia="zh-CN"/>
              </w:rPr>
              <w:t>70</w:t>
            </w:r>
            <w:r>
              <w:rPr>
                <w:rFonts w:hint="eastAsia" w:ascii="仿宋_GB2312" w:hAnsi="宋体" w:eastAsia="仿宋_GB2312" w:cs="宋体"/>
                <w:color w:val="auto"/>
                <w:sz w:val="24"/>
              </w:rPr>
              <w:t>分</w:t>
            </w:r>
          </w:p>
        </w:tc>
        <w:tc>
          <w:tcPr>
            <w:tcW w:w="4500" w:type="dxa"/>
            <w:vMerge w:val="continue"/>
            <w:noWrap w:val="0"/>
            <w:vAlign w:val="center"/>
          </w:tcPr>
          <w:p>
            <w:pPr>
              <w:widowControl/>
              <w:spacing w:line="0" w:lineRule="atLeast"/>
              <w:ind w:firstLine="480" w:firstLineChars="200"/>
              <w:jc w:val="both"/>
              <w:rPr>
                <w:rFonts w:hint="eastAsia" w:ascii="仿宋_GB2312" w:hAnsi="宋体" w:eastAsia="仿宋_GB2312" w:cs="宋体"/>
                <w:color w:val="auto"/>
                <w:sz w:val="24"/>
              </w:rPr>
            </w:pPr>
          </w:p>
        </w:tc>
        <w:tc>
          <w:tcPr>
            <w:tcW w:w="945" w:type="dxa"/>
            <w:vMerge w:val="continue"/>
            <w:noWrap w:val="0"/>
            <w:vAlign w:val="center"/>
          </w:tcPr>
          <w:p>
            <w:pPr>
              <w:spacing w:line="400" w:lineRule="exact"/>
              <w:ind w:firstLine="0" w:firstLineChars="0"/>
              <w:jc w:val="both"/>
              <w:rPr>
                <w:rFonts w:hint="eastAsia"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2520" w:type="dxa"/>
            <w:noWrap w:val="0"/>
            <w:vAlign w:val="center"/>
          </w:tcPr>
          <w:p>
            <w:pPr>
              <w:widowControl/>
              <w:spacing w:line="0" w:lineRule="atLeast"/>
              <w:ind w:firstLine="0" w:firstLineChars="0"/>
              <w:jc w:val="left"/>
              <w:rPr>
                <w:rFonts w:hint="eastAsia" w:ascii="仿宋_GB2312" w:hAnsi="宋体" w:eastAsia="仿宋_GB2312" w:cs="宋体"/>
                <w:color w:val="auto"/>
                <w:sz w:val="24"/>
              </w:rPr>
            </w:pPr>
            <w:r>
              <w:rPr>
                <w:rFonts w:hint="eastAsia" w:ascii="仿宋_GB2312" w:hAnsi="宋体" w:eastAsia="仿宋_GB2312" w:cs="宋体"/>
                <w:color w:val="auto"/>
                <w:sz w:val="24"/>
              </w:rPr>
              <w:t>第四类：</w:t>
            </w:r>
          </w:p>
          <w:p>
            <w:pPr>
              <w:widowControl/>
              <w:spacing w:line="0" w:lineRule="atLeast"/>
              <w:ind w:firstLine="0" w:firstLineChars="0"/>
              <w:jc w:val="left"/>
              <w:rPr>
                <w:rFonts w:ascii="仿宋_GB2312" w:hAnsi="宋体" w:eastAsia="仿宋_GB2312" w:cs="宋体"/>
                <w:color w:val="auto"/>
                <w:sz w:val="24"/>
              </w:rPr>
            </w:pPr>
            <w:r>
              <w:rPr>
                <w:rFonts w:hint="eastAsia" w:ascii="仿宋_GB2312" w:hAnsi="宋体" w:eastAsia="仿宋_GB2312" w:cs="宋体"/>
                <w:color w:val="auto"/>
                <w:sz w:val="24"/>
              </w:rPr>
              <w:t>非学区内光明户籍，学区内租房或居住其他住房</w:t>
            </w:r>
          </w:p>
        </w:tc>
        <w:tc>
          <w:tcPr>
            <w:tcW w:w="945" w:type="dxa"/>
            <w:noWrap w:val="0"/>
            <w:vAlign w:val="center"/>
          </w:tcPr>
          <w:p>
            <w:pPr>
              <w:spacing w:line="4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rPr>
              <w:t>60分</w:t>
            </w:r>
          </w:p>
        </w:tc>
        <w:tc>
          <w:tcPr>
            <w:tcW w:w="4500" w:type="dxa"/>
            <w:vMerge w:val="continue"/>
            <w:noWrap w:val="0"/>
            <w:vAlign w:val="top"/>
          </w:tcPr>
          <w:p>
            <w:pPr>
              <w:spacing w:line="400" w:lineRule="exact"/>
              <w:ind w:firstLine="480" w:firstLineChars="0"/>
              <w:jc w:val="both"/>
              <w:rPr>
                <w:rFonts w:ascii="仿宋_GB2312" w:hAnsi="宋体" w:eastAsia="仿宋_GB2312" w:cs="宋体"/>
                <w:color w:val="auto"/>
                <w:sz w:val="24"/>
              </w:rPr>
            </w:pPr>
          </w:p>
        </w:tc>
        <w:tc>
          <w:tcPr>
            <w:tcW w:w="945" w:type="dxa"/>
            <w:vMerge w:val="continue"/>
            <w:noWrap w:val="0"/>
            <w:vAlign w:val="top"/>
          </w:tcPr>
          <w:p>
            <w:pPr>
              <w:spacing w:line="400" w:lineRule="exact"/>
              <w:ind w:firstLine="480" w:firstLineChars="0"/>
              <w:jc w:val="cente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trPr>
        <w:tc>
          <w:tcPr>
            <w:tcW w:w="2520" w:type="dxa"/>
            <w:noWrap w:val="0"/>
            <w:vAlign w:val="center"/>
          </w:tcPr>
          <w:p>
            <w:pPr>
              <w:widowControl/>
              <w:spacing w:line="0" w:lineRule="atLeast"/>
              <w:ind w:firstLine="0" w:firstLineChars="0"/>
              <w:jc w:val="left"/>
              <w:rPr>
                <w:rFonts w:hint="eastAsia" w:ascii="仿宋_GB2312" w:hAnsi="宋体" w:eastAsia="仿宋_GB2312" w:cs="宋体"/>
                <w:color w:val="auto"/>
                <w:sz w:val="24"/>
              </w:rPr>
            </w:pPr>
            <w:r>
              <w:rPr>
                <w:rFonts w:hint="eastAsia" w:ascii="仿宋_GB2312" w:hAnsi="宋体" w:eastAsia="仿宋_GB2312" w:cs="宋体"/>
                <w:color w:val="auto"/>
                <w:sz w:val="24"/>
              </w:rPr>
              <w:t>第五类：</w:t>
            </w:r>
          </w:p>
          <w:p>
            <w:pPr>
              <w:widowControl/>
              <w:spacing w:line="0" w:lineRule="atLeast"/>
              <w:ind w:firstLine="0" w:firstLineChars="0"/>
              <w:jc w:val="left"/>
              <w:rPr>
                <w:rFonts w:ascii="仿宋_GB2312" w:hAnsi="宋体" w:eastAsia="仿宋_GB2312" w:cs="宋体"/>
                <w:color w:val="auto"/>
                <w:sz w:val="24"/>
              </w:rPr>
            </w:pPr>
            <w:r>
              <w:rPr>
                <w:rFonts w:hint="eastAsia" w:ascii="仿宋_GB2312" w:hAnsi="宋体" w:eastAsia="仿宋_GB2312" w:cs="宋体"/>
                <w:color w:val="auto"/>
                <w:sz w:val="24"/>
              </w:rPr>
              <w:t>深圳市其他区户籍，学区内拥有合法产权房</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监护人产权</w:t>
            </w:r>
            <w:r>
              <w:rPr>
                <w:rFonts w:hint="eastAsia" w:ascii="仿宋_GB2312" w:hAnsi="宋体" w:eastAsia="仿宋_GB2312" w:cs="宋体"/>
                <w:color w:val="auto"/>
                <w:sz w:val="24"/>
                <w:highlight w:val="none"/>
                <w:lang w:val="en-US" w:eastAsia="zh-CN"/>
              </w:rPr>
              <w:t>〉</w:t>
            </w:r>
            <w:r>
              <w:rPr>
                <w:rFonts w:hint="eastAsia" w:ascii="仿宋_GB2312" w:hAnsi="宋体" w:eastAsia="仿宋_GB2312" w:cs="宋体"/>
                <w:color w:val="auto"/>
                <w:sz w:val="24"/>
                <w:lang w:val="en-US" w:eastAsia="zh-CN"/>
              </w:rPr>
              <w:t>50%）</w:t>
            </w:r>
          </w:p>
        </w:tc>
        <w:tc>
          <w:tcPr>
            <w:tcW w:w="945" w:type="dxa"/>
            <w:noWrap w:val="0"/>
            <w:vAlign w:val="center"/>
          </w:tcPr>
          <w:p>
            <w:pPr>
              <w:spacing w:line="4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lang w:val="en-US" w:eastAsia="zh-CN"/>
              </w:rPr>
              <w:t>50</w:t>
            </w:r>
            <w:r>
              <w:rPr>
                <w:rFonts w:hint="eastAsia" w:ascii="仿宋_GB2312" w:hAnsi="宋体" w:eastAsia="仿宋_GB2312" w:cs="宋体"/>
                <w:color w:val="auto"/>
                <w:sz w:val="24"/>
              </w:rPr>
              <w:t>分</w:t>
            </w:r>
          </w:p>
        </w:tc>
        <w:tc>
          <w:tcPr>
            <w:tcW w:w="4500" w:type="dxa"/>
            <w:vMerge w:val="restart"/>
            <w:noWrap w:val="0"/>
            <w:vAlign w:val="top"/>
          </w:tcPr>
          <w:p>
            <w:pPr>
              <w:widowControl/>
              <w:spacing w:line="0" w:lineRule="atLeast"/>
              <w:ind w:firstLine="482" w:firstLineChars="200"/>
              <w:jc w:val="both"/>
              <w:rPr>
                <w:rFonts w:hint="eastAsia" w:ascii="仿宋_GB2312" w:hAnsi="宋体" w:eastAsia="仿宋_GB2312" w:cs="宋体"/>
                <w:b/>
                <w:bCs/>
                <w:color w:val="auto"/>
                <w:sz w:val="24"/>
              </w:rPr>
            </w:pPr>
            <w:r>
              <w:rPr>
                <w:rFonts w:hint="eastAsia" w:ascii="仿宋_GB2312" w:hAnsi="宋体" w:eastAsia="仿宋_GB2312" w:cs="宋体"/>
                <w:b/>
                <w:bCs/>
                <w:color w:val="auto"/>
                <w:sz w:val="24"/>
              </w:rPr>
              <w:t>1.入户时长加分：</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rPr>
              <w:t>以适龄儿童、少年父母（监护人）一方户口迁入深圳市时长积分：0.1分/月。</w:t>
            </w:r>
          </w:p>
          <w:p>
            <w:pPr>
              <w:widowControl/>
              <w:spacing w:line="0" w:lineRule="atLeast"/>
              <w:ind w:firstLine="482" w:firstLineChars="200"/>
              <w:jc w:val="both"/>
              <w:rPr>
                <w:rFonts w:hint="eastAsia" w:ascii="仿宋_GB2312" w:hAnsi="宋体" w:eastAsia="仿宋_GB2312" w:cs="宋体"/>
                <w:b/>
                <w:bCs/>
                <w:color w:val="auto"/>
                <w:sz w:val="24"/>
              </w:rPr>
            </w:pPr>
            <w:r>
              <w:rPr>
                <w:rFonts w:hint="eastAsia" w:ascii="仿宋_GB2312" w:hAnsi="宋体" w:eastAsia="仿宋_GB2312" w:cs="宋体"/>
                <w:b/>
                <w:bCs/>
                <w:color w:val="auto"/>
                <w:sz w:val="24"/>
              </w:rPr>
              <w:t>2. 住房加分：</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1</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拥有合法产权房（用途为住宅）的，以房地产证、</w:t>
            </w:r>
            <w:r>
              <w:rPr>
                <w:rFonts w:hint="eastAsia" w:ascii="仿宋_GB2312" w:hAnsi="宋体" w:eastAsia="仿宋_GB2312" w:cs="宋体"/>
                <w:i w:val="0"/>
                <w:iCs w:val="0"/>
                <w:color w:val="auto"/>
                <w:sz w:val="24"/>
                <w:u w:val="none"/>
              </w:rPr>
              <w:t>不动产证</w:t>
            </w:r>
            <w:r>
              <w:rPr>
                <w:rFonts w:hint="eastAsia" w:ascii="仿宋_GB2312" w:hAnsi="宋体" w:eastAsia="仿宋_GB2312" w:cs="宋体"/>
                <w:color w:val="auto"/>
                <w:sz w:val="24"/>
              </w:rPr>
              <w:t>的发证日期，或与政府（职能部门）签订的政策性住房协议的签订日期开始积分：0.1分/月。</w:t>
            </w:r>
          </w:p>
          <w:p>
            <w:pPr>
              <w:widowControl/>
              <w:spacing w:line="0" w:lineRule="atLeast"/>
              <w:ind w:firstLine="480" w:firstLineChars="200"/>
              <w:jc w:val="both"/>
              <w:rPr>
                <w:rFonts w:ascii="仿宋_GB2312" w:hAnsi="宋体" w:eastAsia="仿宋_GB2312" w:cs="宋体"/>
                <w:color w:val="auto"/>
                <w:sz w:val="24"/>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2</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租房（用途为住宅）的，以《房屋租赁凭证》（红本）的发证日期，或与政府（职能部门）签订的政策性住房租赁协议的签订日期开始积分：0.1分/月。</w:t>
            </w:r>
          </w:p>
          <w:p>
            <w:pPr>
              <w:widowControl/>
              <w:spacing w:line="0" w:lineRule="atLeast"/>
              <w:ind w:firstLine="480" w:firstLineChars="200"/>
              <w:jc w:val="both"/>
              <w:rPr>
                <w:rFonts w:ascii="仿宋_GB2312" w:hAnsi="宋体" w:eastAsia="仿宋_GB2312" w:cs="宋体"/>
                <w:color w:val="auto"/>
                <w:sz w:val="24"/>
              </w:rPr>
            </w:pPr>
            <w:r>
              <w:rPr>
                <w:rFonts w:hint="eastAsia" w:ascii="仿宋_GB2312" w:hAnsi="宋体" w:eastAsia="仿宋_GB2312" w:cs="宋体"/>
                <w:color w:val="auto"/>
                <w:sz w:val="24"/>
              </w:rPr>
              <w:t>注：承租人需为监护人。</w:t>
            </w:r>
          </w:p>
        </w:tc>
        <w:tc>
          <w:tcPr>
            <w:tcW w:w="945" w:type="dxa"/>
            <w:vMerge w:val="continue"/>
            <w:noWrap w:val="0"/>
            <w:vAlign w:val="top"/>
          </w:tcPr>
          <w:p>
            <w:pPr>
              <w:spacing w:line="400" w:lineRule="exact"/>
              <w:ind w:firstLine="480" w:firstLineChars="0"/>
              <w:jc w:val="cente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2520" w:type="dxa"/>
            <w:noWrap w:val="0"/>
            <w:vAlign w:val="center"/>
          </w:tcPr>
          <w:p>
            <w:pPr>
              <w:widowControl/>
              <w:spacing w:line="0" w:lineRule="atLeast"/>
              <w:ind w:firstLine="0" w:firstLineChars="0"/>
              <w:jc w:val="left"/>
              <w:rPr>
                <w:rFonts w:hint="eastAsia" w:ascii="仿宋_GB2312" w:hAnsi="宋体" w:eastAsia="仿宋_GB2312" w:cs="宋体"/>
                <w:color w:val="auto"/>
                <w:sz w:val="24"/>
              </w:rPr>
            </w:pPr>
            <w:r>
              <w:rPr>
                <w:rFonts w:hint="eastAsia" w:ascii="仿宋_GB2312" w:hAnsi="宋体" w:eastAsia="仿宋_GB2312" w:cs="宋体"/>
                <w:color w:val="auto"/>
                <w:sz w:val="24"/>
              </w:rPr>
              <w:t>第六类：</w:t>
            </w:r>
          </w:p>
          <w:p>
            <w:pPr>
              <w:widowControl/>
              <w:spacing w:line="0" w:lineRule="atLeast"/>
              <w:ind w:firstLine="0" w:firstLineChars="0"/>
              <w:jc w:val="left"/>
              <w:rPr>
                <w:rFonts w:ascii="仿宋_GB2312" w:hAnsi="宋体" w:eastAsia="仿宋_GB2312" w:cs="宋体"/>
                <w:color w:val="auto"/>
                <w:sz w:val="24"/>
              </w:rPr>
            </w:pPr>
            <w:r>
              <w:rPr>
                <w:rFonts w:hint="eastAsia" w:ascii="仿宋_GB2312" w:hAnsi="宋体" w:eastAsia="仿宋_GB2312" w:cs="宋体"/>
                <w:color w:val="auto"/>
                <w:sz w:val="24"/>
              </w:rPr>
              <w:t>深圳市</w:t>
            </w:r>
            <w:r>
              <w:rPr>
                <w:rFonts w:hint="eastAsia" w:ascii="仿宋_GB2312" w:hAnsi="宋体" w:eastAsia="仿宋_GB2312" w:cs="宋体"/>
                <w:color w:val="auto"/>
                <w:sz w:val="24"/>
                <w:lang w:eastAsia="zh-CN"/>
              </w:rPr>
              <w:t>其</w:t>
            </w:r>
            <w:r>
              <w:rPr>
                <w:rFonts w:hint="eastAsia" w:ascii="仿宋_GB2312" w:hAnsi="宋体" w:eastAsia="仿宋_GB2312" w:cs="宋体"/>
                <w:color w:val="auto"/>
                <w:sz w:val="24"/>
                <w:highlight w:val="none"/>
              </w:rPr>
              <w:t>他区</w:t>
            </w:r>
            <w:r>
              <w:rPr>
                <w:rFonts w:hint="eastAsia" w:ascii="仿宋_GB2312" w:hAnsi="宋体" w:eastAsia="仿宋_GB2312" w:cs="宋体"/>
                <w:color w:val="auto"/>
                <w:sz w:val="24"/>
              </w:rPr>
              <w:t>户籍，学区内租房或居住其他住房</w:t>
            </w:r>
          </w:p>
        </w:tc>
        <w:tc>
          <w:tcPr>
            <w:tcW w:w="945" w:type="dxa"/>
            <w:noWrap w:val="0"/>
            <w:vAlign w:val="center"/>
          </w:tcPr>
          <w:p>
            <w:pPr>
              <w:spacing w:line="4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lang w:val="en-US" w:eastAsia="zh-CN"/>
              </w:rPr>
              <w:t>40</w:t>
            </w:r>
            <w:r>
              <w:rPr>
                <w:rFonts w:hint="eastAsia" w:ascii="仿宋_GB2312" w:hAnsi="宋体" w:eastAsia="仿宋_GB2312" w:cs="宋体"/>
                <w:color w:val="auto"/>
                <w:sz w:val="24"/>
              </w:rPr>
              <w:t>分</w:t>
            </w:r>
          </w:p>
        </w:tc>
        <w:tc>
          <w:tcPr>
            <w:tcW w:w="4500" w:type="dxa"/>
            <w:vMerge w:val="continue"/>
            <w:noWrap w:val="0"/>
            <w:vAlign w:val="top"/>
          </w:tcPr>
          <w:p>
            <w:pPr>
              <w:spacing w:line="400" w:lineRule="exact"/>
              <w:ind w:firstLine="480" w:firstLineChars="0"/>
              <w:jc w:val="both"/>
              <w:rPr>
                <w:rFonts w:ascii="仿宋_GB2312" w:hAnsi="宋体" w:eastAsia="仿宋_GB2312" w:cs="宋体"/>
                <w:color w:val="auto"/>
                <w:sz w:val="24"/>
              </w:rPr>
            </w:pPr>
          </w:p>
        </w:tc>
        <w:tc>
          <w:tcPr>
            <w:tcW w:w="945" w:type="dxa"/>
            <w:vMerge w:val="continue"/>
            <w:noWrap w:val="0"/>
            <w:vAlign w:val="top"/>
          </w:tcPr>
          <w:p>
            <w:pPr>
              <w:spacing w:line="400" w:lineRule="exact"/>
              <w:ind w:firstLine="480" w:firstLineChars="0"/>
              <w:jc w:val="cente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7" w:hRule="atLeast"/>
        </w:trPr>
        <w:tc>
          <w:tcPr>
            <w:tcW w:w="2520" w:type="dxa"/>
            <w:noWrap w:val="0"/>
            <w:vAlign w:val="center"/>
          </w:tcPr>
          <w:p>
            <w:pPr>
              <w:widowControl/>
              <w:spacing w:line="0" w:lineRule="atLeast"/>
              <w:ind w:firstLine="0" w:firstLineChars="0"/>
              <w:jc w:val="left"/>
              <w:rPr>
                <w:rFonts w:hint="eastAsia" w:ascii="仿宋_GB2312" w:hAnsi="宋体" w:eastAsia="仿宋_GB2312" w:cs="宋体"/>
                <w:color w:val="auto"/>
                <w:sz w:val="24"/>
              </w:rPr>
            </w:pPr>
            <w:r>
              <w:rPr>
                <w:rFonts w:hint="eastAsia" w:ascii="仿宋_GB2312" w:hAnsi="宋体" w:eastAsia="仿宋_GB2312" w:cs="宋体"/>
                <w:color w:val="auto"/>
                <w:sz w:val="24"/>
              </w:rPr>
              <w:t>第七类：</w:t>
            </w:r>
          </w:p>
          <w:p>
            <w:pPr>
              <w:widowControl/>
              <w:spacing w:line="0" w:lineRule="atLeast"/>
              <w:ind w:firstLine="0" w:firstLineChars="0"/>
              <w:jc w:val="left"/>
              <w:rPr>
                <w:rFonts w:ascii="仿宋_GB2312" w:hAnsi="宋体" w:eastAsia="仿宋_GB2312" w:cs="宋体"/>
                <w:color w:val="auto"/>
                <w:sz w:val="24"/>
              </w:rPr>
            </w:pPr>
            <w:r>
              <w:rPr>
                <w:rFonts w:hint="eastAsia" w:ascii="仿宋_GB2312" w:hAnsi="宋体" w:eastAsia="仿宋_GB2312" w:cs="宋体"/>
                <w:color w:val="auto"/>
                <w:sz w:val="24"/>
              </w:rPr>
              <w:t>非深圳户籍，学区内拥有合法产权房</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监护人产权</w:t>
            </w:r>
            <w:r>
              <w:rPr>
                <w:rFonts w:hint="eastAsia" w:ascii="仿宋_GB2312" w:hAnsi="宋体" w:eastAsia="仿宋_GB2312" w:cs="宋体"/>
                <w:color w:val="auto"/>
                <w:sz w:val="24"/>
                <w:highlight w:val="none"/>
                <w:lang w:val="en-US" w:eastAsia="zh-CN"/>
              </w:rPr>
              <w:t>〉</w:t>
            </w:r>
            <w:r>
              <w:rPr>
                <w:rFonts w:hint="eastAsia" w:ascii="仿宋_GB2312" w:hAnsi="宋体" w:eastAsia="仿宋_GB2312" w:cs="宋体"/>
                <w:color w:val="auto"/>
                <w:sz w:val="24"/>
                <w:lang w:val="en-US" w:eastAsia="zh-CN"/>
              </w:rPr>
              <w:t>50%）</w:t>
            </w:r>
          </w:p>
        </w:tc>
        <w:tc>
          <w:tcPr>
            <w:tcW w:w="945" w:type="dxa"/>
            <w:noWrap w:val="0"/>
            <w:vAlign w:val="center"/>
          </w:tcPr>
          <w:p>
            <w:pPr>
              <w:spacing w:line="4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lang w:val="en-US" w:eastAsia="zh-CN"/>
              </w:rPr>
              <w:t>30</w:t>
            </w:r>
            <w:r>
              <w:rPr>
                <w:rFonts w:hint="eastAsia" w:ascii="仿宋_GB2312" w:hAnsi="宋体" w:eastAsia="仿宋_GB2312" w:cs="宋体"/>
                <w:color w:val="auto"/>
                <w:sz w:val="24"/>
              </w:rPr>
              <w:t>分</w:t>
            </w:r>
          </w:p>
        </w:tc>
        <w:tc>
          <w:tcPr>
            <w:tcW w:w="4500" w:type="dxa"/>
            <w:vMerge w:val="restart"/>
            <w:noWrap w:val="0"/>
            <w:vAlign w:val="center"/>
          </w:tcPr>
          <w:p>
            <w:pPr>
              <w:widowControl/>
              <w:spacing w:line="0" w:lineRule="atLeast"/>
              <w:ind w:firstLine="482" w:firstLineChars="200"/>
              <w:jc w:val="both"/>
              <w:rPr>
                <w:rFonts w:hint="eastAsia" w:ascii="仿宋_GB2312" w:hAnsi="宋体" w:eastAsia="仿宋_GB2312" w:cs="宋体"/>
                <w:b/>
                <w:bCs/>
                <w:color w:val="auto"/>
                <w:sz w:val="24"/>
              </w:rPr>
            </w:pPr>
            <w:r>
              <w:rPr>
                <w:rFonts w:hint="eastAsia" w:ascii="仿宋_GB2312" w:hAnsi="宋体" w:eastAsia="仿宋_GB2312" w:cs="宋体"/>
                <w:b/>
                <w:bCs/>
                <w:color w:val="auto"/>
                <w:sz w:val="24"/>
              </w:rPr>
              <w:t>1.住房加分：</w:t>
            </w:r>
          </w:p>
          <w:p>
            <w:pPr>
              <w:widowControl/>
              <w:spacing w:line="0" w:lineRule="atLeast"/>
              <w:ind w:firstLine="480" w:firstLineChars="200"/>
              <w:jc w:val="both"/>
              <w:rPr>
                <w:rFonts w:hint="eastAsia" w:ascii="仿宋_GB2312" w:hAnsi="宋体" w:eastAsia="仿宋_GB2312" w:cs="宋体"/>
                <w:color w:val="auto"/>
                <w:sz w:val="24"/>
                <w:lang w:eastAsia="zh-CN"/>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1</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拥有合法产权房（用途为住宅）的，以房地产证、</w:t>
            </w:r>
            <w:r>
              <w:rPr>
                <w:rFonts w:hint="eastAsia" w:ascii="仿宋_GB2312" w:hAnsi="宋体" w:eastAsia="仿宋_GB2312" w:cs="宋体"/>
                <w:i w:val="0"/>
                <w:iCs w:val="0"/>
                <w:color w:val="auto"/>
                <w:sz w:val="24"/>
                <w:u w:val="none"/>
              </w:rPr>
              <w:t>不动产证</w:t>
            </w:r>
            <w:r>
              <w:rPr>
                <w:rFonts w:hint="eastAsia" w:ascii="仿宋_GB2312" w:hAnsi="宋体" w:eastAsia="仿宋_GB2312" w:cs="宋体"/>
                <w:color w:val="auto"/>
                <w:sz w:val="24"/>
              </w:rPr>
              <w:t>的发证日期，或与政府（职能部门）签订的政策性住房协议的签订日期开始积分：0.1分/月</w:t>
            </w:r>
            <w:r>
              <w:rPr>
                <w:rFonts w:hint="eastAsia" w:ascii="仿宋_GB2312" w:hAnsi="宋体" w:eastAsia="仿宋_GB2312" w:cs="宋体"/>
                <w:color w:val="auto"/>
                <w:sz w:val="24"/>
                <w:lang w:eastAsia="zh-CN"/>
              </w:rPr>
              <w:t>。</w:t>
            </w:r>
          </w:p>
          <w:p>
            <w:pPr>
              <w:widowControl/>
              <w:spacing w:line="0" w:lineRule="atLeast"/>
              <w:ind w:firstLine="480" w:firstLineChars="200"/>
              <w:jc w:val="both"/>
              <w:rPr>
                <w:rFonts w:ascii="仿宋_GB2312" w:hAnsi="宋体" w:eastAsia="仿宋_GB2312" w:cs="宋体"/>
                <w:color w:val="auto"/>
                <w:sz w:val="24"/>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2</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rPr>
              <w:t>租房的（用途为住宅），以《房屋租赁凭证》（红本）的发证日期，或与政府（职能部门）签订的政策性住房租赁协议的签订日期开始积分：0.1分/月。</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rPr>
              <w:t>注：承租人需为监护人。</w:t>
            </w:r>
          </w:p>
          <w:p>
            <w:pPr>
              <w:widowControl/>
              <w:spacing w:line="0" w:lineRule="atLeast"/>
              <w:ind w:firstLine="482" w:firstLineChars="200"/>
              <w:jc w:val="both"/>
              <w:rPr>
                <w:rFonts w:hint="eastAsia" w:ascii="仿宋_GB2312" w:hAnsi="宋体" w:eastAsia="仿宋_GB2312" w:cs="宋体"/>
                <w:b/>
                <w:bCs/>
                <w:color w:val="auto"/>
                <w:sz w:val="24"/>
              </w:rPr>
            </w:pPr>
            <w:r>
              <w:rPr>
                <w:rFonts w:hint="eastAsia" w:ascii="仿宋_GB2312" w:hAnsi="宋体" w:eastAsia="仿宋_GB2312" w:cs="宋体"/>
                <w:b/>
                <w:bCs/>
                <w:color w:val="auto"/>
                <w:sz w:val="24"/>
              </w:rPr>
              <w:t>2.社保加分:</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rPr>
              <w:t>以家长一方社保为依据，选取养老险和医疗险同时缴纳时间计算积分（</w:t>
            </w:r>
            <w:r>
              <w:rPr>
                <w:rFonts w:hint="eastAsia" w:ascii="仿宋_GB2312" w:hAnsi="宋体" w:eastAsia="仿宋_GB2312" w:cs="宋体"/>
                <w:color w:val="auto"/>
                <w:sz w:val="24"/>
                <w:highlight w:val="none"/>
              </w:rPr>
              <w:t>截止到</w:t>
            </w:r>
            <w:r>
              <w:rPr>
                <w:rFonts w:hint="eastAsia" w:ascii="仿宋_GB2312" w:hAnsi="宋体" w:eastAsia="仿宋_GB2312" w:cs="宋体"/>
                <w:color w:val="auto"/>
                <w:sz w:val="24"/>
              </w:rPr>
              <w:t>202</w:t>
            </w:r>
            <w:r>
              <w:rPr>
                <w:rFonts w:hint="eastAsia" w:ascii="仿宋_GB2312" w:hAnsi="宋体" w:eastAsia="仿宋_GB2312" w:cs="宋体"/>
                <w:color w:val="auto"/>
                <w:sz w:val="24"/>
                <w:lang w:val="en-US" w:eastAsia="zh-CN"/>
              </w:rPr>
              <w:t>2</w:t>
            </w:r>
            <w:r>
              <w:rPr>
                <w:rFonts w:hint="eastAsia" w:ascii="仿宋_GB2312" w:hAnsi="宋体" w:eastAsia="仿宋_GB2312" w:cs="宋体"/>
                <w:color w:val="auto"/>
                <w:sz w:val="24"/>
              </w:rPr>
              <w:t>年3月），补缴的不算积分：0.1分/月。</w:t>
            </w:r>
          </w:p>
          <w:p>
            <w:pPr>
              <w:widowControl/>
              <w:spacing w:line="0" w:lineRule="atLeast"/>
              <w:ind w:firstLine="482" w:firstLineChars="200"/>
              <w:jc w:val="both"/>
              <w:rPr>
                <w:rFonts w:hint="eastAsia" w:ascii="仿宋_GB2312" w:hAnsi="宋体" w:eastAsia="仿宋_GB2312" w:cs="宋体"/>
                <w:b/>
                <w:bCs/>
                <w:color w:val="auto"/>
                <w:sz w:val="24"/>
              </w:rPr>
            </w:pPr>
            <w:r>
              <w:rPr>
                <w:rFonts w:hint="eastAsia" w:ascii="仿宋_GB2312" w:hAnsi="宋体" w:eastAsia="仿宋_GB2312" w:cs="宋体"/>
                <w:b/>
                <w:bCs/>
                <w:color w:val="auto"/>
                <w:sz w:val="24"/>
                <w:lang w:val="en-US" w:eastAsia="zh-CN"/>
              </w:rPr>
              <w:t>3</w:t>
            </w:r>
            <w:r>
              <w:rPr>
                <w:rFonts w:hint="eastAsia" w:ascii="仿宋_GB2312" w:hAnsi="宋体" w:eastAsia="仿宋_GB2312" w:cs="宋体"/>
                <w:b/>
                <w:bCs/>
                <w:color w:val="auto"/>
                <w:sz w:val="24"/>
              </w:rPr>
              <w:t>.双居住证加分：</w:t>
            </w:r>
          </w:p>
          <w:p>
            <w:pPr>
              <w:widowControl/>
              <w:spacing w:line="0" w:lineRule="atLeast"/>
              <w:ind w:firstLine="480" w:firstLineChars="200"/>
              <w:jc w:val="both"/>
              <w:rPr>
                <w:rFonts w:hint="eastAsia" w:ascii="仿宋_GB2312" w:hAnsi="宋体" w:eastAsia="仿宋_GB2312" w:cs="宋体"/>
                <w:color w:val="auto"/>
                <w:sz w:val="24"/>
              </w:rPr>
            </w:pPr>
            <w:r>
              <w:rPr>
                <w:rFonts w:hint="eastAsia" w:ascii="仿宋_GB2312" w:hAnsi="宋体" w:eastAsia="仿宋_GB2312" w:cs="宋体"/>
                <w:color w:val="auto"/>
                <w:sz w:val="24"/>
              </w:rPr>
              <w:t>非深户籍适龄儿童、少年父母（监护人）双方均持有具有使用功能的居住证</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或一方持有具仍使用功能的居住证，另一方为深户）</w:t>
            </w:r>
            <w:r>
              <w:rPr>
                <w:rFonts w:hint="eastAsia" w:ascii="仿宋_GB2312" w:hAnsi="宋体" w:eastAsia="仿宋_GB2312" w:cs="宋体"/>
                <w:color w:val="auto"/>
                <w:sz w:val="24"/>
              </w:rPr>
              <w:t>加1分。</w:t>
            </w:r>
          </w:p>
        </w:tc>
        <w:tc>
          <w:tcPr>
            <w:tcW w:w="945" w:type="dxa"/>
            <w:vMerge w:val="restart"/>
            <w:noWrap w:val="0"/>
            <w:vAlign w:val="top"/>
          </w:tcPr>
          <w:p>
            <w:pPr>
              <w:spacing w:line="400" w:lineRule="exact"/>
              <w:ind w:firstLine="480" w:firstLineChars="0"/>
              <w:jc w:val="cente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1" w:hRule="atLeast"/>
        </w:trPr>
        <w:tc>
          <w:tcPr>
            <w:tcW w:w="2520" w:type="dxa"/>
            <w:noWrap w:val="0"/>
            <w:vAlign w:val="center"/>
          </w:tcPr>
          <w:p>
            <w:pPr>
              <w:widowControl/>
              <w:spacing w:line="0" w:lineRule="atLeast"/>
              <w:ind w:firstLine="0" w:firstLineChars="0"/>
              <w:jc w:val="left"/>
              <w:rPr>
                <w:rFonts w:hint="eastAsia" w:ascii="仿宋_GB2312" w:hAnsi="宋体" w:eastAsia="仿宋_GB2312" w:cs="宋体"/>
                <w:color w:val="auto"/>
                <w:sz w:val="24"/>
              </w:rPr>
            </w:pPr>
            <w:r>
              <w:rPr>
                <w:rFonts w:hint="eastAsia" w:ascii="仿宋_GB2312" w:hAnsi="宋体" w:eastAsia="仿宋_GB2312" w:cs="宋体"/>
                <w:color w:val="auto"/>
                <w:sz w:val="24"/>
              </w:rPr>
              <w:t>第八类：</w:t>
            </w:r>
          </w:p>
          <w:p>
            <w:pPr>
              <w:widowControl/>
              <w:spacing w:line="0" w:lineRule="atLeast"/>
              <w:ind w:firstLine="0" w:firstLineChars="0"/>
              <w:jc w:val="left"/>
              <w:rPr>
                <w:rFonts w:ascii="仿宋_GB2312" w:hAnsi="宋体" w:eastAsia="仿宋_GB2312" w:cs="宋体"/>
                <w:color w:val="auto"/>
                <w:sz w:val="24"/>
              </w:rPr>
            </w:pPr>
            <w:r>
              <w:rPr>
                <w:rFonts w:hint="eastAsia" w:ascii="仿宋_GB2312" w:hAnsi="宋体" w:eastAsia="仿宋_GB2312" w:cs="宋体"/>
                <w:color w:val="auto"/>
                <w:sz w:val="24"/>
              </w:rPr>
              <w:t>非深圳户籍，学区内租房或居住其他住房</w:t>
            </w:r>
          </w:p>
        </w:tc>
        <w:tc>
          <w:tcPr>
            <w:tcW w:w="945" w:type="dxa"/>
            <w:noWrap w:val="0"/>
            <w:vAlign w:val="center"/>
          </w:tcPr>
          <w:p>
            <w:pPr>
              <w:spacing w:line="4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lang w:val="en-US" w:eastAsia="zh-CN"/>
              </w:rPr>
              <w:t>20</w:t>
            </w:r>
            <w:r>
              <w:rPr>
                <w:rFonts w:hint="eastAsia" w:ascii="仿宋_GB2312" w:hAnsi="宋体" w:eastAsia="仿宋_GB2312" w:cs="宋体"/>
                <w:color w:val="auto"/>
                <w:sz w:val="24"/>
              </w:rPr>
              <w:t>分</w:t>
            </w:r>
          </w:p>
        </w:tc>
        <w:tc>
          <w:tcPr>
            <w:tcW w:w="4500" w:type="dxa"/>
            <w:vMerge w:val="continue"/>
            <w:noWrap w:val="0"/>
            <w:vAlign w:val="top"/>
          </w:tcPr>
          <w:p>
            <w:pPr>
              <w:spacing w:line="400" w:lineRule="exact"/>
              <w:ind w:firstLine="480" w:firstLineChars="0"/>
              <w:jc w:val="left"/>
              <w:rPr>
                <w:rFonts w:ascii="仿宋_GB2312" w:hAnsi="宋体" w:eastAsia="仿宋_GB2312" w:cs="宋体"/>
                <w:color w:val="auto"/>
                <w:sz w:val="24"/>
              </w:rPr>
            </w:pPr>
          </w:p>
        </w:tc>
        <w:tc>
          <w:tcPr>
            <w:tcW w:w="945" w:type="dxa"/>
            <w:vMerge w:val="continue"/>
            <w:noWrap w:val="0"/>
            <w:vAlign w:val="top"/>
          </w:tcPr>
          <w:p>
            <w:pPr>
              <w:spacing w:line="400" w:lineRule="exact"/>
              <w:ind w:firstLine="480" w:firstLineChars="0"/>
              <w:jc w:val="left"/>
              <w:rPr>
                <w:rFonts w:ascii="仿宋_GB2312" w:hAnsi="宋体" w:eastAsia="仿宋_GB2312" w:cs="宋体"/>
                <w:color w:val="auto"/>
                <w:sz w:val="24"/>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备注：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（一）尾数超过15天按1月计算，不满15天按半月计算。积分计算截止日期为申请入学当年3月31日。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（二）学区内光明户籍：指的是适龄儿童、少年户籍地址在学区范围内。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（三）申请学位的住房需为家庭实</w:t>
      </w:r>
      <w:r>
        <w:rPr>
          <w:rFonts w:hint="eastAsia" w:ascii="仿宋_GB2312" w:hAnsi="宋体" w:eastAsia="仿宋_GB2312" w:cs="宋体"/>
          <w:color w:val="auto"/>
          <w:sz w:val="32"/>
          <w:szCs w:val="32"/>
          <w:shd w:val="clear" w:color="auto" w:fill="FFFFFF"/>
          <w:lang w:val="en-US" w:eastAsia="zh-CN"/>
        </w:rPr>
        <w:t>际</w:t>
      </w:r>
      <w:r>
        <w:rPr>
          <w:rFonts w:hint="eastAsia" w:ascii="仿宋_GB2312" w:hAnsi="宋体" w:eastAsia="仿宋_GB2312" w:cs="宋体"/>
          <w:color w:val="auto"/>
          <w:sz w:val="32"/>
          <w:szCs w:val="32"/>
          <w:shd w:val="clear" w:color="auto" w:fill="FFFFFF"/>
        </w:rPr>
        <w:t>居住，申请人所提供的住房证明材料需同实际居住地一致，没有实</w:t>
      </w:r>
      <w:r>
        <w:rPr>
          <w:rFonts w:hint="eastAsia" w:ascii="仿宋_GB2312" w:hAnsi="宋体" w:eastAsia="仿宋_GB2312" w:cs="宋体"/>
          <w:color w:val="auto"/>
          <w:sz w:val="32"/>
          <w:szCs w:val="32"/>
          <w:shd w:val="clear" w:color="auto" w:fill="FFFFFF"/>
          <w:lang w:val="en-US" w:eastAsia="zh-CN"/>
        </w:rPr>
        <w:t>际</w:t>
      </w:r>
      <w:r>
        <w:rPr>
          <w:rFonts w:hint="eastAsia" w:ascii="仿宋_GB2312" w:hAnsi="宋体" w:eastAsia="仿宋_GB2312" w:cs="宋体"/>
          <w:color w:val="auto"/>
          <w:sz w:val="32"/>
          <w:szCs w:val="32"/>
          <w:shd w:val="clear" w:color="auto" w:fill="FFFFFF"/>
        </w:rPr>
        <w:t>居住的住房材料不能用于学位申请。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u w:val="none"/>
          <w:shd w:val="clear" w:color="auto" w:fill="FFFFFF"/>
        </w:rPr>
      </w:pPr>
      <w:r>
        <w:rPr>
          <w:rFonts w:hint="eastAsia" w:ascii="仿宋_GB2312" w:hAnsi="宋体" w:eastAsia="仿宋_GB2312" w:cs="宋体"/>
          <w:color w:val="auto"/>
          <w:sz w:val="32"/>
          <w:szCs w:val="32"/>
          <w:shd w:val="clear" w:color="auto" w:fill="FFFFFF"/>
        </w:rPr>
        <w:t>（四）</w:t>
      </w:r>
      <w:r>
        <w:rPr>
          <w:rFonts w:hint="eastAsia" w:ascii="仿宋_GB2312" w:hAnsi="宋体" w:eastAsia="仿宋_GB2312" w:cs="宋体"/>
          <w:color w:val="auto"/>
          <w:sz w:val="32"/>
          <w:szCs w:val="32"/>
          <w:u w:val="none"/>
          <w:shd w:val="clear" w:color="auto" w:fill="FFFFFF"/>
        </w:rPr>
        <w:t>其他住房是指拥有合法产权房和租房</w:t>
      </w:r>
      <w:r>
        <w:rPr>
          <w:rFonts w:hint="eastAsia" w:ascii="仿宋_GB2312" w:hAnsi="宋体" w:eastAsia="仿宋_GB2312" w:cs="宋体"/>
          <w:i w:val="0"/>
          <w:iCs w:val="0"/>
          <w:color w:val="auto"/>
          <w:sz w:val="32"/>
          <w:szCs w:val="32"/>
          <w:u w:val="none"/>
          <w:shd w:val="clear" w:color="auto" w:fill="FFFFFF"/>
        </w:rPr>
        <w:t>（持有红本《房屋租赁凭证》）</w:t>
      </w:r>
      <w:r>
        <w:rPr>
          <w:rFonts w:hint="eastAsia" w:ascii="仿宋_GB2312" w:hAnsi="宋体" w:eastAsia="仿宋_GB2312" w:cs="宋体"/>
          <w:color w:val="auto"/>
          <w:sz w:val="32"/>
          <w:szCs w:val="32"/>
          <w:u w:val="none"/>
          <w:shd w:val="clear" w:color="auto" w:fill="FFFFFF"/>
        </w:rPr>
        <w:t>之外的其他类型的住房，其中光明户籍拥有如下特殊住房可计算居住时长加分：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u w:val="none"/>
          <w:shd w:val="clear" w:color="auto" w:fill="FFFFFF"/>
        </w:rPr>
      </w:pPr>
      <w:r>
        <w:rPr>
          <w:rFonts w:hint="eastAsia" w:ascii="仿宋_GB2312" w:hAnsi="宋体" w:eastAsia="仿宋_GB2312" w:cs="宋体"/>
          <w:color w:val="auto"/>
          <w:sz w:val="32"/>
          <w:szCs w:val="32"/>
          <w:u w:val="none"/>
          <w:shd w:val="clear" w:color="auto" w:fill="FFFFFF"/>
        </w:rPr>
        <w:t>1.祖屋：提供辖区居委会开具的证明材料；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u w:val="none"/>
          <w:shd w:val="clear" w:color="auto" w:fill="FFFFFF"/>
        </w:rPr>
      </w:pPr>
      <w:r>
        <w:rPr>
          <w:rFonts w:hint="eastAsia" w:ascii="仿宋_GB2312" w:hAnsi="宋体" w:eastAsia="仿宋_GB2312" w:cs="宋体"/>
          <w:color w:val="auto"/>
          <w:sz w:val="32"/>
          <w:szCs w:val="32"/>
          <w:u w:val="none"/>
          <w:shd w:val="clear" w:color="auto" w:fill="FFFFFF"/>
        </w:rPr>
        <w:t>2.自建房：取得《深圳市农村城市化历史遗留违法建筑普查申报收件回执》，并由辖区居委会开具证明；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u w:val="none"/>
          <w:shd w:val="clear" w:color="auto" w:fill="FFFFFF"/>
        </w:rPr>
      </w:pPr>
      <w:r>
        <w:rPr>
          <w:rFonts w:hint="eastAsia" w:ascii="仿宋_GB2312" w:hAnsi="宋体" w:eastAsia="仿宋_GB2312" w:cs="宋体"/>
          <w:color w:val="auto"/>
          <w:sz w:val="32"/>
          <w:szCs w:val="32"/>
          <w:u w:val="none"/>
          <w:shd w:val="clear" w:color="auto" w:fill="FFFFFF"/>
        </w:rPr>
        <w:t>3.集资房：</w:t>
      </w:r>
      <w:r>
        <w:rPr>
          <w:rFonts w:hint="eastAsia" w:ascii="仿宋_GB2312" w:hAnsi="宋体" w:eastAsia="仿宋_GB2312" w:cs="宋体"/>
          <w:i w:val="0"/>
          <w:iCs w:val="0"/>
          <w:color w:val="auto"/>
          <w:sz w:val="32"/>
          <w:szCs w:val="32"/>
          <w:u w:val="none"/>
          <w:shd w:val="clear" w:color="auto" w:fill="FFFFFF"/>
        </w:rPr>
        <w:t>提供与集资单位签订的购房合同或收据，并</w:t>
      </w:r>
      <w:r>
        <w:rPr>
          <w:rFonts w:hint="eastAsia" w:ascii="仿宋_GB2312" w:hAnsi="宋体" w:eastAsia="仿宋_GB2312" w:cs="宋体"/>
          <w:color w:val="auto"/>
          <w:sz w:val="32"/>
          <w:szCs w:val="32"/>
          <w:u w:val="none"/>
          <w:shd w:val="clear" w:color="auto" w:fill="FFFFFF"/>
        </w:rPr>
        <w:t>由辖区居委会开具证明。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w:t>
      </w:r>
      <w:r>
        <w:rPr>
          <w:rFonts w:hint="eastAsia" w:ascii="仿宋_GB2312" w:hAnsi="宋体" w:eastAsia="仿宋_GB2312" w:cs="宋体"/>
          <w:color w:val="auto"/>
          <w:sz w:val="32"/>
          <w:szCs w:val="32"/>
          <w:shd w:val="clear" w:color="auto" w:fill="FFFFFF"/>
          <w:lang w:val="en-US" w:eastAsia="zh-CN"/>
        </w:rPr>
        <w:t>五</w:t>
      </w:r>
      <w:r>
        <w:rPr>
          <w:rFonts w:hint="eastAsia" w:ascii="仿宋_GB2312" w:hAnsi="宋体" w:eastAsia="仿宋_GB2312" w:cs="宋体"/>
          <w:color w:val="auto"/>
          <w:sz w:val="32"/>
          <w:szCs w:val="32"/>
          <w:shd w:val="clear" w:color="auto" w:fill="FFFFFF"/>
        </w:rPr>
        <w:t>）学位类别以学位申请时核定为准，通过学校初审后将不予变更。台湾地区户籍儿童、少年与深圳市其他区户籍儿童、少年同等待遇；非深圳户籍儿童、少年包括港澳户籍儿童、少年。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default" w:ascii="仿宋_GB2312" w:hAnsi="宋体" w:eastAsia="仿宋_GB2312" w:cs="宋体"/>
          <w:color w:val="auto"/>
          <w:sz w:val="32"/>
          <w:szCs w:val="32"/>
          <w:shd w:val="clear" w:color="auto" w:fill="FFFFFF"/>
          <w:lang w:val="en-US" w:eastAsia="zh-CN"/>
        </w:rPr>
      </w:pPr>
      <w:r>
        <w:rPr>
          <w:rFonts w:hint="eastAsia" w:ascii="仿宋_GB2312" w:hAnsi="宋体" w:eastAsia="仿宋_GB2312" w:cs="宋体"/>
          <w:color w:val="auto"/>
          <w:sz w:val="32"/>
          <w:szCs w:val="32"/>
          <w:shd w:val="clear" w:color="auto" w:fill="FFFFFF"/>
        </w:rPr>
        <w:t>（</w:t>
      </w:r>
      <w:r>
        <w:rPr>
          <w:rFonts w:hint="eastAsia" w:ascii="仿宋_GB2312" w:hAnsi="宋体" w:eastAsia="仿宋_GB2312" w:cs="宋体"/>
          <w:color w:val="auto"/>
          <w:sz w:val="32"/>
          <w:szCs w:val="32"/>
          <w:shd w:val="clear" w:color="auto" w:fill="FFFFFF"/>
          <w:lang w:val="en-US" w:eastAsia="zh-CN"/>
        </w:rPr>
        <w:t>六</w:t>
      </w:r>
      <w:r>
        <w:rPr>
          <w:rFonts w:hint="eastAsia" w:ascii="仿宋_GB2312" w:hAnsi="宋体" w:eastAsia="仿宋_GB2312" w:cs="宋体"/>
          <w:color w:val="auto"/>
          <w:sz w:val="32"/>
          <w:szCs w:val="32"/>
          <w:shd w:val="clear" w:color="auto" w:fill="FFFFFF"/>
        </w:rPr>
        <w:t>）中山大学</w:t>
      </w:r>
      <w:r>
        <w:rPr>
          <w:rFonts w:hint="eastAsia" w:ascii="仿宋_GB2312" w:hAnsi="宋体" w:eastAsia="仿宋_GB2312" w:cs="宋体"/>
          <w:color w:val="auto"/>
          <w:sz w:val="32"/>
          <w:szCs w:val="32"/>
          <w:shd w:val="clear" w:color="auto" w:fill="FFFFFF"/>
          <w:lang w:val="en-US" w:eastAsia="zh-CN"/>
        </w:rPr>
        <w:t>深圳</w:t>
      </w:r>
      <w:r>
        <w:rPr>
          <w:rFonts w:hint="eastAsia" w:ascii="仿宋_GB2312" w:hAnsi="宋体" w:eastAsia="仿宋_GB2312" w:cs="宋体"/>
          <w:color w:val="auto"/>
          <w:sz w:val="32"/>
          <w:szCs w:val="32"/>
          <w:shd w:val="clear" w:color="auto" w:fill="FFFFFF"/>
        </w:rPr>
        <w:t>附属学校首先面向中山大学深圳校区全职在编教职工子女（含中山大学附属第七医院职工子女）招生，剩余学位供学区内其他适龄儿童、少年积分入学</w:t>
      </w:r>
      <w:r>
        <w:rPr>
          <w:rFonts w:hint="eastAsia" w:ascii="仿宋_GB2312" w:hAnsi="宋体" w:eastAsia="仿宋_GB2312" w:cs="宋体"/>
          <w:color w:val="auto"/>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rPr>
        <w:t>）烈士子女、符合条件的现役军人子女及复退军人子女、消防救援队伍人员子女、公安英模和因公牺牲伤残警察子女、</w:t>
      </w:r>
      <w:r>
        <w:rPr>
          <w:rFonts w:hint="eastAsia" w:ascii="仿宋_GB2312" w:hAnsi="仿宋_GB2312" w:eastAsia="仿宋_GB2312" w:cs="仿宋_GB2312"/>
          <w:color w:val="auto"/>
          <w:sz w:val="32"/>
          <w:szCs w:val="32"/>
          <w:shd w:val="clear" w:color="auto" w:fill="FFFFFF"/>
          <w:lang w:val="en-US" w:eastAsia="zh-CN"/>
        </w:rPr>
        <w:t>“鹏城优才卡”</w:t>
      </w:r>
      <w:r>
        <w:rPr>
          <w:rFonts w:hint="eastAsia" w:ascii="仿宋_GB2312" w:hAnsi="仿宋_GB2312" w:eastAsia="仿宋_GB2312" w:cs="仿宋_GB2312"/>
          <w:color w:val="auto"/>
          <w:sz w:val="32"/>
          <w:szCs w:val="32"/>
          <w:shd w:val="clear" w:color="auto" w:fill="FFFFFF"/>
        </w:rPr>
        <w:t>人</w:t>
      </w:r>
      <w:r>
        <w:rPr>
          <w:rFonts w:hint="eastAsia" w:ascii="仿宋_GB2312" w:hAnsi="仿宋_GB2312" w:eastAsia="仿宋_GB2312" w:cs="仿宋_GB2312"/>
          <w:color w:val="auto"/>
          <w:sz w:val="32"/>
          <w:szCs w:val="32"/>
          <w:shd w:val="clear" w:color="auto" w:fill="FFFFFF"/>
          <w:lang w:eastAsia="zh-CN"/>
        </w:rPr>
        <w:t>员</w:t>
      </w:r>
      <w:r>
        <w:rPr>
          <w:rFonts w:hint="eastAsia" w:ascii="仿宋_GB2312" w:hAnsi="仿宋_GB2312" w:eastAsia="仿宋_GB2312" w:cs="仿宋_GB2312"/>
          <w:color w:val="auto"/>
          <w:sz w:val="32"/>
          <w:szCs w:val="32"/>
          <w:shd w:val="clear" w:color="auto" w:fill="FFFFFF"/>
        </w:rPr>
        <w:t>子女</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抗疫一线医疗卫生工作人员子女</w:t>
      </w:r>
      <w:r>
        <w:rPr>
          <w:rFonts w:hint="eastAsia" w:ascii="仿宋_GB2312" w:hAnsi="仿宋_GB2312" w:eastAsia="仿宋_GB2312" w:cs="仿宋_GB2312"/>
          <w:color w:val="auto"/>
          <w:sz w:val="32"/>
          <w:szCs w:val="32"/>
          <w:shd w:val="clear" w:color="auto" w:fill="FFFFFF"/>
        </w:rPr>
        <w:t>等优待、优惠对象按相关政策落实公办学位。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b/>
          <w:bCs/>
          <w:color w:val="auto"/>
          <w:sz w:val="32"/>
          <w:szCs w:val="32"/>
          <w:shd w:val="clear" w:color="auto" w:fill="FFFFFF"/>
        </w:rPr>
        <w:t>第三条</w:t>
      </w:r>
      <w:r>
        <w:rPr>
          <w:rFonts w:hint="eastAsia" w:ascii="仿宋_GB2312" w:hAnsi="宋体" w:eastAsia="仿宋_GB2312" w:cs="宋体"/>
          <w:color w:val="auto"/>
          <w:sz w:val="32"/>
          <w:szCs w:val="32"/>
        </w:rPr>
        <w:t> </w:t>
      </w:r>
      <w:r>
        <w:rPr>
          <w:rFonts w:hint="eastAsia" w:ascii="仿宋_GB2312" w:hAnsi="宋体" w:eastAsia="仿宋_GB2312" w:cs="宋体"/>
          <w:color w:val="auto"/>
          <w:sz w:val="32"/>
          <w:szCs w:val="32"/>
          <w:shd w:val="clear" w:color="auto" w:fill="FFFFFF"/>
        </w:rPr>
        <w:t>家长</w:t>
      </w:r>
      <w:r>
        <w:rPr>
          <w:rFonts w:hint="eastAsia" w:ascii="仿宋_GB2312" w:hAnsi="宋体" w:eastAsia="仿宋_GB2312" w:cs="宋体"/>
          <w:color w:val="auto"/>
          <w:sz w:val="32"/>
          <w:szCs w:val="32"/>
          <w:shd w:val="clear" w:color="auto" w:fill="FFFFFF"/>
          <w:lang w:val="en-US" w:eastAsia="zh-CN"/>
        </w:rPr>
        <w:t>在规定的时间内进行网上报名，每位符合条件的适龄儿童需填报三个志愿：第一、二志愿可填报公办学校或民办学校，第三志愿为民办学校志愿，必须填报。第一志愿需按学区填报，第二、三志愿可填报光明区范围内学校。</w:t>
      </w:r>
      <w:r>
        <w:rPr>
          <w:rFonts w:hint="eastAsia" w:ascii="仿宋_GB2312" w:hAnsi="宋体" w:eastAsia="仿宋_GB2312" w:cs="宋体"/>
          <w:color w:val="auto"/>
          <w:sz w:val="32"/>
          <w:szCs w:val="32"/>
          <w:shd w:val="clear" w:color="auto" w:fill="FFFFFF"/>
        </w:rPr>
        <w:t>申请信息保存成功后，报名系统将自动计算适龄儿童</w:t>
      </w:r>
      <w:r>
        <w:rPr>
          <w:rFonts w:hint="eastAsia" w:ascii="仿宋_GB2312" w:hAnsi="宋体" w:eastAsia="仿宋_GB2312" w:cs="宋体"/>
          <w:color w:val="auto"/>
          <w:sz w:val="32"/>
          <w:szCs w:val="32"/>
          <w:shd w:val="clear" w:color="auto" w:fill="FFFFFF"/>
          <w:lang w:eastAsia="zh-CN"/>
        </w:rPr>
        <w:t>、</w:t>
      </w:r>
      <w:r>
        <w:rPr>
          <w:rFonts w:hint="eastAsia" w:ascii="仿宋_GB2312" w:hAnsi="宋体" w:eastAsia="仿宋_GB2312" w:cs="宋体"/>
          <w:color w:val="auto"/>
          <w:sz w:val="32"/>
          <w:szCs w:val="32"/>
          <w:shd w:val="clear" w:color="auto" w:fill="FFFFFF"/>
          <w:lang w:val="en-US" w:eastAsia="zh-CN"/>
        </w:rPr>
        <w:t>少年</w:t>
      </w:r>
      <w:r>
        <w:rPr>
          <w:rFonts w:hint="eastAsia" w:ascii="仿宋_GB2312" w:hAnsi="宋体" w:eastAsia="仿宋_GB2312" w:cs="宋体"/>
          <w:color w:val="auto"/>
          <w:sz w:val="32"/>
          <w:szCs w:val="32"/>
          <w:shd w:val="clear" w:color="auto" w:fill="FFFFFF"/>
        </w:rPr>
        <w:t>的</w:t>
      </w:r>
      <w:r>
        <w:rPr>
          <w:rFonts w:hint="eastAsia" w:ascii="仿宋_GB2312" w:hAnsi="宋体" w:eastAsia="仿宋_GB2312" w:cs="宋体"/>
          <w:color w:val="auto"/>
          <w:sz w:val="32"/>
          <w:szCs w:val="32"/>
          <w:shd w:val="clear" w:color="auto" w:fill="FFFFFF"/>
          <w:lang w:val="en-US" w:eastAsia="zh-CN"/>
        </w:rPr>
        <w:t>初步</w:t>
      </w:r>
      <w:r>
        <w:rPr>
          <w:rFonts w:hint="eastAsia" w:ascii="仿宋_GB2312" w:hAnsi="宋体" w:eastAsia="仿宋_GB2312" w:cs="宋体"/>
          <w:color w:val="auto"/>
          <w:sz w:val="32"/>
          <w:szCs w:val="32"/>
          <w:shd w:val="clear" w:color="auto" w:fill="FFFFFF"/>
        </w:rPr>
        <w:t>积分</w:t>
      </w:r>
      <w:r>
        <w:rPr>
          <w:rFonts w:hint="eastAsia" w:ascii="仿宋_GB2312" w:hAnsi="宋体" w:eastAsia="仿宋_GB2312" w:cs="宋体"/>
          <w:color w:val="auto"/>
          <w:sz w:val="32"/>
          <w:szCs w:val="32"/>
          <w:shd w:val="clear" w:color="auto" w:fill="FFFFFF"/>
          <w:lang w:eastAsia="zh-CN"/>
        </w:rPr>
        <w:t>，</w:t>
      </w:r>
      <w:r>
        <w:rPr>
          <w:rFonts w:hint="eastAsia" w:ascii="仿宋_GB2312" w:hAnsi="宋体" w:eastAsia="仿宋_GB2312" w:cs="宋体"/>
          <w:color w:val="auto"/>
          <w:sz w:val="32"/>
          <w:szCs w:val="32"/>
          <w:shd w:val="clear" w:color="auto" w:fill="FFFFFF"/>
        </w:rPr>
        <w:t>最终积分以各职能部门审核为准。网上报名期间，区教育局将每天公布各学校报名人数</w:t>
      </w:r>
      <w:r>
        <w:rPr>
          <w:rFonts w:hint="eastAsia" w:ascii="仿宋_GB2312" w:hAnsi="宋体" w:eastAsia="仿宋_GB2312" w:cs="宋体"/>
          <w:color w:val="auto"/>
          <w:sz w:val="32"/>
          <w:szCs w:val="32"/>
          <w:shd w:val="clear" w:color="auto" w:fill="FFFFFF"/>
          <w:lang w:eastAsia="zh-CN"/>
        </w:rPr>
        <w:t>、</w:t>
      </w:r>
      <w:r>
        <w:rPr>
          <w:rFonts w:hint="eastAsia" w:ascii="仿宋_GB2312" w:hAnsi="宋体" w:eastAsia="仿宋_GB2312" w:cs="宋体"/>
          <w:color w:val="auto"/>
          <w:sz w:val="32"/>
          <w:szCs w:val="32"/>
          <w:shd w:val="clear" w:color="auto" w:fill="FFFFFF"/>
        </w:rPr>
        <w:t>学位类型明细</w:t>
      </w:r>
      <w:r>
        <w:rPr>
          <w:rFonts w:hint="eastAsia" w:ascii="仿宋_GB2312" w:hAnsi="宋体" w:eastAsia="仿宋_GB2312" w:cs="宋体"/>
          <w:color w:val="auto"/>
          <w:sz w:val="32"/>
          <w:szCs w:val="32"/>
          <w:shd w:val="clear" w:color="auto" w:fill="FFFFFF"/>
          <w:lang w:eastAsia="zh-CN"/>
        </w:rPr>
        <w:t>、</w:t>
      </w:r>
      <w:r>
        <w:rPr>
          <w:rFonts w:hint="eastAsia" w:ascii="仿宋_GB2312" w:hAnsi="宋体" w:eastAsia="仿宋_GB2312" w:cs="宋体"/>
          <w:color w:val="auto"/>
          <w:sz w:val="32"/>
          <w:szCs w:val="32"/>
          <w:shd w:val="clear" w:color="auto" w:fill="FFFFFF"/>
        </w:rPr>
        <w:t>初步录取积分等</w:t>
      </w:r>
      <w:r>
        <w:rPr>
          <w:rFonts w:hint="eastAsia" w:ascii="仿宋_GB2312" w:hAnsi="宋体" w:eastAsia="仿宋_GB2312" w:cs="宋体"/>
          <w:color w:val="auto"/>
          <w:sz w:val="32"/>
          <w:szCs w:val="32"/>
          <w:shd w:val="clear" w:color="auto" w:fill="FFFFFF"/>
          <w:lang w:val="en-US" w:eastAsia="zh-CN"/>
        </w:rPr>
        <w:t>信息</w:t>
      </w:r>
      <w:r>
        <w:rPr>
          <w:rFonts w:hint="eastAsia" w:ascii="仿宋_GB2312" w:hAnsi="宋体" w:eastAsia="仿宋_GB2312" w:cs="宋体"/>
          <w:color w:val="auto"/>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b w:val="0"/>
          <w:bCs w:val="0"/>
          <w:color w:val="auto"/>
          <w:sz w:val="32"/>
          <w:szCs w:val="32"/>
          <w:shd w:val="clear" w:color="auto" w:fill="FFFFFF"/>
          <w:lang w:val="en-US" w:eastAsia="zh-CN"/>
        </w:rPr>
      </w:pPr>
      <w:r>
        <w:rPr>
          <w:rFonts w:hint="eastAsia" w:ascii="仿宋_GB2312" w:hAnsi="宋体" w:eastAsia="仿宋_GB2312" w:cs="宋体"/>
          <w:b/>
          <w:bCs/>
          <w:color w:val="auto"/>
          <w:sz w:val="32"/>
          <w:szCs w:val="32"/>
          <w:shd w:val="clear" w:color="auto" w:fill="FFFFFF"/>
          <w:lang w:val="en-US" w:eastAsia="zh-CN"/>
        </w:rPr>
        <w:t xml:space="preserve">第四条  </w:t>
      </w:r>
      <w:r>
        <w:rPr>
          <w:rFonts w:hint="eastAsia" w:ascii="仿宋_GB2312" w:hAnsi="宋体" w:eastAsia="仿宋_GB2312" w:cs="宋体"/>
          <w:b w:val="0"/>
          <w:bCs w:val="0"/>
          <w:color w:val="auto"/>
          <w:sz w:val="32"/>
          <w:szCs w:val="32"/>
          <w:shd w:val="clear" w:color="auto" w:fill="FFFFFF"/>
          <w:lang w:val="en-US" w:eastAsia="zh-CN"/>
        </w:rPr>
        <w:t>义务教育阶段学校招生按照以下办法录取：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b w:val="0"/>
          <w:bCs w:val="0"/>
          <w:color w:val="auto"/>
          <w:sz w:val="32"/>
          <w:szCs w:val="32"/>
          <w:shd w:val="clear" w:color="auto" w:fill="FFFFFF"/>
          <w:lang w:val="en-US" w:eastAsia="zh-CN"/>
        </w:rPr>
      </w:pPr>
      <w:r>
        <w:rPr>
          <w:rFonts w:hint="eastAsia" w:ascii="仿宋_GB2312" w:hAnsi="宋体" w:eastAsia="仿宋_GB2312" w:cs="宋体"/>
          <w:b w:val="0"/>
          <w:bCs w:val="0"/>
          <w:color w:val="auto"/>
          <w:sz w:val="32"/>
          <w:szCs w:val="32"/>
          <w:shd w:val="clear" w:color="auto" w:fill="FFFFFF"/>
          <w:lang w:val="en-US" w:eastAsia="zh-CN"/>
        </w:rPr>
        <w:t>（一）各学校按志愿顺序录取，第一志愿</w:t>
      </w:r>
      <w:r>
        <w:rPr>
          <w:rFonts w:hint="eastAsia" w:ascii="仿宋_GB2312" w:hAnsi="仿宋_GB2312" w:eastAsia="仿宋_GB2312" w:cs="仿宋_GB2312"/>
          <w:b w:val="0"/>
          <w:bCs w:val="0"/>
          <w:color w:val="auto"/>
          <w:sz w:val="32"/>
          <w:szCs w:val="32"/>
          <w:shd w:val="clear" w:color="auto" w:fill="FFFFFF"/>
          <w:lang w:val="en-US" w:eastAsia="zh-CN"/>
        </w:rPr>
        <w:t>&gt;第二志愿&gt;第三志愿；</w:t>
      </w:r>
      <w:r>
        <w:rPr>
          <w:rFonts w:hint="eastAsia" w:ascii="仿宋_GB2312" w:hAnsi="宋体" w:eastAsia="仿宋_GB2312" w:cs="宋体"/>
          <w:b w:val="0"/>
          <w:bCs w:val="0"/>
          <w:color w:val="auto"/>
          <w:sz w:val="32"/>
          <w:szCs w:val="32"/>
          <w:shd w:val="clear" w:color="auto" w:fill="FFFFFF"/>
          <w:lang w:val="en-US" w:eastAsia="zh-CN"/>
        </w:rPr>
        <w:t>相同志愿，按学位类型顺序录取，第一类〉第二类〉第三类〉第四类〉第五类〉第六类〉第七类〉第八类；相同学位类型，按积分由高到低顺序录取；前一类型不能全部录取时，不再进行下一类型的录取；当多个申请人积分与录取分数相同且申请人数超过招生计划时，以抽签的方式确定录取名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b w:val="0"/>
          <w:bCs w:val="0"/>
          <w:color w:val="auto"/>
          <w:sz w:val="32"/>
          <w:szCs w:val="32"/>
          <w:shd w:val="clear" w:color="auto" w:fill="FFFFFF"/>
          <w:lang w:val="en-US" w:eastAsia="zh-CN"/>
        </w:rPr>
      </w:pPr>
      <w:r>
        <w:rPr>
          <w:rFonts w:hint="eastAsia" w:ascii="仿宋_GB2312" w:hAnsi="宋体" w:eastAsia="仿宋_GB2312" w:cs="宋体"/>
          <w:b w:val="0"/>
          <w:bCs w:val="0"/>
          <w:color w:val="auto"/>
          <w:sz w:val="32"/>
          <w:szCs w:val="32"/>
          <w:shd w:val="clear" w:color="auto" w:fill="FFFFFF"/>
          <w:lang w:val="en-US" w:eastAsia="zh-CN"/>
        </w:rPr>
        <w:t>（二）申请小学一年级学位第一志愿报民办学校的，按照本条第（一）款办法录取。申请初中一年级学位第一志愿填报民办学校的，首先录取本校直升的学生（本校六年级毕业且第一志愿填报本校），本校直升的学生未超过招生计划时全部录取，本校直升的学生超过招生计划时按本条第（一）款办法录取；本校直升的学生录取完成后仍有空余学位的，再录取其他第一志愿申请本校的学生，按照本条第（一）款办法录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宋体" w:eastAsia="仿宋_GB2312" w:cs="宋体"/>
          <w:b w:val="0"/>
          <w:bCs w:val="0"/>
          <w:color w:val="auto"/>
          <w:sz w:val="32"/>
          <w:szCs w:val="32"/>
          <w:shd w:val="clear" w:color="auto" w:fill="FFFFFF"/>
          <w:lang w:val="en-US" w:eastAsia="zh-CN"/>
        </w:rPr>
        <w:t>（三）资料审核合格，所有志愿均未被录取的，适龄儿童家长可联系仍有空余学位的学校，由相应学校报区教育局审核录取。被民办学校录取，按时报到注册的，可以到就读的民办学校申请学位补贴。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b/>
          <w:bCs/>
          <w:color w:val="auto"/>
          <w:sz w:val="32"/>
          <w:szCs w:val="32"/>
          <w:shd w:val="clear" w:color="auto" w:fill="FFFFFF"/>
        </w:rPr>
        <w:t>第五条</w:t>
      </w:r>
      <w:r>
        <w:rPr>
          <w:rFonts w:hint="eastAsia" w:ascii="仿宋_GB2312" w:hAnsi="宋体" w:eastAsia="仿宋_GB2312" w:cs="宋体"/>
          <w:color w:val="auto"/>
          <w:sz w:val="32"/>
          <w:szCs w:val="32"/>
        </w:rPr>
        <w:t> </w:t>
      </w:r>
      <w:r>
        <w:rPr>
          <w:rFonts w:hint="eastAsia" w:ascii="仿宋_GB2312" w:hAnsi="宋体" w:eastAsia="仿宋_GB2312" w:cs="宋体"/>
          <w:color w:val="auto"/>
          <w:sz w:val="32"/>
          <w:szCs w:val="32"/>
          <w:shd w:val="clear" w:color="auto" w:fill="FFFFFF"/>
        </w:rPr>
        <w:t>材料审核不合格的和未按光明区</w:t>
      </w:r>
      <w:r>
        <w:rPr>
          <w:rFonts w:hint="eastAsia" w:ascii="Calibri" w:hAnsi="Calibri" w:eastAsia="仿宋_GB2312" w:cs="宋体"/>
          <w:color w:val="auto"/>
          <w:sz w:val="32"/>
          <w:szCs w:val="32"/>
          <w:shd w:val="clear" w:color="auto" w:fill="FFFFFF"/>
        </w:rPr>
        <w:t>教育局</w:t>
      </w:r>
      <w:r>
        <w:rPr>
          <w:rFonts w:hint="eastAsia" w:ascii="仿宋_GB2312" w:hAnsi="宋体" w:eastAsia="仿宋_GB2312" w:cs="宋体"/>
          <w:color w:val="auto"/>
          <w:sz w:val="32"/>
          <w:szCs w:val="32"/>
          <w:shd w:val="clear" w:color="auto" w:fill="FFFFFF"/>
        </w:rPr>
        <w:t>通知要求的时间提交有关证明材料的，不参加学位派位。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0"/>
        <w:jc w:val="left"/>
        <w:textAlignment w:val="auto"/>
        <w:rPr>
          <w:color w:val="auto"/>
        </w:rPr>
      </w:pPr>
      <w:r>
        <w:rPr>
          <w:rFonts w:hint="eastAsia" w:ascii="仿宋_GB2312" w:hAnsi="宋体" w:eastAsia="仿宋_GB2312" w:cs="宋体"/>
          <w:b/>
          <w:bCs/>
          <w:color w:val="auto"/>
          <w:sz w:val="32"/>
          <w:szCs w:val="32"/>
          <w:shd w:val="clear" w:color="auto" w:fill="FFFFFF"/>
        </w:rPr>
        <w:t>第六条</w:t>
      </w:r>
      <w:r>
        <w:rPr>
          <w:rFonts w:hint="eastAsia" w:ascii="仿宋_GB2312" w:hAnsi="宋体" w:eastAsia="仿宋_GB2312" w:cs="宋体"/>
          <w:color w:val="auto"/>
          <w:sz w:val="32"/>
          <w:szCs w:val="32"/>
          <w:shd w:val="clear" w:color="auto" w:fill="FFFFFF"/>
        </w:rPr>
        <w:t> 本办法最终解释权归光明区教育局。</w:t>
      </w:r>
    </w:p>
    <w:p>
      <w:pPr>
        <w:rPr>
          <w:color w:val="auto"/>
        </w:rPr>
      </w:pP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F4"/>
    <w:rsid w:val="00010BAC"/>
    <w:rsid w:val="00010D0C"/>
    <w:rsid w:val="0001160C"/>
    <w:rsid w:val="00017838"/>
    <w:rsid w:val="00022A07"/>
    <w:rsid w:val="000247CD"/>
    <w:rsid w:val="00033128"/>
    <w:rsid w:val="00055114"/>
    <w:rsid w:val="00071137"/>
    <w:rsid w:val="000766CB"/>
    <w:rsid w:val="000811D1"/>
    <w:rsid w:val="000A1780"/>
    <w:rsid w:val="000A2156"/>
    <w:rsid w:val="000A44C8"/>
    <w:rsid w:val="000B057E"/>
    <w:rsid w:val="000B1D07"/>
    <w:rsid w:val="000B5A0E"/>
    <w:rsid w:val="000C1FC9"/>
    <w:rsid w:val="000C3370"/>
    <w:rsid w:val="000C7106"/>
    <w:rsid w:val="000D1C12"/>
    <w:rsid w:val="000D39FF"/>
    <w:rsid w:val="000F3478"/>
    <w:rsid w:val="000F64D3"/>
    <w:rsid w:val="000F6A2E"/>
    <w:rsid w:val="00103A5A"/>
    <w:rsid w:val="001044BC"/>
    <w:rsid w:val="001070ED"/>
    <w:rsid w:val="0011157C"/>
    <w:rsid w:val="00112549"/>
    <w:rsid w:val="001213FE"/>
    <w:rsid w:val="001330E7"/>
    <w:rsid w:val="0013525B"/>
    <w:rsid w:val="00141096"/>
    <w:rsid w:val="00157B1A"/>
    <w:rsid w:val="001811B4"/>
    <w:rsid w:val="00182FBF"/>
    <w:rsid w:val="00185D6E"/>
    <w:rsid w:val="001A0026"/>
    <w:rsid w:val="001A4CB8"/>
    <w:rsid w:val="001B1D3C"/>
    <w:rsid w:val="001D3BD9"/>
    <w:rsid w:val="001E730C"/>
    <w:rsid w:val="001F2BE8"/>
    <w:rsid w:val="001F3990"/>
    <w:rsid w:val="001F75D5"/>
    <w:rsid w:val="00200383"/>
    <w:rsid w:val="00211D6B"/>
    <w:rsid w:val="00212917"/>
    <w:rsid w:val="00215C93"/>
    <w:rsid w:val="0021694C"/>
    <w:rsid w:val="00217B63"/>
    <w:rsid w:val="002216BE"/>
    <w:rsid w:val="00223FF6"/>
    <w:rsid w:val="00232345"/>
    <w:rsid w:val="00232765"/>
    <w:rsid w:val="00242DBA"/>
    <w:rsid w:val="00257B9C"/>
    <w:rsid w:val="00273B8A"/>
    <w:rsid w:val="00282F88"/>
    <w:rsid w:val="00283259"/>
    <w:rsid w:val="00283CE7"/>
    <w:rsid w:val="002A4FF4"/>
    <w:rsid w:val="002A7BFA"/>
    <w:rsid w:val="002B059D"/>
    <w:rsid w:val="002D43E5"/>
    <w:rsid w:val="002D4F73"/>
    <w:rsid w:val="002D6BF6"/>
    <w:rsid w:val="002E3318"/>
    <w:rsid w:val="002E6D3D"/>
    <w:rsid w:val="002F6D0A"/>
    <w:rsid w:val="00300F5A"/>
    <w:rsid w:val="00305D90"/>
    <w:rsid w:val="003105B0"/>
    <w:rsid w:val="00314A5C"/>
    <w:rsid w:val="00326797"/>
    <w:rsid w:val="00330DB2"/>
    <w:rsid w:val="003511B4"/>
    <w:rsid w:val="0035310C"/>
    <w:rsid w:val="003622E3"/>
    <w:rsid w:val="00381676"/>
    <w:rsid w:val="003A34E2"/>
    <w:rsid w:val="003C118B"/>
    <w:rsid w:val="003C61CE"/>
    <w:rsid w:val="003D59DD"/>
    <w:rsid w:val="003E7B51"/>
    <w:rsid w:val="003F116F"/>
    <w:rsid w:val="003F198C"/>
    <w:rsid w:val="003F42C6"/>
    <w:rsid w:val="003F6886"/>
    <w:rsid w:val="004069C3"/>
    <w:rsid w:val="0041698C"/>
    <w:rsid w:val="004212D7"/>
    <w:rsid w:val="00424952"/>
    <w:rsid w:val="00425D82"/>
    <w:rsid w:val="00427790"/>
    <w:rsid w:val="004417A8"/>
    <w:rsid w:val="0044391F"/>
    <w:rsid w:val="004511FC"/>
    <w:rsid w:val="004600B6"/>
    <w:rsid w:val="00473273"/>
    <w:rsid w:val="0048145C"/>
    <w:rsid w:val="00481503"/>
    <w:rsid w:val="004825B9"/>
    <w:rsid w:val="00490F9F"/>
    <w:rsid w:val="00495D57"/>
    <w:rsid w:val="004A15A6"/>
    <w:rsid w:val="004A6941"/>
    <w:rsid w:val="004A79E4"/>
    <w:rsid w:val="004B54E0"/>
    <w:rsid w:val="004E4DA6"/>
    <w:rsid w:val="004E59B2"/>
    <w:rsid w:val="004F5900"/>
    <w:rsid w:val="0051632C"/>
    <w:rsid w:val="00516368"/>
    <w:rsid w:val="00526969"/>
    <w:rsid w:val="005536BB"/>
    <w:rsid w:val="00571391"/>
    <w:rsid w:val="005806F2"/>
    <w:rsid w:val="00582425"/>
    <w:rsid w:val="00597A3B"/>
    <w:rsid w:val="005A466D"/>
    <w:rsid w:val="005B38D7"/>
    <w:rsid w:val="005B5891"/>
    <w:rsid w:val="005B7BD1"/>
    <w:rsid w:val="005C6F0C"/>
    <w:rsid w:val="005D40C8"/>
    <w:rsid w:val="005E06B8"/>
    <w:rsid w:val="00603AB0"/>
    <w:rsid w:val="00611AEE"/>
    <w:rsid w:val="00617258"/>
    <w:rsid w:val="0062438B"/>
    <w:rsid w:val="00627467"/>
    <w:rsid w:val="0064126C"/>
    <w:rsid w:val="00641FE8"/>
    <w:rsid w:val="006516AC"/>
    <w:rsid w:val="006541E9"/>
    <w:rsid w:val="0067312D"/>
    <w:rsid w:val="0067759E"/>
    <w:rsid w:val="00682666"/>
    <w:rsid w:val="00685636"/>
    <w:rsid w:val="006868E5"/>
    <w:rsid w:val="006B04FA"/>
    <w:rsid w:val="006B215B"/>
    <w:rsid w:val="006B333A"/>
    <w:rsid w:val="006B5E41"/>
    <w:rsid w:val="006C0C85"/>
    <w:rsid w:val="006D234A"/>
    <w:rsid w:val="006D411D"/>
    <w:rsid w:val="006D62B6"/>
    <w:rsid w:val="006D6701"/>
    <w:rsid w:val="006E49D9"/>
    <w:rsid w:val="006F09CE"/>
    <w:rsid w:val="006F1E2A"/>
    <w:rsid w:val="0070162D"/>
    <w:rsid w:val="00717948"/>
    <w:rsid w:val="00722B8E"/>
    <w:rsid w:val="00722D14"/>
    <w:rsid w:val="00730175"/>
    <w:rsid w:val="00730947"/>
    <w:rsid w:val="0074110D"/>
    <w:rsid w:val="00744DBA"/>
    <w:rsid w:val="00753988"/>
    <w:rsid w:val="00754D53"/>
    <w:rsid w:val="00760BF9"/>
    <w:rsid w:val="007611C4"/>
    <w:rsid w:val="00776622"/>
    <w:rsid w:val="00792B17"/>
    <w:rsid w:val="007C378E"/>
    <w:rsid w:val="007D1834"/>
    <w:rsid w:val="00801D44"/>
    <w:rsid w:val="00803918"/>
    <w:rsid w:val="00805BBC"/>
    <w:rsid w:val="00811E67"/>
    <w:rsid w:val="00816A1F"/>
    <w:rsid w:val="00826E73"/>
    <w:rsid w:val="00844A26"/>
    <w:rsid w:val="00850A48"/>
    <w:rsid w:val="00854055"/>
    <w:rsid w:val="0085503B"/>
    <w:rsid w:val="0085539A"/>
    <w:rsid w:val="00860047"/>
    <w:rsid w:val="00860CA1"/>
    <w:rsid w:val="00863FE0"/>
    <w:rsid w:val="00866E27"/>
    <w:rsid w:val="008705BE"/>
    <w:rsid w:val="008764A7"/>
    <w:rsid w:val="00880A6B"/>
    <w:rsid w:val="00881F46"/>
    <w:rsid w:val="008826CC"/>
    <w:rsid w:val="008A02C0"/>
    <w:rsid w:val="008A59C4"/>
    <w:rsid w:val="008B50FF"/>
    <w:rsid w:val="008C2B8B"/>
    <w:rsid w:val="008C7472"/>
    <w:rsid w:val="008D16C5"/>
    <w:rsid w:val="008D4528"/>
    <w:rsid w:val="008E0B30"/>
    <w:rsid w:val="008E111F"/>
    <w:rsid w:val="008E6099"/>
    <w:rsid w:val="008E721F"/>
    <w:rsid w:val="008E7529"/>
    <w:rsid w:val="008F494A"/>
    <w:rsid w:val="008F566A"/>
    <w:rsid w:val="0090499A"/>
    <w:rsid w:val="009130D9"/>
    <w:rsid w:val="009367D0"/>
    <w:rsid w:val="00946F61"/>
    <w:rsid w:val="00947635"/>
    <w:rsid w:val="0097236C"/>
    <w:rsid w:val="00972AF7"/>
    <w:rsid w:val="00975FC0"/>
    <w:rsid w:val="00976B43"/>
    <w:rsid w:val="009962C0"/>
    <w:rsid w:val="009A005E"/>
    <w:rsid w:val="009A3BCD"/>
    <w:rsid w:val="009B57BE"/>
    <w:rsid w:val="009D08B2"/>
    <w:rsid w:val="009D5F28"/>
    <w:rsid w:val="009E1E00"/>
    <w:rsid w:val="009F0444"/>
    <w:rsid w:val="009F25AE"/>
    <w:rsid w:val="00A14CEE"/>
    <w:rsid w:val="00A2426D"/>
    <w:rsid w:val="00A3104F"/>
    <w:rsid w:val="00A35455"/>
    <w:rsid w:val="00A40CD8"/>
    <w:rsid w:val="00A427E1"/>
    <w:rsid w:val="00A50171"/>
    <w:rsid w:val="00A567DF"/>
    <w:rsid w:val="00A56AC1"/>
    <w:rsid w:val="00A80121"/>
    <w:rsid w:val="00A871A2"/>
    <w:rsid w:val="00AA4DC4"/>
    <w:rsid w:val="00AA64E3"/>
    <w:rsid w:val="00AB017C"/>
    <w:rsid w:val="00AB2D33"/>
    <w:rsid w:val="00AC080F"/>
    <w:rsid w:val="00AD71FB"/>
    <w:rsid w:val="00AE1F41"/>
    <w:rsid w:val="00AE52D8"/>
    <w:rsid w:val="00AE58DB"/>
    <w:rsid w:val="00AE67F5"/>
    <w:rsid w:val="00B12DC3"/>
    <w:rsid w:val="00B24569"/>
    <w:rsid w:val="00B474B1"/>
    <w:rsid w:val="00B51C19"/>
    <w:rsid w:val="00B53327"/>
    <w:rsid w:val="00B60882"/>
    <w:rsid w:val="00B60B3C"/>
    <w:rsid w:val="00B61FE4"/>
    <w:rsid w:val="00B629A2"/>
    <w:rsid w:val="00B72139"/>
    <w:rsid w:val="00B72811"/>
    <w:rsid w:val="00B81106"/>
    <w:rsid w:val="00B9364E"/>
    <w:rsid w:val="00B93D72"/>
    <w:rsid w:val="00BA060E"/>
    <w:rsid w:val="00BC1810"/>
    <w:rsid w:val="00BD254F"/>
    <w:rsid w:val="00BD5F81"/>
    <w:rsid w:val="00BF439E"/>
    <w:rsid w:val="00BF6DB4"/>
    <w:rsid w:val="00C03AE4"/>
    <w:rsid w:val="00C077B2"/>
    <w:rsid w:val="00C12625"/>
    <w:rsid w:val="00C135C2"/>
    <w:rsid w:val="00C24234"/>
    <w:rsid w:val="00C319CB"/>
    <w:rsid w:val="00C337C0"/>
    <w:rsid w:val="00C353A5"/>
    <w:rsid w:val="00C3630B"/>
    <w:rsid w:val="00C36362"/>
    <w:rsid w:val="00C37C5F"/>
    <w:rsid w:val="00C40B2A"/>
    <w:rsid w:val="00C42794"/>
    <w:rsid w:val="00C42BF1"/>
    <w:rsid w:val="00C45D11"/>
    <w:rsid w:val="00C51870"/>
    <w:rsid w:val="00C761D4"/>
    <w:rsid w:val="00C76E00"/>
    <w:rsid w:val="00C80DD2"/>
    <w:rsid w:val="00C8793C"/>
    <w:rsid w:val="00C87DD8"/>
    <w:rsid w:val="00C96B92"/>
    <w:rsid w:val="00C974D7"/>
    <w:rsid w:val="00CA283C"/>
    <w:rsid w:val="00CA7B03"/>
    <w:rsid w:val="00CB4D8F"/>
    <w:rsid w:val="00CB5D4C"/>
    <w:rsid w:val="00CB6599"/>
    <w:rsid w:val="00CC16AE"/>
    <w:rsid w:val="00CE36D0"/>
    <w:rsid w:val="00CE3E40"/>
    <w:rsid w:val="00D0102A"/>
    <w:rsid w:val="00D04888"/>
    <w:rsid w:val="00D10C59"/>
    <w:rsid w:val="00D244FC"/>
    <w:rsid w:val="00D30573"/>
    <w:rsid w:val="00D41CAA"/>
    <w:rsid w:val="00D41EF5"/>
    <w:rsid w:val="00D468A9"/>
    <w:rsid w:val="00D47300"/>
    <w:rsid w:val="00D603EC"/>
    <w:rsid w:val="00D67CBD"/>
    <w:rsid w:val="00D7315F"/>
    <w:rsid w:val="00D92340"/>
    <w:rsid w:val="00DA36A1"/>
    <w:rsid w:val="00DC2777"/>
    <w:rsid w:val="00DC36E0"/>
    <w:rsid w:val="00DC5C4F"/>
    <w:rsid w:val="00DD6AF8"/>
    <w:rsid w:val="00DD75D8"/>
    <w:rsid w:val="00DD79C2"/>
    <w:rsid w:val="00DD7A2F"/>
    <w:rsid w:val="00DE4E6F"/>
    <w:rsid w:val="00DF01D7"/>
    <w:rsid w:val="00DF1AD3"/>
    <w:rsid w:val="00DF1EE2"/>
    <w:rsid w:val="00E03113"/>
    <w:rsid w:val="00E04D6F"/>
    <w:rsid w:val="00E0591F"/>
    <w:rsid w:val="00E07556"/>
    <w:rsid w:val="00E140D1"/>
    <w:rsid w:val="00E17395"/>
    <w:rsid w:val="00E27731"/>
    <w:rsid w:val="00E57473"/>
    <w:rsid w:val="00E62EBE"/>
    <w:rsid w:val="00E64F35"/>
    <w:rsid w:val="00E665AA"/>
    <w:rsid w:val="00E77F40"/>
    <w:rsid w:val="00E83E5B"/>
    <w:rsid w:val="00E95018"/>
    <w:rsid w:val="00E96664"/>
    <w:rsid w:val="00EA59C4"/>
    <w:rsid w:val="00EA7A5D"/>
    <w:rsid w:val="00EB086D"/>
    <w:rsid w:val="00EB09CD"/>
    <w:rsid w:val="00EB0E42"/>
    <w:rsid w:val="00EC5402"/>
    <w:rsid w:val="00ED296B"/>
    <w:rsid w:val="00EE1770"/>
    <w:rsid w:val="00EF1C99"/>
    <w:rsid w:val="00EF35C2"/>
    <w:rsid w:val="00EF48F8"/>
    <w:rsid w:val="00F011AE"/>
    <w:rsid w:val="00F03F44"/>
    <w:rsid w:val="00F306BA"/>
    <w:rsid w:val="00F33F2E"/>
    <w:rsid w:val="00F34DB1"/>
    <w:rsid w:val="00F43B97"/>
    <w:rsid w:val="00F45E27"/>
    <w:rsid w:val="00F4701B"/>
    <w:rsid w:val="00F679CB"/>
    <w:rsid w:val="00F70404"/>
    <w:rsid w:val="00F705EB"/>
    <w:rsid w:val="00F7084E"/>
    <w:rsid w:val="00F92FA8"/>
    <w:rsid w:val="00FA306A"/>
    <w:rsid w:val="00FB49EE"/>
    <w:rsid w:val="00FD36A1"/>
    <w:rsid w:val="00FE59E5"/>
    <w:rsid w:val="015A306C"/>
    <w:rsid w:val="05520B69"/>
    <w:rsid w:val="1BC71E3A"/>
    <w:rsid w:val="1DCE32F4"/>
    <w:rsid w:val="1FD715BC"/>
    <w:rsid w:val="256B78DD"/>
    <w:rsid w:val="26AA0277"/>
    <w:rsid w:val="312270DF"/>
    <w:rsid w:val="3219304D"/>
    <w:rsid w:val="359228F2"/>
    <w:rsid w:val="419C4ED0"/>
    <w:rsid w:val="4FF7B29A"/>
    <w:rsid w:val="5FCFBDA8"/>
    <w:rsid w:val="5FFDC0B9"/>
    <w:rsid w:val="62D7BD1F"/>
    <w:rsid w:val="62DB8CE9"/>
    <w:rsid w:val="63B41B7F"/>
    <w:rsid w:val="6F4E5B5F"/>
    <w:rsid w:val="70391D79"/>
    <w:rsid w:val="70931ADF"/>
    <w:rsid w:val="7657AF8D"/>
    <w:rsid w:val="77A63971"/>
    <w:rsid w:val="792C7C12"/>
    <w:rsid w:val="799F036B"/>
    <w:rsid w:val="79F91ACD"/>
    <w:rsid w:val="7A82E9F0"/>
    <w:rsid w:val="7BFE633B"/>
    <w:rsid w:val="7BFE6598"/>
    <w:rsid w:val="7DF5AF54"/>
    <w:rsid w:val="7DF7B869"/>
    <w:rsid w:val="9EFE898C"/>
    <w:rsid w:val="B3FC8093"/>
    <w:rsid w:val="BB7196D7"/>
    <w:rsid w:val="BB8B567F"/>
    <w:rsid w:val="BFEF8E8B"/>
    <w:rsid w:val="EF9FB34A"/>
    <w:rsid w:val="FABFA5F9"/>
    <w:rsid w:val="FB7D6AD8"/>
    <w:rsid w:val="FBFB294F"/>
    <w:rsid w:val="FDEDE683"/>
    <w:rsid w:val="FE2F9E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批注框文本 Char"/>
    <w:link w:val="3"/>
    <w:qFormat/>
    <w:uiPriority w:val="0"/>
    <w:rPr>
      <w:kern w:val="2"/>
      <w:sz w:val="18"/>
      <w:szCs w:val="18"/>
    </w:rPr>
  </w:style>
  <w:style w:type="character" w:customStyle="1" w:styleId="11">
    <w:name w:val="日期 Char"/>
    <w:link w:val="2"/>
    <w:qFormat/>
    <w:uiPriority w:val="0"/>
    <w:rPr>
      <w:kern w:val="2"/>
      <w:sz w:val="21"/>
      <w:szCs w:val="24"/>
    </w:rPr>
  </w:style>
  <w:style w:type="character" w:customStyle="1" w:styleId="12">
    <w:name w:val="页眉 Char"/>
    <w:link w:val="5"/>
    <w:qFormat/>
    <w:uiPriority w:val="99"/>
    <w:rPr>
      <w:kern w:val="2"/>
      <w:sz w:val="18"/>
      <w:szCs w:val="18"/>
    </w:rPr>
  </w:style>
  <w:style w:type="character" w:customStyle="1" w:styleId="13">
    <w:name w:val="页脚 Char"/>
    <w:link w:val="4"/>
    <w:qFormat/>
    <w:uiPriority w:val="99"/>
    <w:rPr>
      <w:kern w:val="2"/>
      <w:sz w:val="18"/>
      <w:szCs w:val="18"/>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5">
    <w:name w:val="yongri_newsarticles_title1"/>
    <w:qFormat/>
    <w:uiPriority w:val="0"/>
    <w:rPr>
      <w:rFonts w:hint="default" w:ascii="Tahoma" w:hAnsi="Tahoma" w:cs="Tahoma"/>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41</Words>
  <Characters>238</Characters>
  <Lines>1</Lines>
  <Paragraphs>1</Paragraphs>
  <TotalTime>5</TotalTime>
  <ScaleCrop>false</ScaleCrop>
  <LinksUpToDate>false</LinksUpToDate>
  <CharactersWithSpaces>278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2019-06-27T01:57:00Z</dcterms:created>
  <dc:creator>lenovo</dc:creator>
  <cp:lastModifiedBy>林丽丽</cp:lastModifiedBy>
  <cp:lastPrinted>2022-02-18T09:24:00Z</cp:lastPrinted>
  <dcterms:modified xsi:type="dcterms:W3CDTF">2022-03-25T06:30:17Z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E258E88448004B159A01451492EDC960</vt:lpwstr>
  </property>
</Properties>
</file>