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left"/>
        <w:rPr>
          <w:rFonts w:ascii="黑体" w:hAnsi="黑体" w:eastAsia="黑体"/>
          <w:sz w:val="32"/>
          <w:szCs w:val="32"/>
          <w:lang w:val="zh-CN"/>
        </w:rPr>
      </w:pPr>
    </w:p>
    <w:p>
      <w:pPr>
        <w:spacing w:beforeLines="50" w:afterLines="50" w:line="560" w:lineRule="exact"/>
        <w:jc w:val="center"/>
        <w:rPr>
          <w:rFonts w:ascii="方正小标宋简体" w:hAnsi="宋体" w:eastAsia="方正小标宋简体"/>
          <w:sz w:val="44"/>
          <w:szCs w:val="44"/>
          <w:lang w:val="zh-CN"/>
        </w:rPr>
      </w:pPr>
      <w:r>
        <w:rPr>
          <w:rFonts w:hint="eastAsia" w:ascii="方正小标宋简体" w:hAnsi="宋体" w:eastAsia="方正小标宋简体"/>
          <w:sz w:val="44"/>
          <w:szCs w:val="44"/>
          <w:lang w:val="zh-CN"/>
        </w:rPr>
        <w:t>《光明区现代产业发展中长期规划</w:t>
      </w:r>
    </w:p>
    <w:p>
      <w:pPr>
        <w:spacing w:beforeLines="50" w:afterLines="50" w:line="560" w:lineRule="exact"/>
        <w:jc w:val="center"/>
        <w:rPr>
          <w:rFonts w:ascii="方正小标宋简体" w:eastAsia="方正小标宋简体"/>
          <w:sz w:val="44"/>
          <w:szCs w:val="44"/>
          <w:lang w:val="zh-CN"/>
        </w:rPr>
      </w:pPr>
      <w:r>
        <w:rPr>
          <w:rFonts w:hint="eastAsia" w:ascii="方正小标宋简体" w:hAnsi="宋体" w:eastAsia="方正小标宋简体"/>
          <w:sz w:val="44"/>
          <w:szCs w:val="44"/>
          <w:lang w:val="zh-CN"/>
        </w:rPr>
        <w:t>（2019-2035年）》编制说明</w:t>
      </w:r>
    </w:p>
    <w:p>
      <w:pPr>
        <w:spacing w:line="560" w:lineRule="exact"/>
        <w:jc w:val="center"/>
        <w:rPr>
          <w:rFonts w:ascii="Times New Roman" w:hAnsi="Times New Roman"/>
          <w:b/>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一、编制背景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区主要领导指示精神，对照世界一流科学城和深圳北部中心的发展目标，为进一步明晰产业定位、优化产业空间布局，我局会同深圳国家高技术创新中心组成课题组起草编制《光明区现代产业发展中长期规划（2019-2035年）》（以下简称“规划”）。目前已完成规划文稿（征求意见稿）。</w:t>
      </w:r>
    </w:p>
    <w:p>
      <w:pPr>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二、编制过程</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项目开展以来，课题组进行了70余次调研工作，组织了10余场知名专家座谈会，开展了8个产业专题研究，为构建短期有爆发力、中期有持续力、长期有创新力的光明区现代产业体系提供有力支撑。</w:t>
      </w:r>
    </w:p>
    <w:p>
      <w:pPr>
        <w:spacing w:line="560" w:lineRule="exact"/>
        <w:ind w:firstLine="643" w:firstLineChars="200"/>
        <w:rPr>
          <w:rFonts w:ascii="Times New Roman" w:hAnsi="Times New Roman" w:eastAsia="仿宋_GB2312"/>
          <w:sz w:val="32"/>
          <w:szCs w:val="32"/>
        </w:rPr>
      </w:pPr>
      <w:r>
        <w:rPr>
          <w:rFonts w:hint="eastAsia" w:ascii="楷体_GB2312" w:hAnsi="楷体" w:eastAsia="楷体_GB2312"/>
          <w:b/>
          <w:sz w:val="32"/>
          <w:szCs w:val="32"/>
        </w:rPr>
        <w:t>（一）前期调研阶段</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题组对政府部门、科研机构、大科学装置、重点企业、产业园区、行业协会等开展多维度调研工作，全面了解光明城市建设、产业发展、科技创新等方面的现状，研究提出光明区产业的发展基础、存在问题以及面临的机遇和挑战。</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（二）专题研究阶段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课题组按产业领域成立专题研究小组，在前期调研工作的基础上，专题研究光明区新型显示、新材料、生物医药、人工智能、优势传统产业等五个产业的发展现状、存在问题和面临形势，提出各产业发展的策略建议；前瞻研究大科学装置关联产业、国际先进城区的发展经验和光明参与建设综合性国家科学中心的策略研究，为光明区产业方向选择、产业战略定位和发展路径的规划奠定基础。</w:t>
      </w:r>
    </w:p>
    <w:p>
      <w:pPr>
        <w:pStyle w:val="18"/>
        <w:spacing w:line="560" w:lineRule="exact"/>
        <w:ind w:firstLine="643"/>
        <w:rPr>
          <w:rFonts w:ascii="楷体_GB2312" w:hAnsi="楷体" w:eastAsia="楷体_GB2312"/>
          <w:b/>
          <w:sz w:val="32"/>
          <w:szCs w:val="32"/>
        </w:rPr>
      </w:pPr>
      <w:r>
        <w:rPr>
          <w:rFonts w:hint="eastAsia" w:ascii="楷体_GB2312" w:hAnsi="楷体" w:eastAsia="楷体_GB2312"/>
          <w:b/>
          <w:sz w:val="32"/>
          <w:szCs w:val="32"/>
        </w:rPr>
        <w:t>（三）规划起草阶段</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课题组基于前期调研和专题研究结果，结合我国各级产业政策和全球科技发展趋势，充分考虑光明产业发展基础和区位特点，经过多轮研讨制定《规划》文本初稿。</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（四）修改完善阶段</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题组就《规划》文本初稿征求了深圳市原副市长、哈工大深圳经管学院唐杰教授、深圳市人民政府原副秘书长李干明、中国科学院科技战略研究院党委书记穆荣平教授、毕马威首席产业规划顾问刘明等业界知名专家的意见和建议，同时，组织了来自北京大学、深圳市社科院等行业专家对《规划》进行评审和咨询。</w:t>
      </w:r>
    </w:p>
    <w:p>
      <w:pPr>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三、编制依据</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（一）《粤港澳大湾区发展规划纲要》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（二）《中华人民共和国国民经济和社会发展第十三个五年规划纲要》；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（三）《国家中长期科学与技术发展规划纲要》；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（四）《中国制造2025》</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（五）《国家创新驱动发展战略纲要》；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（六）《国家战略性新兴产业“十三五”发展规划》；</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（七）《国家中长期科学和技术发展规划纲要（2006-2020）》；</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（八）《深圳经济特区率先建设社会主义现代化先行区规划纲要（2018-2035年）》</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（九）《深圳市可持续发展规划（2017—2030年）》；</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（十）《深圳市国民经济和社会发展第十三个五年规划纲要》；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（十一）《深圳市战略性新兴产业发展“十三五”规划》；</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（十二）《光明新区国民经济和社会发展十三五规划纲要》；</w:t>
      </w:r>
    </w:p>
    <w:p>
      <w:pPr>
        <w:pStyle w:val="1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（十三）《光明新区产业发展“十三五”规划》。</w:t>
      </w:r>
    </w:p>
    <w:p>
      <w:pPr>
        <w:pStyle w:val="18"/>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四、主要内容</w:t>
      </w:r>
    </w:p>
    <w:p>
      <w:pPr>
        <w:spacing w:line="560" w:lineRule="exact"/>
        <w:ind w:firstLine="640" w:firstLineChars="200"/>
        <w:rPr>
          <w:rFonts w:ascii="楷体" w:hAnsi="楷体" w:eastAsia="楷体"/>
          <w:sz w:val="32"/>
          <w:szCs w:val="32"/>
        </w:rPr>
      </w:pPr>
      <w:r>
        <w:rPr>
          <w:rFonts w:hint="eastAsia" w:ascii="仿宋_GB2312" w:hAnsi="黑体" w:eastAsia="仿宋_GB2312"/>
          <w:sz w:val="32"/>
          <w:szCs w:val="32"/>
        </w:rPr>
        <w:t>《规划》从发展基础与形势研判、总体发展思路、重点产业方向、关键要素提升工程、产业空间布局和保障措施六个方面展开，研究提出全球知名的科技引领型现代产业先锋区的战略定位、四大发展路径、“3+</w:t>
      </w:r>
      <w:r>
        <w:rPr>
          <w:rFonts w:ascii="仿宋_GB2312" w:hAnsi="黑体" w:eastAsia="仿宋_GB2312"/>
          <w:sz w:val="32"/>
          <w:szCs w:val="32"/>
        </w:rPr>
        <w:t>1</w:t>
      </w:r>
      <w:r>
        <w:rPr>
          <w:rFonts w:hint="eastAsia" w:ascii="仿宋_GB2312" w:hAnsi="黑体" w:eastAsia="仿宋_GB2312"/>
          <w:sz w:val="32"/>
          <w:szCs w:val="32"/>
        </w:rPr>
        <w:t>”产业体系、五大工程、“一廊、三区、五集群”的空间格局以及五大保障措施。</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（一）发展基础与形势研判。</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主要包括战略机遇、发展基础、问题与挑战三个方面。</w:t>
      </w:r>
    </w:p>
    <w:p>
      <w:pPr>
        <w:spacing w:line="560" w:lineRule="exact"/>
        <w:ind w:firstLine="643" w:firstLineChars="200"/>
        <w:rPr>
          <w:rFonts w:ascii="仿宋_GB2312" w:hAnsi="黑体" w:eastAsia="仿宋_GB2312"/>
          <w:sz w:val="32"/>
          <w:szCs w:val="32"/>
        </w:rPr>
      </w:pPr>
      <w:r>
        <w:rPr>
          <w:rFonts w:hint="eastAsia" w:ascii="仿宋_GB2312" w:hAnsi="楷体" w:eastAsia="仿宋_GB2312"/>
          <w:b/>
          <w:sz w:val="32"/>
          <w:szCs w:val="32"/>
        </w:rPr>
        <w:t>1</w:t>
      </w:r>
      <w:r>
        <w:rPr>
          <w:rFonts w:ascii="仿宋_GB2312" w:hAnsi="楷体" w:eastAsia="仿宋_GB2312"/>
          <w:b/>
          <w:sz w:val="32"/>
          <w:szCs w:val="32"/>
        </w:rPr>
        <w:t>.</w:t>
      </w:r>
      <w:r>
        <w:rPr>
          <w:rFonts w:hint="eastAsia" w:ascii="仿宋_GB2312" w:hAnsi="楷体" w:eastAsia="仿宋_GB2312"/>
          <w:b/>
          <w:sz w:val="32"/>
          <w:szCs w:val="32"/>
        </w:rPr>
        <w:t>战略机遇。</w:t>
      </w:r>
      <w:r>
        <w:rPr>
          <w:rFonts w:hint="eastAsia" w:ascii="仿宋_GB2312" w:hAnsi="黑体" w:eastAsia="仿宋_GB2312"/>
          <w:sz w:val="32"/>
          <w:szCs w:val="32"/>
        </w:rPr>
        <w:t>从全球科技革命和产业变革、粤港澳大湾区、中国特色社会主义先行示范区</w:t>
      </w:r>
      <w:r>
        <w:rPr>
          <w:rFonts w:hint="eastAsia" w:ascii="仿宋_GB2312" w:hAnsi="黑体" w:eastAsia="仿宋_GB2312"/>
          <w:b/>
          <w:bCs/>
          <w:sz w:val="32"/>
          <w:szCs w:val="32"/>
        </w:rPr>
        <w:t>、</w:t>
      </w:r>
      <w:r>
        <w:rPr>
          <w:rFonts w:hint="eastAsia" w:ascii="仿宋_GB2312" w:hAnsi="黑体" w:eastAsia="仿宋_GB2312"/>
          <w:sz w:val="32"/>
          <w:szCs w:val="32"/>
        </w:rPr>
        <w:t>综合性国家科学中心、光明科学城等多个视角分析了光明产业发展的四大战略机遇。</w:t>
      </w:r>
      <w:r>
        <w:rPr>
          <w:rFonts w:hint="eastAsia" w:ascii="仿宋_GB2312" w:hAnsi="仿宋" w:eastAsia="仿宋_GB2312"/>
          <w:color w:val="000000"/>
          <w:sz w:val="32"/>
          <w:szCs w:val="32"/>
        </w:rPr>
        <w:t>新一轮科技革命和产业变革正引领世界发展，科技创新是抢占新一轮全球化制高点的战略选择，为光明区依托源头创新实现弯道超车形成时间窗口。</w:t>
      </w:r>
      <w:r>
        <w:rPr>
          <w:rFonts w:hint="eastAsia" w:ascii="仿宋_GB2312" w:hAnsi="仿宋" w:eastAsia="仿宋_GB2312"/>
          <w:sz w:val="32"/>
          <w:szCs w:val="32"/>
        </w:rPr>
        <w:t>光明作为粤港澳大湾区国际科技创新中心和广深港澳科技创新走廊的重要节点，可联合粤港澳大湾区形成创新合力，构建开放型区域协同创新共同体。</w:t>
      </w:r>
      <w:r>
        <w:rPr>
          <w:rFonts w:hint="eastAsia" w:ascii="仿宋_GB2312" w:hAnsi="黑体" w:eastAsia="仿宋_GB2312"/>
          <w:sz w:val="32"/>
          <w:szCs w:val="32"/>
        </w:rPr>
        <w:t>结合在</w:t>
      </w:r>
      <w:r>
        <w:rPr>
          <w:rFonts w:ascii="仿宋_GB2312" w:hAnsi="黑体" w:eastAsia="仿宋_GB2312"/>
          <w:sz w:val="32"/>
          <w:szCs w:val="32"/>
        </w:rPr>
        <w:t>8</w:t>
      </w:r>
      <w:r>
        <w:rPr>
          <w:rFonts w:hint="eastAsia" w:ascii="仿宋_GB2312" w:hAnsi="黑体" w:eastAsia="仿宋_GB2312"/>
          <w:sz w:val="32"/>
          <w:szCs w:val="32"/>
        </w:rPr>
        <w:t>月发布的</w:t>
      </w:r>
      <w:r>
        <w:rPr>
          <w:rFonts w:hint="eastAsia" w:ascii="仿宋_GB2312" w:eastAsia="仿宋_GB2312"/>
          <w:sz w:val="32"/>
          <w:szCs w:val="32"/>
        </w:rPr>
        <w:t>《中共中央 国务院关于支持深圳建设中国特色社会主义先行示范区的意见》</w:t>
      </w:r>
      <w:r>
        <w:rPr>
          <w:rFonts w:hint="eastAsia" w:ascii="仿宋_GB2312" w:hAnsi="黑体" w:eastAsia="仿宋_GB2312"/>
          <w:sz w:val="32"/>
          <w:szCs w:val="32"/>
        </w:rPr>
        <w:t>明确提出的“以深圳为主阵地建设综合性国家科学中心”，光明可抓住契机争取更多国家创新资源，成为先行中的尖兵、示范中的样板。</w:t>
      </w:r>
    </w:p>
    <w:p>
      <w:pPr>
        <w:spacing w:line="560" w:lineRule="exact"/>
        <w:ind w:firstLine="643" w:firstLineChars="200"/>
        <w:rPr>
          <w:rFonts w:ascii="Times New Roman" w:hAnsi="Times New Roman" w:eastAsia="仿宋_GB2312"/>
          <w:sz w:val="32"/>
          <w:szCs w:val="32"/>
        </w:rPr>
      </w:pPr>
      <w:r>
        <w:rPr>
          <w:rFonts w:hint="eastAsia" w:ascii="仿宋_GB2312" w:hAnsi="Times New Roman" w:eastAsia="仿宋_GB2312"/>
          <w:b/>
          <w:sz w:val="32"/>
          <w:szCs w:val="32"/>
        </w:rPr>
        <w:t>2.发展基础。</w:t>
      </w:r>
      <w:r>
        <w:rPr>
          <w:rFonts w:hint="eastAsia" w:ascii="Times New Roman" w:hAnsi="Times New Roman" w:eastAsia="仿宋_GB2312"/>
          <w:sz w:val="32"/>
          <w:szCs w:val="32"/>
        </w:rPr>
        <w:t>从总体经济情况、产业发展特点、创新资源、区位生态等四个方面分析光明产业发展基础与优势。一是综合经济实力加速提升，即将跨入千亿城区，主要经济指标年均增速高于全市同期水平。二是产业发展迅速，初步形成以新一代信息技术为支柱、新材料为特色的产业格局，新型显示产业已成为全国乃至全球最大的平板显示基地，新材料产值居全市第三。三是创新发展优势巩固，重大科学基础装置陆续建设，创新载体加速集聚，人才吸引力逐渐提升，创新能级不断提高。四是区位优势明显，位于粤港澳大湾区核心区域，处于广深港半小时生活圈，高铁及高速公路的市政化改造便于湾区间要素流通，蓝绿本底生态优越。</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.问题与挑战。</w:t>
      </w:r>
      <w:r>
        <w:rPr>
          <w:rFonts w:hint="eastAsia" w:ascii="仿宋_GB2312" w:hAnsi="Times New Roman" w:eastAsia="仿宋_GB2312"/>
          <w:sz w:val="32"/>
          <w:szCs w:val="32"/>
        </w:rPr>
        <w:t>从产业体系、创新生态、空间供给等方面总结提出三大问题。一是经济发展质量仍然不高，产业体系不完整。产业结构失衡削弱抗风险能力，“一业独大，一企独大”现象突出。单华星光电一家企业占光明区</w:t>
      </w:r>
      <w:r>
        <w:rPr>
          <w:rFonts w:ascii="仿宋_GB2312" w:hAnsi="Times New Roman" w:eastAsia="仿宋_GB2312"/>
          <w:sz w:val="32"/>
          <w:szCs w:val="32"/>
        </w:rPr>
        <w:t>GDP</w:t>
      </w:r>
      <w:r>
        <w:rPr>
          <w:rFonts w:hint="eastAsia" w:ascii="仿宋_GB2312" w:hAnsi="Times New Roman" w:eastAsia="仿宋_GB2312"/>
          <w:sz w:val="32"/>
          <w:szCs w:val="32"/>
        </w:rPr>
        <w:t>的</w:t>
      </w:r>
      <w:r>
        <w:rPr>
          <w:rFonts w:ascii="仿宋_GB2312" w:hAnsi="Times New Roman" w:eastAsia="仿宋_GB2312"/>
          <w:sz w:val="32"/>
          <w:szCs w:val="32"/>
        </w:rPr>
        <w:t>5%</w:t>
      </w:r>
      <w:r>
        <w:rPr>
          <w:rFonts w:hint="eastAsia" w:ascii="仿宋_GB2312" w:hAnsi="Times New Roman" w:eastAsia="仿宋_GB2312"/>
          <w:sz w:val="32"/>
          <w:szCs w:val="32"/>
        </w:rPr>
        <w:t>，面板行业周期调整时将会带来的风险隐患。同时新型显示行业处于价值链中低端，高端的关键设备和材料严重依赖进口。</w:t>
      </w:r>
      <w:r>
        <w:rPr>
          <w:rFonts w:ascii="仿宋_GB2312" w:hAnsi="Times New Roman" w:eastAsia="仿宋_GB2312"/>
          <w:sz w:val="32"/>
          <w:szCs w:val="32"/>
        </w:rPr>
        <w:t>二是</w:t>
      </w:r>
      <w:r>
        <w:rPr>
          <w:rFonts w:hint="eastAsia" w:ascii="仿宋_GB2312" w:hAnsi="Times New Roman" w:eastAsia="仿宋_GB2312"/>
          <w:sz w:val="32"/>
          <w:szCs w:val="32"/>
        </w:rPr>
        <w:t>基础研究和源头创新短板突出，作为综合性国家科学中心的光明尚无建成的国家级重大科技基础设施，世界知名高校科研院所仅有2家，技术转移转化、知识产权服务和科技金融等服务机构缺位，高层次人才缺乏。</w:t>
      </w:r>
      <w:r>
        <w:rPr>
          <w:rFonts w:ascii="仿宋_GB2312" w:hAnsi="Times New Roman" w:eastAsia="仿宋_GB2312"/>
          <w:sz w:val="32"/>
          <w:szCs w:val="32"/>
        </w:rPr>
        <w:t>三是</w:t>
      </w:r>
      <w:r>
        <w:rPr>
          <w:rFonts w:hint="eastAsia" w:ascii="仿宋_GB2312" w:hAnsi="Times New Roman" w:eastAsia="仿宋_GB2312"/>
          <w:sz w:val="32"/>
          <w:szCs w:val="32"/>
        </w:rPr>
        <w:t>产业空间供给低效。产业空间资源日趋紧张，土地利用经济效益不高，产业园区小而散，难以承担优质大项目落地。前瞻性规划和布局引导不够，产城融合亟待破题。</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（二）总体发展思路。</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主要包括指导思想、战略路径和发展目标三个部分。</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w:t>
      </w:r>
      <w:r>
        <w:rPr>
          <w:rFonts w:ascii="仿宋_GB2312" w:hAnsi="黑体" w:eastAsia="仿宋_GB2312"/>
          <w:b/>
          <w:sz w:val="32"/>
          <w:szCs w:val="32"/>
        </w:rPr>
        <w:t>.指导思想</w:t>
      </w:r>
      <w:r>
        <w:rPr>
          <w:rFonts w:hint="eastAsia" w:ascii="仿宋_GB2312" w:hAnsi="黑体" w:eastAsia="仿宋_GB2312"/>
          <w:b/>
          <w:sz w:val="32"/>
          <w:szCs w:val="32"/>
        </w:rPr>
        <w:t>。</w:t>
      </w:r>
      <w:r>
        <w:rPr>
          <w:rFonts w:hint="eastAsia" w:ascii="仿宋_GB2312" w:hAnsi="黑体" w:eastAsia="仿宋_GB2312"/>
          <w:sz w:val="32"/>
          <w:szCs w:val="32"/>
        </w:rPr>
        <w:t>以习近平新时代中国特色社会主义思想为指导，贯彻落实习近平总书记对深圳重要批示指示精神，践行高质量发展要求，打造全球知名的科技引领型现代产业先锋区，为深圳建设社会主义现代化先行示范区贡献力量。</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2.战略路径。</w:t>
      </w:r>
      <w:r>
        <w:rPr>
          <w:rFonts w:hint="eastAsia" w:ascii="仿宋_GB2312" w:hAnsi="黑体" w:eastAsia="仿宋_GB2312"/>
          <w:sz w:val="32"/>
          <w:szCs w:val="32"/>
        </w:rPr>
        <w:t>研究了硅谷、波士顿、北卡三角园等30多个国内外“科学城+产业城”，得出先进城区发展经验如下：从“科学城+产业城”发展经验来看，世界各地的科学城可以分为市场驱动型、中央政府主导型以及地方政府主导型。市场驱动型以美国硅谷为代表，中央政府主导型以日本筑波科学城为代表，主要从事基础知识和技术的创新研究，产业发展较为落后，地方政府主导型以美国北卡三角科学园为代表，主要由北卡州政府发起，推动地区经济转型、增加当地就业，已成为美国仅次于硅谷的第二大城区。美国北卡三角园分为三个发展阶段。起步阶段主要发展烟草、纺织、化学等农业和传统产业；加速阶段主要借助三角园的建立，吸引美国环境卫生研究院和IBM研发总部，围绕这两大机构和周边大学的优势学科，发展生命科学和信息科学；经过三十年的发展进入成熟阶段，集聚近300家全球知名企业研发总部，成为美国最早、规模最大的研发型产业园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光明科学城主要由深圳市政府发起，为我市的产业发展提供高质量源头供给，和美国北卡三角园一样由地方政府主导发起，同时两者具有相似的区位条件、科技资源、发展背景以及产业演进等，可选择美国北卡三角科学园作为对标对象。北卡三角科学园发展经验对光明的启示，一是政府积极引导，“官产学研”协同推进园区高效运作，二是科研以市场为导向，基础研究引领产业发展方向，三是公共研究平台完善，专业服务加速科研成果转移转化，四是产城高度融合，宜居宜业环境集聚高端创新人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基于北卡三角园与光明区的相似之处，通过研究和借鉴发展经验，总结提出光明现代产业中长期发展的战略路径。</w:t>
      </w:r>
      <w:r>
        <w:rPr>
          <w:rFonts w:hint="eastAsia" w:ascii="仿宋_GB2312" w:eastAsia="仿宋_GB2312"/>
          <w:sz w:val="32"/>
          <w:szCs w:val="32"/>
        </w:rPr>
        <w:t>一是原创引领，让“科学”成为光明的符号，打造国际创新知识发源地和前沿技术策源地；二是生态驱动，打破科技与产业“两张皮”，构建“基础研究+技术攻关+成果产业化+科技金融”全过程科技创新生态链，把科技成果转化为先进生产力，打造新经济试验区；三是协同发展，主动融入“国际创新圈”，联合深港科技创新合作区、东莞中子科学城组成优势互补的“创新三角”，打造粤港澳大湾区新兴产业协同发展格局；四是产城融合，构建“三生共融”新生态，率先建成产城融合示范区。</w:t>
      </w:r>
    </w:p>
    <w:p>
      <w:pPr>
        <w:spacing w:line="560" w:lineRule="exact"/>
        <w:ind w:firstLine="643" w:firstLineChars="200"/>
        <w:rPr>
          <w:rFonts w:ascii="仿宋_GB2312" w:hAnsi="黑体" w:eastAsia="仿宋_GB2312"/>
          <w:b/>
          <w:sz w:val="32"/>
          <w:szCs w:val="32"/>
        </w:rPr>
      </w:pPr>
      <w:r>
        <w:rPr>
          <w:rFonts w:ascii="仿宋_GB2312" w:hAnsi="黑体" w:eastAsia="仿宋_GB2312"/>
          <w:b/>
          <w:sz w:val="32"/>
          <w:szCs w:val="32"/>
        </w:rPr>
        <w:t>3</w:t>
      </w:r>
      <w:r>
        <w:rPr>
          <w:rFonts w:hint="eastAsia" w:ascii="仿宋_GB2312" w:hAnsi="黑体" w:eastAsia="仿宋_GB2312"/>
          <w:b/>
          <w:sz w:val="32"/>
          <w:szCs w:val="32"/>
        </w:rPr>
        <w:t>.发展目标。</w:t>
      </w:r>
      <w:r>
        <w:rPr>
          <w:rFonts w:hint="eastAsia" w:ascii="仿宋_GB2312" w:hAnsi="黑体" w:eastAsia="仿宋_GB2312"/>
          <w:sz w:val="32"/>
          <w:szCs w:val="32"/>
        </w:rPr>
        <w:t>立足自身优势和现有基础，顺应世界科技产业发展潮流，借鉴国际一流“科学城+产业城”发展经验，综合考虑光明科学城建设进度，分三步走：到2</w:t>
      </w:r>
      <w:r>
        <w:rPr>
          <w:rFonts w:ascii="仿宋_GB2312" w:hAnsi="黑体" w:eastAsia="仿宋_GB2312"/>
          <w:sz w:val="32"/>
          <w:szCs w:val="32"/>
        </w:rPr>
        <w:t>022年</w:t>
      </w:r>
      <w:r>
        <w:rPr>
          <w:rFonts w:hint="eastAsia" w:ascii="仿宋_GB2312" w:hAnsi="黑体" w:eastAsia="仿宋_GB2312"/>
          <w:sz w:val="32"/>
          <w:szCs w:val="32"/>
        </w:rPr>
        <w:t>，跻身深圳市创新型城区前列；至2025年，成为粤港澳大湾区的区域主引擎；至20</w:t>
      </w:r>
      <w:r>
        <w:rPr>
          <w:rFonts w:ascii="仿宋_GB2312" w:hAnsi="黑体" w:eastAsia="仿宋_GB2312"/>
          <w:sz w:val="32"/>
          <w:szCs w:val="32"/>
        </w:rPr>
        <w:t>3</w:t>
      </w:r>
      <w:r>
        <w:rPr>
          <w:rFonts w:hint="eastAsia" w:ascii="仿宋_GB2312" w:hAnsi="黑体" w:eastAsia="仿宋_GB2312"/>
          <w:sz w:val="32"/>
          <w:szCs w:val="32"/>
        </w:rPr>
        <w:t>5年，全球知名的科技引领型现代产业先锋区。</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（三）重点产业方向。</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《规划》构建以智能产业、新材料、生命科学为主导，以科技服务业、文化旅游业为支撑的“3+1”现代产业体系。</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1.产业重点发展方向遴选原则。</w:t>
      </w:r>
      <w:r>
        <w:rPr>
          <w:rFonts w:hint="eastAsia" w:ascii="仿宋_GB2312" w:hAnsi="黑体" w:eastAsia="仿宋_GB2312"/>
          <w:sz w:val="32"/>
          <w:szCs w:val="32"/>
        </w:rPr>
        <w:t>产业遴选主要考虑四个因素，一是面向世界科技前沿，体现前瞻性；二是坚持优势产业中更优，传统产业平稳腾换，体现包容延续性；三是匹配赋予光明的战略定位，体现与其他区错位发展；四是坚持与大科学装置学科关联，体现“科学城+产业城”。在实际操作上，</w:t>
      </w:r>
      <w:r>
        <w:rPr>
          <w:rFonts w:ascii="仿宋_GB2312" w:hAnsi="黑体" w:eastAsia="仿宋_GB2312"/>
          <w:sz w:val="32"/>
          <w:szCs w:val="32"/>
        </w:rPr>
        <w:t>从宏观</w:t>
      </w:r>
      <w:r>
        <w:rPr>
          <w:rFonts w:hint="eastAsia" w:ascii="仿宋_GB2312" w:hAnsi="黑体" w:eastAsia="仿宋_GB2312"/>
          <w:sz w:val="32"/>
          <w:szCs w:val="32"/>
        </w:rPr>
        <w:t>、</w:t>
      </w:r>
      <w:r>
        <w:rPr>
          <w:rFonts w:ascii="仿宋_GB2312" w:hAnsi="黑体" w:eastAsia="仿宋_GB2312"/>
          <w:sz w:val="32"/>
          <w:szCs w:val="32"/>
        </w:rPr>
        <w:t>中观</w:t>
      </w:r>
      <w:r>
        <w:rPr>
          <w:rFonts w:hint="eastAsia" w:ascii="仿宋_GB2312" w:hAnsi="黑体" w:eastAsia="仿宋_GB2312"/>
          <w:sz w:val="32"/>
          <w:szCs w:val="32"/>
        </w:rPr>
        <w:t>、微观三个层面分析，主要从</w:t>
      </w:r>
      <w:r>
        <w:rPr>
          <w:rFonts w:ascii="仿宋_GB2312" w:hAnsi="黑体" w:eastAsia="仿宋_GB2312"/>
          <w:sz w:val="32"/>
          <w:szCs w:val="32"/>
        </w:rPr>
        <w:t>技术发展趋势</w:t>
      </w:r>
      <w:r>
        <w:rPr>
          <w:rFonts w:hint="eastAsia" w:ascii="仿宋_GB2312" w:hAnsi="黑体" w:eastAsia="仿宋_GB2312"/>
          <w:sz w:val="32"/>
          <w:szCs w:val="32"/>
        </w:rPr>
        <w:t>、国家战略规划、</w:t>
      </w:r>
      <w:r>
        <w:rPr>
          <w:rFonts w:ascii="仿宋_GB2312" w:hAnsi="黑体" w:eastAsia="仿宋_GB2312"/>
          <w:sz w:val="32"/>
          <w:szCs w:val="32"/>
        </w:rPr>
        <w:t>区域协同发展</w:t>
      </w:r>
      <w:r>
        <w:rPr>
          <w:rFonts w:hint="eastAsia" w:ascii="仿宋_GB2312" w:hAnsi="黑体" w:eastAsia="仿宋_GB2312"/>
          <w:sz w:val="32"/>
          <w:szCs w:val="32"/>
        </w:rPr>
        <w:t>、</w:t>
      </w:r>
      <w:r>
        <w:rPr>
          <w:rFonts w:ascii="仿宋_GB2312" w:hAnsi="黑体" w:eastAsia="仿宋_GB2312"/>
          <w:sz w:val="32"/>
          <w:szCs w:val="32"/>
        </w:rPr>
        <w:t>光明产业基础</w:t>
      </w:r>
      <w:r>
        <w:rPr>
          <w:rFonts w:hint="eastAsia" w:ascii="仿宋_GB2312" w:hAnsi="黑体" w:eastAsia="仿宋_GB2312"/>
          <w:sz w:val="32"/>
          <w:szCs w:val="32"/>
        </w:rPr>
        <w:t>、重大科技基础设施关联产业分析</w:t>
      </w:r>
      <w:r>
        <w:rPr>
          <w:rFonts w:ascii="仿宋_GB2312" w:hAnsi="黑体" w:eastAsia="仿宋_GB2312"/>
          <w:sz w:val="32"/>
          <w:szCs w:val="32"/>
        </w:rPr>
        <w:t>及产城融合等</w:t>
      </w:r>
      <w:r>
        <w:rPr>
          <w:rFonts w:hint="eastAsia" w:ascii="仿宋_GB2312" w:hAnsi="黑体" w:eastAsia="仿宋_GB2312"/>
          <w:sz w:val="32"/>
          <w:szCs w:val="32"/>
        </w:rPr>
        <w:t>六</w:t>
      </w:r>
      <w:r>
        <w:rPr>
          <w:rFonts w:ascii="仿宋_GB2312" w:hAnsi="黑体" w:eastAsia="仿宋_GB2312"/>
          <w:sz w:val="32"/>
          <w:szCs w:val="32"/>
        </w:rPr>
        <w:t>个维度对产业重点发展方向进行了遴选</w:t>
      </w:r>
      <w:r>
        <w:rPr>
          <w:rFonts w:hint="eastAsia" w:ascii="仿宋_GB2312" w:hAnsi="黑体" w:eastAsia="仿宋_GB2312"/>
          <w:sz w:val="32"/>
          <w:szCs w:val="32"/>
        </w:rPr>
        <w:t>。通过多维度评价，坚持“优势优先、新兴培育、提质增效”的产业发展原则，构建以智能产业、新材料、生命科学产业为主导，以科技服务业、文化旅游业为特色服务的“3+1”现代产业体系。</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2</w:t>
      </w:r>
      <w:r>
        <w:rPr>
          <w:rFonts w:ascii="仿宋_GB2312" w:hAnsi="黑体" w:eastAsia="仿宋_GB2312"/>
          <w:b/>
          <w:sz w:val="32"/>
          <w:szCs w:val="32"/>
        </w:rPr>
        <w:t>.智能产业</w:t>
      </w:r>
      <w:r>
        <w:rPr>
          <w:rFonts w:hint="eastAsia" w:ascii="仿宋_GB2312" w:hAnsi="黑体" w:eastAsia="仿宋_GB2312"/>
          <w:b/>
          <w:sz w:val="32"/>
          <w:szCs w:val="32"/>
        </w:rPr>
        <w:t>。</w:t>
      </w:r>
      <w:r>
        <w:rPr>
          <w:rFonts w:hint="eastAsia" w:ascii="仿宋_GB2312" w:hAnsi="黑体" w:eastAsia="仿宋_GB2312"/>
          <w:sz w:val="32"/>
          <w:szCs w:val="32"/>
        </w:rPr>
        <w:t>智能产业这个词最早出现在国家科技创新十三五规划中，习</w:t>
      </w:r>
      <w:r>
        <w:rPr>
          <w:rFonts w:hint="eastAsia" w:ascii="仿宋_GB2312" w:hAnsi="黑体" w:eastAsia="仿宋_GB2312"/>
          <w:sz w:val="32"/>
          <w:szCs w:val="32"/>
          <w:lang w:val="en-US" w:eastAsia="zh-CN"/>
        </w:rPr>
        <w:t>近平</w:t>
      </w:r>
      <w:bookmarkStart w:id="0" w:name="_GoBack"/>
      <w:bookmarkEnd w:id="0"/>
      <w:r>
        <w:rPr>
          <w:rFonts w:hint="eastAsia" w:ascii="仿宋_GB2312" w:hAnsi="黑体" w:eastAsia="仿宋_GB2312"/>
          <w:sz w:val="32"/>
          <w:szCs w:val="32"/>
        </w:rPr>
        <w:t>总书记在给2019中国国际智能产业博览会的贺信中指出“智能产业快速发展，对经济发展、社会进步、全球治理等方面产生重大而深远的影响”。</w:t>
      </w:r>
      <w:r>
        <w:rPr>
          <w:rFonts w:hint="eastAsia" w:ascii="仿宋_GB2312" w:eastAsia="仿宋_GB2312"/>
          <w:sz w:val="32"/>
          <w:szCs w:val="32"/>
        </w:rPr>
        <w:t>《中共中央 国务院关于支持深圳建设中国特色社会主义先行示范区的意见》</w:t>
      </w:r>
      <w:r>
        <w:rPr>
          <w:rFonts w:hint="eastAsia" w:ascii="仿宋_GB2312" w:hAnsi="黑体" w:eastAsia="仿宋_GB2312"/>
          <w:sz w:val="32"/>
          <w:szCs w:val="32"/>
        </w:rPr>
        <w:t>也提出要发展智能经济。基于对信息技术产业从“信息化到数字化、再到智能化”的发展趋势研判，为进一步凸显光明产业特色和包容性，《规划》给智能产业下了个定义，即基于人工智能、5G、物联网等新兴技术，以“智能”为特征的下一代信息技术产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光明的产业基础，建议智能产业重点发展人工智能、下一代移动通信、柔性电子、新型显示和前沿技术五个领域。其中人工智能和下一代移动通信是智能产业引领性领域，并且已列入党代会报告，应该抢先布局。新型显示是光明的优势产业，下一步应继续做大做强；柔性电子是未来新兴发展领域，光明区有显示面板产业奠定的优良基础，可以抢占柔性电子产业发展制高点；考虑到规划期限较长，列入了前沿技术一项，增加规划的前瞻性。</w:t>
      </w:r>
    </w:p>
    <w:p>
      <w:pPr>
        <w:spacing w:line="560" w:lineRule="exact"/>
        <w:ind w:firstLine="640" w:firstLineChars="200"/>
        <w:rPr>
          <w:rFonts w:ascii="仿宋_GB2312" w:hAnsi="黑体" w:eastAsia="仿宋_GB2312"/>
          <w:b/>
          <w:sz w:val="32"/>
          <w:szCs w:val="32"/>
        </w:rPr>
      </w:pPr>
      <w:r>
        <w:rPr>
          <w:rFonts w:hint="eastAsia" w:ascii="仿宋_GB2312" w:hAnsi="黑体" w:eastAsia="仿宋_GB2312"/>
          <w:sz w:val="32"/>
          <w:szCs w:val="32"/>
        </w:rPr>
        <w:t>《规划》制定了职能产业发展路线图，</w:t>
      </w:r>
      <w:r>
        <w:rPr>
          <w:rFonts w:ascii="仿宋_GB2312" w:hAnsi="黑体" w:eastAsia="仿宋_GB2312"/>
          <w:sz w:val="32"/>
          <w:szCs w:val="32"/>
        </w:rPr>
        <w:t>分两个阶段六大任务发展智能产业</w:t>
      </w:r>
      <w:r>
        <w:rPr>
          <w:rFonts w:hint="eastAsia" w:ascii="仿宋_GB2312" w:hAnsi="黑体" w:eastAsia="仿宋_GB2312"/>
          <w:sz w:val="32"/>
          <w:szCs w:val="32"/>
        </w:rPr>
        <w:t>。第一个阶段建设粤港澳大湾区智能产业发展先导区，包括开展智能制造示范应用、打造人工智能产业研发集聚地、规划布局</w:t>
      </w:r>
      <w:r>
        <w:rPr>
          <w:rFonts w:ascii="仿宋_GB2312" w:hAnsi="黑体" w:eastAsia="仿宋_GB2312"/>
          <w:sz w:val="32"/>
          <w:szCs w:val="32"/>
        </w:rPr>
        <w:t>数字</w:t>
      </w:r>
      <w:r>
        <w:rPr>
          <w:rFonts w:hint="eastAsia" w:ascii="仿宋_GB2312" w:hAnsi="黑体" w:eastAsia="仿宋_GB2312"/>
          <w:sz w:val="32"/>
          <w:szCs w:val="32"/>
        </w:rPr>
        <w:t>基础设施及抢先建设5G应用先导区四大任务；第二阶段建设国际知名的智能产业发展高地，包括建设柔性电子产业基地和构筑智能产业前沿技术策源区两大任务。</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3</w:t>
      </w:r>
      <w:r>
        <w:rPr>
          <w:rFonts w:ascii="仿宋_GB2312" w:hAnsi="黑体" w:eastAsia="仿宋_GB2312"/>
          <w:b/>
          <w:sz w:val="32"/>
          <w:szCs w:val="32"/>
        </w:rPr>
        <w:t>.新材料产业</w:t>
      </w:r>
      <w:r>
        <w:rPr>
          <w:rFonts w:hint="eastAsia" w:ascii="仿宋_GB2312" w:hAnsi="黑体" w:eastAsia="仿宋_GB2312"/>
          <w:b/>
          <w:sz w:val="32"/>
          <w:szCs w:val="32"/>
        </w:rPr>
        <w:t>。</w:t>
      </w:r>
      <w:r>
        <w:rPr>
          <w:rFonts w:hint="eastAsia" w:ascii="仿宋_GB2312" w:hAnsi="黑体" w:eastAsia="仿宋_GB2312"/>
          <w:sz w:val="32"/>
          <w:szCs w:val="32"/>
        </w:rPr>
        <w:t>基于光明材料产业发展基础和布局的材料领域大科学装置，顺应当前全球新材料产业发展趋势，继续做大做强优势材料，大力发展关键战略材料，布局发展前沿材料，搭建新材料测试评价平台和技术转化平台，推动新材料在下游产业的示范应用，建成全国新材料创新应用示范基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基于新材料产业发展趋势、光明区发展基础以及科学中心建设进度，选定了三个领域九个重点方向，并绘制了产业发展路线图。</w:t>
      </w:r>
      <w:r>
        <w:rPr>
          <w:rFonts w:ascii="仿宋_GB2312" w:hAnsi="黑体" w:eastAsia="仿宋_GB2312"/>
          <w:sz w:val="32"/>
          <w:szCs w:val="32"/>
        </w:rPr>
        <w:t>其中优势材料领域包括</w:t>
      </w:r>
      <w:r>
        <w:rPr>
          <w:rFonts w:hint="eastAsia" w:ascii="仿宋_GB2312" w:hAnsi="黑体" w:eastAsia="仿宋_GB2312"/>
          <w:sz w:val="32"/>
          <w:szCs w:val="32"/>
        </w:rPr>
        <w:t>新型显示材料、锂离子电池关键材料、合金材料等三方面，建议优先发展；依托光明科学城创新优势，聚焦碳纤维复合材料、第三代半导体材料、氢燃料电池关键材料、节能环保等四个战略材料，突破产业发展的关键核心技术和卡脖子技术；前瞻布局石墨烯二维材料和3</w:t>
      </w:r>
      <w:r>
        <w:rPr>
          <w:rFonts w:ascii="仿宋_GB2312" w:hAnsi="黑体" w:eastAsia="仿宋_GB2312"/>
          <w:sz w:val="32"/>
          <w:szCs w:val="32"/>
        </w:rPr>
        <w:t>D打印材料等前沿材料的技术攻关和产业化应用</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b/>
          <w:sz w:val="32"/>
          <w:szCs w:val="32"/>
        </w:rPr>
      </w:pPr>
      <w:r>
        <w:rPr>
          <w:rFonts w:ascii="仿宋_GB2312" w:hAnsi="黑体" w:eastAsia="仿宋_GB2312"/>
          <w:sz w:val="32"/>
          <w:szCs w:val="32"/>
        </w:rPr>
        <w:t>重点任务</w:t>
      </w:r>
      <w:r>
        <w:rPr>
          <w:rFonts w:hint="eastAsia" w:ascii="仿宋_GB2312" w:hAnsi="黑体" w:eastAsia="仿宋_GB2312"/>
          <w:sz w:val="32"/>
          <w:szCs w:val="32"/>
        </w:rPr>
        <w:t>主要</w:t>
      </w:r>
      <w:r>
        <w:rPr>
          <w:rFonts w:ascii="仿宋_GB2312" w:hAnsi="黑体" w:eastAsia="仿宋_GB2312"/>
          <w:sz w:val="32"/>
          <w:szCs w:val="32"/>
        </w:rPr>
        <w:t>包括建设新材料</w:t>
      </w:r>
      <w:r>
        <w:rPr>
          <w:rFonts w:hint="eastAsia" w:ascii="仿宋_GB2312" w:hAnsi="黑体" w:eastAsia="仿宋_GB2312"/>
          <w:sz w:val="32"/>
          <w:szCs w:val="32"/>
        </w:rPr>
        <w:t>测试</w:t>
      </w:r>
      <w:r>
        <w:rPr>
          <w:rFonts w:ascii="仿宋_GB2312" w:hAnsi="黑体" w:eastAsia="仿宋_GB2312"/>
          <w:sz w:val="32"/>
          <w:szCs w:val="32"/>
        </w:rPr>
        <w:t>评价平台</w:t>
      </w:r>
      <w:r>
        <w:rPr>
          <w:rFonts w:hint="eastAsia" w:ascii="仿宋_GB2312" w:hAnsi="黑体" w:eastAsia="仿宋_GB2312"/>
          <w:sz w:val="32"/>
          <w:szCs w:val="32"/>
        </w:rPr>
        <w:t>、建设</w:t>
      </w:r>
      <w:r>
        <w:rPr>
          <w:rFonts w:ascii="仿宋_GB2312" w:hAnsi="黑体" w:eastAsia="仿宋_GB2312"/>
          <w:sz w:val="32"/>
          <w:szCs w:val="32"/>
        </w:rPr>
        <w:t>技术成果转化平台</w:t>
      </w:r>
      <w:r>
        <w:rPr>
          <w:rFonts w:hint="eastAsia" w:ascii="仿宋_GB2312" w:hAnsi="黑体" w:eastAsia="仿宋_GB2312"/>
          <w:sz w:val="32"/>
          <w:szCs w:val="32"/>
        </w:rPr>
        <w:t>、</w:t>
      </w:r>
      <w:r>
        <w:rPr>
          <w:rFonts w:ascii="仿宋_GB2312" w:hAnsi="黑体" w:eastAsia="仿宋_GB2312"/>
          <w:sz w:val="32"/>
          <w:szCs w:val="32"/>
        </w:rPr>
        <w:t>推动新材料产品示范应用及开展新材料应用保险补偿机制试点</w:t>
      </w:r>
      <w:r>
        <w:rPr>
          <w:rFonts w:hint="eastAsia" w:ascii="仿宋_GB2312" w:hAnsi="黑体" w:eastAsia="仿宋_GB2312"/>
          <w:sz w:val="32"/>
          <w:szCs w:val="32"/>
        </w:rPr>
        <w:t>，</w:t>
      </w:r>
      <w:r>
        <w:rPr>
          <w:rFonts w:ascii="仿宋_GB2312" w:hAnsi="黑体" w:eastAsia="仿宋_GB2312"/>
          <w:sz w:val="32"/>
          <w:szCs w:val="32"/>
        </w:rPr>
        <w:t>打造全国新材料创新应用示范基地</w:t>
      </w:r>
      <w:r>
        <w:rPr>
          <w:rFonts w:hint="eastAsia" w:ascii="仿宋_GB2312" w:hAnsi="黑体" w:eastAsia="仿宋_GB2312"/>
          <w:sz w:val="32"/>
          <w:szCs w:val="32"/>
        </w:rPr>
        <w:t>。</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4</w:t>
      </w:r>
      <w:r>
        <w:rPr>
          <w:rFonts w:ascii="仿宋_GB2312" w:hAnsi="黑体" w:eastAsia="仿宋_GB2312"/>
          <w:b/>
          <w:sz w:val="32"/>
          <w:szCs w:val="32"/>
        </w:rPr>
        <w:t>.</w:t>
      </w:r>
      <w:r>
        <w:rPr>
          <w:rFonts w:hint="eastAsia" w:ascii="仿宋_GB2312" w:hAnsi="黑体" w:eastAsia="仿宋_GB2312"/>
          <w:b/>
          <w:sz w:val="32"/>
          <w:szCs w:val="32"/>
        </w:rPr>
        <w:t>生命科学</w:t>
      </w:r>
      <w:r>
        <w:rPr>
          <w:rFonts w:ascii="仿宋_GB2312" w:hAnsi="黑体" w:eastAsia="仿宋_GB2312"/>
          <w:b/>
          <w:sz w:val="32"/>
          <w:szCs w:val="32"/>
        </w:rPr>
        <w:t>产业</w:t>
      </w:r>
      <w:r>
        <w:rPr>
          <w:rFonts w:hint="eastAsia" w:ascii="仿宋_GB2312" w:hAnsi="黑体" w:eastAsia="仿宋_GB2312"/>
          <w:b/>
          <w:sz w:val="32"/>
          <w:szCs w:val="32"/>
        </w:rPr>
        <w:t>。</w:t>
      </w:r>
      <w:r>
        <w:rPr>
          <w:rFonts w:hint="eastAsia" w:ascii="仿宋_GB2312" w:hAnsi="黑体" w:eastAsia="仿宋_GB2312"/>
          <w:sz w:val="32"/>
          <w:szCs w:val="32"/>
        </w:rPr>
        <w:t>考虑到光明区生命科学领域的重大科技基础设施集群、中山大学·深圳等高校优势学科、中大七院和国科大深圳医院等研究型医院，基于现代生物技术、医学大数据、人工智能等前沿技术，以</w:t>
      </w:r>
      <w:r>
        <w:rPr>
          <w:rFonts w:ascii="仿宋_GB2312" w:hAnsi="黑体" w:eastAsia="仿宋_GB2312"/>
          <w:sz w:val="32"/>
          <w:szCs w:val="32"/>
        </w:rPr>
        <w:t>BT+IT跨界融合为特征的新兴业态，借鉴英国生命科学办公室发布《生命科学产业战略》</w:t>
      </w:r>
      <w:r>
        <w:rPr>
          <w:rFonts w:hint="eastAsia" w:ascii="仿宋_GB2312" w:hAnsi="黑体" w:eastAsia="仿宋_GB2312"/>
          <w:sz w:val="32"/>
          <w:szCs w:val="32"/>
        </w:rPr>
        <w:t>，以及欧盟也制定了《欧盟生命科学和生物产业发展战略》</w:t>
      </w:r>
      <w:r>
        <w:rPr>
          <w:rFonts w:ascii="仿宋_GB2312" w:hAnsi="黑体" w:eastAsia="仿宋_GB2312"/>
          <w:sz w:val="32"/>
          <w:szCs w:val="32"/>
        </w:rPr>
        <w:t>，同时考虑与坪山生物医药产业错位发展</w:t>
      </w:r>
      <w:r>
        <w:rPr>
          <w:rFonts w:hint="eastAsia" w:ascii="仿宋_GB2312" w:hAnsi="黑体" w:eastAsia="仿宋_GB2312"/>
          <w:sz w:val="32"/>
          <w:szCs w:val="32"/>
        </w:rPr>
        <w:t>，研究提出发展生命科学产业，承接未来光明科学城生命科学的成果转化，打造粤港澳大湾区生命科学产业尖端创新策源地。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生命科学产业发展趋势、光明区发展基础以及科学中心建设进度，选定了六个领域九个重点方向，并绘制了产业发展路线图。其中六大领域包括生物制药、生物医学工程、医药CRO、精准医疗、数字生命、前沿技术。基于目前光明区生物医药产业基础，优先发展生物制药和生物医学工程，引进全球顶尖生物医药企业做大做强。借助光明科学城重点发展生命科学的契机，布局医药C</w:t>
      </w:r>
      <w:r>
        <w:rPr>
          <w:rFonts w:ascii="仿宋_GB2312" w:hAnsi="黑体" w:eastAsia="仿宋_GB2312"/>
          <w:sz w:val="32"/>
          <w:szCs w:val="32"/>
        </w:rPr>
        <w:t>RO</w:t>
      </w:r>
      <w:r>
        <w:rPr>
          <w:rFonts w:hint="eastAsia" w:ascii="仿宋_GB2312" w:hAnsi="黑体" w:eastAsia="仿宋_GB2312"/>
          <w:sz w:val="32"/>
          <w:szCs w:val="32"/>
        </w:rPr>
        <w:t>、</w:t>
      </w:r>
      <w:r>
        <w:rPr>
          <w:rFonts w:ascii="仿宋_GB2312" w:hAnsi="黑体" w:eastAsia="仿宋_GB2312"/>
          <w:sz w:val="32"/>
          <w:szCs w:val="32"/>
        </w:rPr>
        <w:t>精准医疗</w:t>
      </w:r>
      <w:r>
        <w:rPr>
          <w:rFonts w:hint="eastAsia" w:ascii="仿宋_GB2312" w:hAnsi="黑体" w:eastAsia="仿宋_GB2312"/>
          <w:sz w:val="32"/>
          <w:szCs w:val="32"/>
        </w:rPr>
        <w:t>、</w:t>
      </w:r>
      <w:r>
        <w:rPr>
          <w:rFonts w:ascii="仿宋_GB2312" w:hAnsi="黑体" w:eastAsia="仿宋_GB2312"/>
          <w:sz w:val="32"/>
          <w:szCs w:val="32"/>
        </w:rPr>
        <w:t>数字生命等产业</w:t>
      </w:r>
      <w:r>
        <w:rPr>
          <w:rFonts w:hint="eastAsia" w:ascii="仿宋_GB2312" w:hAnsi="黑体" w:eastAsia="仿宋_GB2312"/>
          <w:sz w:val="32"/>
          <w:szCs w:val="32"/>
        </w:rPr>
        <w:t>，</w:t>
      </w:r>
      <w:r>
        <w:rPr>
          <w:rFonts w:ascii="仿宋_GB2312" w:hAnsi="黑体" w:eastAsia="仿宋_GB2312"/>
          <w:sz w:val="32"/>
          <w:szCs w:val="32"/>
        </w:rPr>
        <w:t>培育生命科学产业集群</w:t>
      </w:r>
      <w:r>
        <w:rPr>
          <w:rFonts w:hint="eastAsia" w:ascii="仿宋_GB2312" w:hAnsi="黑体" w:eastAsia="仿宋_GB2312"/>
          <w:sz w:val="32"/>
          <w:szCs w:val="32"/>
        </w:rPr>
        <w:t>。</w:t>
      </w:r>
      <w:r>
        <w:rPr>
          <w:rFonts w:ascii="仿宋_GB2312" w:hAnsi="黑体" w:eastAsia="仿宋_GB2312"/>
          <w:sz w:val="32"/>
          <w:szCs w:val="32"/>
        </w:rPr>
        <w:t>同时</w:t>
      </w:r>
      <w:r>
        <w:rPr>
          <w:rFonts w:hint="eastAsia" w:ascii="仿宋_GB2312" w:hAnsi="黑体" w:eastAsia="仿宋_GB2312"/>
          <w:sz w:val="32"/>
          <w:szCs w:val="32"/>
        </w:rPr>
        <w:t>根据未来光明科学城的科研成果，积极推动前沿技术落地转化。</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重点任务分成两个阶段</w:t>
      </w:r>
      <w:r>
        <w:rPr>
          <w:rFonts w:hint="eastAsia" w:ascii="仿宋_GB2312" w:hAnsi="黑体" w:eastAsia="仿宋_GB2312"/>
          <w:sz w:val="32"/>
          <w:szCs w:val="32"/>
        </w:rPr>
        <w:t>，</w:t>
      </w:r>
      <w:r>
        <w:rPr>
          <w:rFonts w:ascii="仿宋_GB2312" w:hAnsi="黑体" w:eastAsia="仿宋_GB2312"/>
          <w:sz w:val="32"/>
          <w:szCs w:val="32"/>
        </w:rPr>
        <w:t>第一阶段</w:t>
      </w:r>
      <w:r>
        <w:rPr>
          <w:rFonts w:hint="eastAsia" w:ascii="仿宋_GB2312" w:hAnsi="黑体" w:eastAsia="仿宋_GB2312"/>
          <w:sz w:val="32"/>
          <w:szCs w:val="32"/>
        </w:rPr>
        <w:t>通过建设公共实验服务平台、临床研究基地、动物实验中心和组建医学影像技术联合研发平台，打造国际一流的临床转化基地；第二阶段通过培育医药CRO产业集群和建设体外诊断样本库公共平台，打造粤港澳大湾区生命科学产业尖端创新策源地。</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5</w:t>
      </w:r>
      <w:r>
        <w:rPr>
          <w:rFonts w:ascii="仿宋_GB2312" w:hAnsi="黑体" w:eastAsia="仿宋_GB2312"/>
          <w:b/>
          <w:sz w:val="32"/>
          <w:szCs w:val="32"/>
        </w:rPr>
        <w:t>.</w:t>
      </w:r>
      <w:r>
        <w:rPr>
          <w:rFonts w:hint="eastAsia" w:ascii="仿宋_GB2312" w:hAnsi="黑体" w:eastAsia="仿宋_GB2312"/>
          <w:b/>
          <w:sz w:val="32"/>
          <w:szCs w:val="32"/>
        </w:rPr>
        <w:t>特色</w:t>
      </w:r>
      <w:r>
        <w:rPr>
          <w:rFonts w:ascii="仿宋_GB2312" w:hAnsi="黑体" w:eastAsia="仿宋_GB2312"/>
          <w:b/>
          <w:sz w:val="32"/>
          <w:szCs w:val="32"/>
        </w:rPr>
        <w:t>服务产业</w:t>
      </w:r>
      <w:r>
        <w:rPr>
          <w:rFonts w:hint="eastAsia" w:ascii="仿宋_GB2312" w:hAnsi="黑体" w:eastAsia="仿宋_GB2312"/>
          <w:b/>
          <w:sz w:val="32"/>
          <w:szCs w:val="32"/>
        </w:rPr>
        <w:t>。</w:t>
      </w:r>
      <w:r>
        <w:rPr>
          <w:rFonts w:hint="eastAsia" w:ascii="仿宋_GB2312" w:hAnsi="黑体" w:eastAsia="仿宋_GB2312"/>
          <w:sz w:val="32"/>
          <w:szCs w:val="32"/>
        </w:rPr>
        <w:t>重点发展科技服务业和旅游业两大生态配套产业。以满足科技创新需求和提升产业创新能力为导向，构建覆盖全链条的科技服务体系，成为粤港澳大湾区科技服务领跑者；以满足人民对美好生活的向往为导向，打造“科学+文化+旅游”的特色旅游示范区，重点发展科技服务业和文化旅游业两大生态配套产业。其中科技服务业重点发展科技金融，在硅谷、波士顿等以科技创新为区域发展战略的地区，科技金融是推动科技产业快速发展的有力助推器。未来光明将产生大量原创科研成果，应旗帜鲜明地发展科技金融，将金融作为创新发展的助推工具，服务科技产业发展。</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（四）关键要素提升工程。</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为构建光明产业发展的“四梁八柱”，搭建“科技创新、成果产业化、科技金融”全链条的创新生态，汇聚知识、技术、人才、资金、空间等五个关键要素，提出高标准实施创新能力强基、转化平台支撑、国际协同发展、产业空间挖潜及头雁领航人才工程等</w:t>
      </w:r>
      <w:r>
        <w:rPr>
          <w:rFonts w:ascii="仿宋_GB2312" w:hAnsi="黑体" w:eastAsia="仿宋_GB2312"/>
          <w:sz w:val="32"/>
          <w:szCs w:val="32"/>
        </w:rPr>
        <w:t>5</w:t>
      </w:r>
      <w:r>
        <w:rPr>
          <w:rFonts w:hint="eastAsia" w:ascii="仿宋_GB2312" w:hAnsi="黑体" w:eastAsia="仿宋_GB2312"/>
          <w:sz w:val="32"/>
          <w:szCs w:val="32"/>
        </w:rPr>
        <w:t>大关键要素提升工程。</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1.创新能力强基工程。</w:t>
      </w:r>
      <w:r>
        <w:rPr>
          <w:rFonts w:hint="eastAsia" w:ascii="仿宋_GB2312" w:hAnsi="黑体" w:eastAsia="仿宋_GB2312"/>
          <w:sz w:val="32"/>
          <w:szCs w:val="32"/>
        </w:rPr>
        <w:t>基本思路是发挥企业的主体作用，依托香港科研能力和国际化优势，以布局世界级重大科技基础设施集群为核心，圈层布局建设国际一流大学和科研院所、应用技术开发研究院、光明科学城大数据中心，携手建设市场化、国际化的综合性国家科学中心，为产业发展提供高质量源头供给。</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2.转化平台支撑工程</w:t>
      </w:r>
      <w:r>
        <w:rPr>
          <w:rFonts w:hint="eastAsia" w:ascii="仿宋_GB2312" w:hAnsi="黑体" w:eastAsia="仿宋_GB2312"/>
          <w:sz w:val="32"/>
          <w:szCs w:val="32"/>
        </w:rPr>
        <w:t>。基本思路是以产业应用为导向，围绕智能产业、新材料、生命科学等重点领域，构建覆盖“研究开发、成果应用与推广、标准研究与制定”全链条转化支撑体系，超前谋划产业基础设施集群、引进培育一批生产性服务业公共服务平台、设立光明科技创新基金、组建光明国际技术转移中心、支持香港高校建设技术转移实验室以及设立深港创新创业发展基地，推动光明科学城创新成果加速产业化。</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3.国际协同发展工程。</w:t>
      </w:r>
      <w:r>
        <w:rPr>
          <w:rFonts w:hint="eastAsia" w:ascii="仿宋_GB2312" w:hAnsi="黑体" w:eastAsia="仿宋_GB2312"/>
          <w:sz w:val="32"/>
          <w:szCs w:val="32"/>
        </w:rPr>
        <w:t>基本思路是携手国际先进城市、周边产业大区和科技强区，联合港澳高校、科研院所和行业龙头企业，拓展国际科技产业创新合作的深度与广度。设立跨境产业专项资金、构建产业技术创新战略联盟、建设香港科学园光明分园及组建中国科学院文献情报中心粤港澳分中心，构建区域科技产业创新发展共同体。</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4.产业空间挖潜工程。</w:t>
      </w:r>
      <w:r>
        <w:rPr>
          <w:rFonts w:hint="eastAsia" w:ascii="仿宋_GB2312" w:hAnsi="黑体" w:eastAsia="仿宋_GB2312"/>
          <w:sz w:val="32"/>
          <w:szCs w:val="32"/>
        </w:rPr>
        <w:t>基本思路是充分盘活存量、优化增量土地资源，建立“飞地”产业园、探索“政企村”联合开发模式、开展城市立体空间综合开发试点及探索建立土地效益评估机制，破解区内产业空间日趋紧缺的瓶颈，打造功能完善的科学新城和宜居宜业的产业新城。</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5.头雁领航人才工程。</w:t>
      </w:r>
      <w:r>
        <w:rPr>
          <w:rFonts w:hint="eastAsia" w:ascii="仿宋_GB2312" w:hAnsi="黑体" w:eastAsia="仿宋_GB2312"/>
          <w:sz w:val="32"/>
          <w:szCs w:val="32"/>
        </w:rPr>
        <w:t>基本思路是基于光明科学城建设和产业发展的人才需求，新增“头雁领航”人才政策、组建院士创新研究院、组建国际学术交流中心及打造光明高端人才国际社区，增强对国际高端人才的“吸引因子”。</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（五）产业空间布局。</w:t>
      </w:r>
    </w:p>
    <w:p>
      <w:pPr>
        <w:spacing w:line="56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根据产业发展空间需求，按照“区域协同、集群发展、生态先行、交通支撑”四个空间布局思路，以营造生态型产业空间与推动“产城融合”为导向，构建了“一廊、三区、五集群”的总体空间布局。</w:t>
      </w:r>
    </w:p>
    <w:p>
      <w:pPr>
        <w:spacing w:line="560" w:lineRule="exact"/>
        <w:ind w:firstLine="643" w:firstLineChars="200"/>
        <w:rPr>
          <w:rFonts w:ascii="仿宋_GB2312" w:hAnsi="黑体" w:eastAsia="仿宋_GB2312" w:cstheme="minorBidi"/>
          <w:sz w:val="32"/>
          <w:szCs w:val="32"/>
        </w:rPr>
      </w:pPr>
      <w:r>
        <w:rPr>
          <w:rFonts w:hint="eastAsia" w:ascii="仿宋_GB2312" w:hAnsi="黑体" w:eastAsia="仿宋_GB2312" w:cstheme="minorBidi"/>
          <w:b/>
          <w:sz w:val="32"/>
          <w:szCs w:val="32"/>
        </w:rPr>
        <w:t>“一廊”</w:t>
      </w:r>
      <w:r>
        <w:rPr>
          <w:rFonts w:hint="eastAsia" w:ascii="仿宋_GB2312" w:hAnsi="黑体" w:eastAsia="仿宋_GB2312" w:cstheme="minorBidi"/>
          <w:sz w:val="32"/>
          <w:szCs w:val="32"/>
        </w:rPr>
        <w:t>即打造龙大科技创新发展走廊。从湾区层面来看，龙大高速南联香港、北接东莞、广州等湾区主要城市，可以有效对接香港科技、金融及专业服务，同时加强湾区其他城市间的产业协同发展；从光明区层面来看，龙大高速市政化改造后，实现大湾区城市与光明区要素的互联互通，如香港科学家可以到科技创新区从事科研活动，市中心区的科技金融、法律等可以到成果转化区开展专业服务等。</w:t>
      </w:r>
    </w:p>
    <w:p>
      <w:pPr>
        <w:spacing w:line="560" w:lineRule="exact"/>
        <w:ind w:firstLine="643" w:firstLineChars="200"/>
        <w:rPr>
          <w:rFonts w:ascii="仿宋_GB2312" w:hAnsi="黑体" w:eastAsia="仿宋_GB2312" w:cstheme="minorBidi"/>
          <w:sz w:val="32"/>
          <w:szCs w:val="32"/>
        </w:rPr>
      </w:pPr>
      <w:r>
        <w:rPr>
          <w:rFonts w:hint="eastAsia" w:ascii="仿宋_GB2312" w:hAnsi="黑体" w:eastAsia="仿宋_GB2312" w:cstheme="minorBidi"/>
          <w:b/>
          <w:sz w:val="32"/>
          <w:szCs w:val="32"/>
        </w:rPr>
        <w:t>“三区”</w:t>
      </w:r>
      <w:r>
        <w:rPr>
          <w:rFonts w:hint="eastAsia" w:ascii="仿宋_GB2312" w:hAnsi="黑体" w:eastAsia="仿宋_GB2312" w:cstheme="minorBidi"/>
          <w:sz w:val="32"/>
          <w:szCs w:val="32"/>
        </w:rPr>
        <w:t>即科技创新区、成果转化区和产业发展区，构建“东创、中转、西产”相互协作、相互支撑的功能布局。科技创新区的规划范围主要基于现状有重大科技基础设施集群、中山大学·深圳等科教资源，以及相关上位规划。成果转化区的规划范围主要基于现状有华强创意园、招商智慧园等产业用房、光明高铁站等。产业发展区的规划范围主要基于现状已有的以华星光电为代表的智能产业、以贝特瑞为代表的新材料产业和以迈瑞为代表的生命科学产业。</w:t>
      </w:r>
    </w:p>
    <w:p>
      <w:pPr>
        <w:spacing w:line="560" w:lineRule="exact"/>
        <w:ind w:firstLine="643" w:firstLineChars="200"/>
        <w:rPr>
          <w:rFonts w:ascii="楷体" w:hAnsi="楷体" w:eastAsia="楷体" w:cstheme="minorBidi"/>
          <w:b/>
          <w:sz w:val="32"/>
          <w:szCs w:val="32"/>
        </w:rPr>
      </w:pPr>
      <w:r>
        <w:rPr>
          <w:rFonts w:hint="eastAsia" w:ascii="仿宋_GB2312" w:hAnsi="黑体" w:eastAsia="仿宋_GB2312" w:cstheme="minorBidi"/>
          <w:b/>
          <w:sz w:val="32"/>
          <w:szCs w:val="32"/>
        </w:rPr>
        <w:t>“五集群”</w:t>
      </w:r>
      <w:r>
        <w:rPr>
          <w:rFonts w:hint="eastAsia" w:ascii="仿宋_GB2312" w:hAnsi="黑体" w:eastAsia="仿宋_GB2312" w:cstheme="minorBidi"/>
          <w:sz w:val="32"/>
          <w:szCs w:val="32"/>
        </w:rPr>
        <w:t>即高端科技创新集群（以重大科技基础设施为核心、以高校和科研院所为基础，圈层布局功能性平台）、科技服务集群、智能产业集群、生命科学产业集群、新材料产业集群。</w:t>
      </w:r>
    </w:p>
    <w:p>
      <w:pPr>
        <w:spacing w:line="560" w:lineRule="exact"/>
        <w:ind w:firstLine="640" w:firstLineChars="200"/>
        <w:rPr>
          <w:rFonts w:ascii="楷体_GB2312" w:hAnsi="楷体" w:eastAsia="楷体_GB2312"/>
          <w:b/>
          <w:sz w:val="32"/>
          <w:szCs w:val="32"/>
        </w:rPr>
      </w:pPr>
      <w:r>
        <w:rPr>
          <w:rFonts w:hint="eastAsia" w:ascii="仿宋_GB2312" w:hAnsi="黑体" w:eastAsia="仿宋_GB2312" w:cstheme="minorBidi"/>
          <w:sz w:val="32"/>
          <w:szCs w:val="32"/>
        </w:rPr>
        <w:t>以“产城融合”为导向，在适宜的尺度（1-5 km</w:t>
      </w:r>
      <w:r>
        <w:rPr>
          <w:rFonts w:hint="eastAsia" w:ascii="仿宋_GB2312" w:hAnsi="黑体" w:eastAsia="仿宋_GB2312" w:cstheme="minorBidi"/>
          <w:sz w:val="32"/>
          <w:szCs w:val="32"/>
          <w:vertAlign w:val="superscript"/>
        </w:rPr>
        <w:t>2</w:t>
      </w:r>
      <w:r>
        <w:rPr>
          <w:rFonts w:hint="eastAsia" w:ascii="仿宋_GB2312" w:hAnsi="黑体" w:eastAsia="仿宋_GB2312" w:cstheme="minorBidi"/>
          <w:sz w:val="32"/>
          <w:szCs w:val="32"/>
        </w:rPr>
        <w:t>）</w:t>
      </w:r>
      <w:r>
        <w:rPr>
          <w:rFonts w:hint="eastAsia" w:ascii="仿宋_GB2312" w:hAnsi="仿宋_GB2312" w:eastAsia="仿宋_GB2312" w:cs="仿宋_GB2312"/>
          <w:sz w:val="32"/>
          <w:szCs w:val="32"/>
        </w:rPr>
        <w:t>为产业配套服务范围，划定21个产业集合单元，按照土地类型，在对应的三个功能区域布局相应的产业、项目和平台。同时结合光明小镇、茅洲河、城市公园等旅游资源，打造粤港澳大湾区全域旅游示范区。</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（六）保障措施。</w:t>
      </w:r>
    </w:p>
    <w:p>
      <w:pPr>
        <w:spacing w:line="560" w:lineRule="exact"/>
        <w:ind w:firstLine="640" w:firstLineChars="200"/>
        <w:rPr>
          <w:rFonts w:ascii="仿宋_GB2312" w:hAnsi="黑体" w:eastAsia="仿宋_GB2312"/>
          <w:sz w:val="32"/>
          <w:szCs w:val="32"/>
        </w:rPr>
      </w:pPr>
      <w:r>
        <w:rPr>
          <w:rFonts w:hint="eastAsia" w:ascii="仿宋_GB2312" w:hAnsi="楷体" w:eastAsia="仿宋_GB2312"/>
          <w:sz w:val="32"/>
          <w:szCs w:val="32"/>
        </w:rPr>
        <w:t>主要包括</w:t>
      </w:r>
      <w:r>
        <w:rPr>
          <w:rFonts w:hint="eastAsia" w:ascii="仿宋_GB2312" w:hAnsi="黑体" w:eastAsia="仿宋_GB2312"/>
          <w:sz w:val="32"/>
          <w:szCs w:val="32"/>
        </w:rPr>
        <w:t>加强组织落实、完善产业政策、强化空间保障、优化营商环境及完善监督考核等五大措施。</w:t>
      </w:r>
    </w:p>
    <w:p>
      <w:pPr>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五、其他</w:t>
      </w:r>
    </w:p>
    <w:p>
      <w:pPr>
        <w:spacing w:line="560" w:lineRule="exact"/>
        <w:ind w:firstLine="643" w:firstLineChars="200"/>
        <w:outlineLvl w:val="1"/>
        <w:rPr>
          <w:rFonts w:ascii="楷体_GB2312" w:hAnsi="楷体" w:eastAsia="楷体_GB2312"/>
          <w:b/>
          <w:sz w:val="32"/>
          <w:szCs w:val="32"/>
        </w:rPr>
      </w:pPr>
      <w:r>
        <w:rPr>
          <w:rFonts w:hint="eastAsia" w:ascii="楷体_GB2312" w:hAnsi="楷体" w:eastAsia="楷体_GB2312"/>
          <w:b/>
          <w:sz w:val="32"/>
          <w:szCs w:val="32"/>
        </w:rPr>
        <w:t>关于指标体系的测算说明。</w:t>
      </w:r>
      <w:r>
        <w:rPr>
          <w:rFonts w:hint="eastAsia" w:ascii="仿宋_GB2312" w:hAnsi="楷体" w:eastAsia="仿宋_GB2312"/>
          <w:sz w:val="32"/>
          <w:szCs w:val="32"/>
        </w:rPr>
        <w:t>指标体系中各指标的目标值通常有两种测算方法。一是根据过去3-5年的完成值计算年均增长率，然后基于当年的基数来测算规划年份的目标值；二是通过对标国内外先进城区相应指标，设置规划年份的目标值，然后结合当年的基数和目标值，测算年均增长率，求取中间年份的目标值。在规划的时间范围内，如果区域有可预见的重大事件发生时，通常采用第二种方法来进行测算。</w:t>
      </w:r>
    </w:p>
    <w:p>
      <w:pPr>
        <w:spacing w:line="560" w:lineRule="exact"/>
        <w:ind w:firstLine="640" w:firstLineChars="200"/>
        <w:outlineLvl w:val="1"/>
        <w:rPr>
          <w:rFonts w:ascii="仿宋_GB2312" w:hAnsi="楷体" w:eastAsia="仿宋_GB2312"/>
          <w:sz w:val="32"/>
          <w:szCs w:val="32"/>
        </w:rPr>
      </w:pPr>
      <w:r>
        <w:rPr>
          <w:rFonts w:hint="eastAsia" w:ascii="仿宋_GB2312" w:hAnsi="楷体" w:eastAsia="仿宋_GB2312"/>
          <w:sz w:val="32"/>
          <w:szCs w:val="32"/>
        </w:rPr>
        <w:t>光明区在未来17年的发展过程中，光明科学城建设和综合性国家科学中心建设，将大幅提升光明在粤港澳大湾区的战略地位和全球创新版图中的位势，源源不断的科技成果将引领产业跨越式发展。为此，本《规划》指标体系测算采用第二种方法，选取美国北卡、深圳南山、上海张江、北京中关村等国内外先进城区作为对标对象，确定光明到2035年相应指标的目标值，然后基于2018年基数和目标值来测算年均增长率，求取2022年和2025年的目标值（测算说明见附件）。</w:t>
      </w:r>
    </w:p>
    <w:p>
      <w:pPr>
        <w:spacing w:line="560" w:lineRule="exact"/>
        <w:outlineLvl w:val="0"/>
        <w:rPr>
          <w:rFonts w:ascii="仿宋_GB2312" w:hAnsi="楷体" w:eastAsia="仿宋_GB2312"/>
          <w:sz w:val="32"/>
          <w:szCs w:val="32"/>
        </w:rPr>
      </w:pPr>
    </w:p>
    <w:p>
      <w:pPr>
        <w:spacing w:line="560" w:lineRule="exact"/>
        <w:outlineLvl w:val="0"/>
        <w:rPr>
          <w:rFonts w:ascii="仿宋_GB2312" w:hAnsi="楷体" w:eastAsia="仿宋_GB2312"/>
          <w:sz w:val="32"/>
          <w:szCs w:val="32"/>
        </w:rPr>
      </w:pPr>
    </w:p>
    <w:p>
      <w:pPr>
        <w:spacing w:line="560" w:lineRule="exact"/>
        <w:ind w:left="958" w:leftChars="304" w:hanging="320" w:hangingChars="100"/>
        <w:outlineLvl w:val="0"/>
        <w:rPr>
          <w:rFonts w:ascii="仿宋_GB2312" w:hAnsi="楷体" w:eastAsia="仿宋_GB2312"/>
          <w:sz w:val="32"/>
          <w:szCs w:val="32"/>
        </w:rPr>
      </w:pPr>
      <w:r>
        <w:rPr>
          <w:rFonts w:ascii="仿宋_GB2312" w:hAnsi="楷体" w:eastAsia="仿宋_GB2312"/>
          <w:sz w:val="32"/>
          <w:szCs w:val="32"/>
        </w:rPr>
        <w:t>附件：</w:t>
      </w:r>
      <w:r>
        <w:rPr>
          <w:rFonts w:hint="eastAsia" w:ascii="仿宋_GB2312" w:hAnsi="楷体" w:eastAsia="仿宋_GB2312"/>
          <w:sz w:val="32"/>
          <w:szCs w:val="32"/>
        </w:rPr>
        <w:t>光明区现代产业发展中长期规划（2019-2035年）</w:t>
      </w:r>
    </w:p>
    <w:p>
      <w:pPr>
        <w:spacing w:line="560" w:lineRule="exact"/>
        <w:ind w:left="630" w:leftChars="300" w:firstLine="960" w:firstLineChars="300"/>
        <w:outlineLvl w:val="0"/>
        <w:rPr>
          <w:rFonts w:ascii="仿宋_GB2312" w:hAnsi="楷体" w:eastAsia="仿宋_GB2312"/>
          <w:sz w:val="32"/>
          <w:szCs w:val="32"/>
        </w:rPr>
      </w:pPr>
      <w:r>
        <w:rPr>
          <w:rFonts w:hint="eastAsia" w:ascii="仿宋_GB2312" w:hAnsi="楷体" w:eastAsia="仿宋_GB2312"/>
          <w:sz w:val="32"/>
          <w:szCs w:val="32"/>
        </w:rPr>
        <w:t>指标体系测算说明</w:t>
      </w:r>
    </w:p>
    <w:p>
      <w:pPr>
        <w:spacing w:line="600" w:lineRule="exact"/>
        <w:outlineLvl w:val="0"/>
        <w:rPr>
          <w:rFonts w:ascii="仿宋_GB2312" w:hAnsi="楷体" w:eastAsia="仿宋_GB2312"/>
          <w:sz w:val="32"/>
          <w:szCs w:val="32"/>
        </w:rPr>
      </w:pPr>
    </w:p>
    <w:p>
      <w:pPr>
        <w:spacing w:line="600" w:lineRule="exact"/>
        <w:outlineLvl w:val="0"/>
        <w:rPr>
          <w:rFonts w:ascii="黑体" w:hAnsi="黑体" w:eastAsia="黑体"/>
          <w:sz w:val="32"/>
          <w:szCs w:val="32"/>
        </w:rPr>
      </w:pPr>
      <w:r>
        <w:rPr>
          <w:rFonts w:ascii="仿宋_GB2312" w:hAnsi="楷体" w:eastAsia="仿宋_GB2312"/>
          <w:sz w:val="32"/>
          <w:szCs w:val="32"/>
        </w:rPr>
        <w:br w:type="page"/>
      </w:r>
      <w:r>
        <w:rPr>
          <w:rFonts w:ascii="黑体" w:hAnsi="黑体" w:eastAsia="黑体"/>
          <w:sz w:val="32"/>
          <w:szCs w:val="32"/>
        </w:rPr>
        <w:t>附件</w:t>
      </w:r>
    </w:p>
    <w:p>
      <w:pPr>
        <w:spacing w:line="600" w:lineRule="exact"/>
        <w:outlineLvl w:val="0"/>
        <w:rPr>
          <w:rFonts w:ascii="宋体" w:hAnsi="宋体" w:cstheme="minorBidi"/>
          <w:b/>
          <w:spacing w:val="-10"/>
          <w:sz w:val="40"/>
          <w:szCs w:val="32"/>
        </w:rPr>
      </w:pPr>
    </w:p>
    <w:p>
      <w:pPr>
        <w:spacing w:line="600" w:lineRule="exact"/>
        <w:outlineLvl w:val="0"/>
        <w:rPr>
          <w:rFonts w:ascii="宋体" w:hAnsi="宋体" w:cstheme="minorBidi"/>
          <w:b/>
          <w:spacing w:val="-10"/>
          <w:sz w:val="40"/>
          <w:szCs w:val="32"/>
        </w:rPr>
      </w:pPr>
      <w:r>
        <w:rPr>
          <w:rFonts w:hint="eastAsia" w:ascii="宋体" w:hAnsi="宋体" w:cstheme="minorBidi"/>
          <w:b/>
          <w:spacing w:val="-10"/>
          <w:sz w:val="40"/>
          <w:szCs w:val="32"/>
        </w:rPr>
        <w:t>光明区现代产业发展中长期规划（2019-2035年）</w:t>
      </w:r>
    </w:p>
    <w:p>
      <w:pPr>
        <w:spacing w:line="600" w:lineRule="exact"/>
        <w:jc w:val="center"/>
        <w:outlineLvl w:val="0"/>
        <w:rPr>
          <w:rFonts w:ascii="宋体" w:hAnsi="宋体" w:cstheme="minorBidi"/>
          <w:b/>
          <w:sz w:val="40"/>
          <w:szCs w:val="32"/>
        </w:rPr>
      </w:pPr>
      <w:r>
        <w:rPr>
          <w:rFonts w:hint="eastAsia" w:ascii="宋体" w:hAnsi="宋体" w:cstheme="minorBidi"/>
          <w:b/>
          <w:sz w:val="40"/>
          <w:szCs w:val="32"/>
        </w:rPr>
        <w:t>指标体系测算说明</w:t>
      </w:r>
    </w:p>
    <w:p>
      <w:pPr>
        <w:spacing w:line="600" w:lineRule="exact"/>
        <w:outlineLvl w:val="0"/>
        <w:rPr>
          <w:rFonts w:ascii="黑体" w:hAnsi="黑体" w:eastAsia="黑体" w:cstheme="minorBidi"/>
          <w:sz w:val="40"/>
          <w:szCs w:val="32"/>
        </w:rPr>
      </w:pPr>
    </w:p>
    <w:p>
      <w:pPr>
        <w:spacing w:line="60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指标体系中各指标的目标值通常有两种测算方法。一是根据过去3-</w:t>
      </w:r>
      <w:r>
        <w:rPr>
          <w:rFonts w:ascii="仿宋_GB2312" w:hAnsi="黑体" w:eastAsia="仿宋_GB2312" w:cstheme="minorBidi"/>
          <w:sz w:val="32"/>
          <w:szCs w:val="32"/>
        </w:rPr>
        <w:t>5年的</w:t>
      </w:r>
      <w:r>
        <w:rPr>
          <w:rFonts w:hint="eastAsia" w:ascii="仿宋_GB2312" w:hAnsi="黑体" w:eastAsia="仿宋_GB2312" w:cstheme="minorBidi"/>
          <w:sz w:val="32"/>
          <w:szCs w:val="32"/>
        </w:rPr>
        <w:t>完成值计算年均增长率，然后基于当年的基数来测算规划年份的目标值；二是通过对标国内外先进城区相应指标，设置规划年份的目标值，然后结合当年的基数和目标值，测算年均增长率，求取中间年份的目标值。在规划的时间范围内，如果区域有可预见的重大事件发生时，通常采用第二种方法来进行测算。</w:t>
      </w:r>
    </w:p>
    <w:p>
      <w:pPr>
        <w:spacing w:line="600" w:lineRule="exact"/>
        <w:ind w:firstLine="640" w:firstLineChars="200"/>
        <w:rPr>
          <w:rFonts w:ascii="仿宋_GB2312" w:hAnsi="黑体" w:eastAsia="仿宋_GB2312" w:cstheme="minorBidi"/>
          <w:sz w:val="32"/>
          <w:szCs w:val="32"/>
        </w:rPr>
      </w:pPr>
      <w:r>
        <w:rPr>
          <w:rFonts w:ascii="仿宋_GB2312" w:hAnsi="黑体" w:eastAsia="仿宋_GB2312" w:cstheme="minorBidi"/>
          <w:sz w:val="32"/>
          <w:szCs w:val="32"/>
        </w:rPr>
        <w:t>光明区在未来</w:t>
      </w:r>
      <w:r>
        <w:rPr>
          <w:rFonts w:hint="eastAsia" w:ascii="仿宋_GB2312" w:hAnsi="黑体" w:eastAsia="仿宋_GB2312" w:cstheme="minorBidi"/>
          <w:sz w:val="32"/>
          <w:szCs w:val="32"/>
        </w:rPr>
        <w:t>1</w:t>
      </w:r>
      <w:r>
        <w:rPr>
          <w:rFonts w:ascii="仿宋_GB2312" w:hAnsi="黑体" w:eastAsia="仿宋_GB2312" w:cstheme="minorBidi"/>
          <w:sz w:val="32"/>
          <w:szCs w:val="32"/>
        </w:rPr>
        <w:t>7年的发展过程中</w:t>
      </w:r>
      <w:r>
        <w:rPr>
          <w:rFonts w:hint="eastAsia" w:ascii="仿宋_GB2312" w:hAnsi="黑体" w:eastAsia="仿宋_GB2312" w:cstheme="minorBidi"/>
          <w:sz w:val="32"/>
          <w:szCs w:val="32"/>
        </w:rPr>
        <w:t>，</w:t>
      </w:r>
      <w:r>
        <w:rPr>
          <w:rFonts w:ascii="仿宋_GB2312" w:hAnsi="黑体" w:eastAsia="仿宋_GB2312" w:cstheme="minorBidi"/>
          <w:sz w:val="32"/>
          <w:szCs w:val="32"/>
        </w:rPr>
        <w:t>光明科学城建设</w:t>
      </w:r>
      <w:r>
        <w:rPr>
          <w:rFonts w:hint="eastAsia" w:ascii="仿宋_GB2312" w:hAnsi="黑体" w:eastAsia="仿宋_GB2312" w:cstheme="minorBidi"/>
          <w:sz w:val="32"/>
          <w:szCs w:val="32"/>
        </w:rPr>
        <w:t>和</w:t>
      </w:r>
      <w:r>
        <w:rPr>
          <w:rFonts w:ascii="仿宋_GB2312" w:hAnsi="黑体" w:eastAsia="仿宋_GB2312" w:cstheme="minorBidi"/>
          <w:sz w:val="32"/>
          <w:szCs w:val="32"/>
        </w:rPr>
        <w:t>综合性国家科学中心建设</w:t>
      </w:r>
      <w:r>
        <w:rPr>
          <w:rFonts w:hint="eastAsia" w:ascii="仿宋_GB2312" w:hAnsi="黑体" w:eastAsia="仿宋_GB2312" w:cstheme="minorBidi"/>
          <w:sz w:val="32"/>
          <w:szCs w:val="32"/>
        </w:rPr>
        <w:t>，将大幅提升光明在粤港澳大湾区的战略地位和全球创新版图中的位势，源源不断的科技成果将引领产业跨越式发展。为此，本《规划》指标体系测算采用第二种方法，选取美国北卡、深圳南山、上海张江、北京中关村等国内外先进城区作为对标对象，确定光明到2</w:t>
      </w:r>
      <w:r>
        <w:rPr>
          <w:rFonts w:ascii="仿宋_GB2312" w:hAnsi="黑体" w:eastAsia="仿宋_GB2312" w:cstheme="minorBidi"/>
          <w:sz w:val="32"/>
          <w:szCs w:val="32"/>
        </w:rPr>
        <w:t>035年相应指标的目标值</w:t>
      </w:r>
      <w:r>
        <w:rPr>
          <w:rFonts w:hint="eastAsia" w:ascii="仿宋_GB2312" w:hAnsi="黑体" w:eastAsia="仿宋_GB2312" w:cstheme="minorBidi"/>
          <w:sz w:val="32"/>
          <w:szCs w:val="32"/>
        </w:rPr>
        <w:t>，</w:t>
      </w:r>
      <w:r>
        <w:rPr>
          <w:rFonts w:ascii="仿宋_GB2312" w:hAnsi="黑体" w:eastAsia="仿宋_GB2312" w:cstheme="minorBidi"/>
          <w:sz w:val="32"/>
          <w:szCs w:val="32"/>
        </w:rPr>
        <w:t>然后基于</w:t>
      </w:r>
      <w:r>
        <w:rPr>
          <w:rFonts w:hint="eastAsia" w:ascii="仿宋_GB2312" w:hAnsi="黑体" w:eastAsia="仿宋_GB2312" w:cstheme="minorBidi"/>
          <w:sz w:val="32"/>
          <w:szCs w:val="32"/>
        </w:rPr>
        <w:t>2</w:t>
      </w:r>
      <w:r>
        <w:rPr>
          <w:rFonts w:ascii="仿宋_GB2312" w:hAnsi="黑体" w:eastAsia="仿宋_GB2312" w:cstheme="minorBidi"/>
          <w:sz w:val="32"/>
          <w:szCs w:val="32"/>
        </w:rPr>
        <w:t>018年基数和目标值来测算</w:t>
      </w:r>
      <w:r>
        <w:rPr>
          <w:rFonts w:hint="eastAsia" w:ascii="仿宋_GB2312" w:hAnsi="黑体" w:eastAsia="仿宋_GB2312" w:cstheme="minorBidi"/>
          <w:sz w:val="32"/>
          <w:szCs w:val="32"/>
        </w:rPr>
        <w:t>年均增长率，求取2</w:t>
      </w:r>
      <w:r>
        <w:rPr>
          <w:rFonts w:ascii="仿宋_GB2312" w:hAnsi="黑体" w:eastAsia="仿宋_GB2312" w:cstheme="minorBidi"/>
          <w:sz w:val="32"/>
          <w:szCs w:val="32"/>
        </w:rPr>
        <w:t>02</w:t>
      </w:r>
      <w:r>
        <w:rPr>
          <w:rFonts w:hint="eastAsia" w:ascii="仿宋_GB2312" w:hAnsi="黑体" w:eastAsia="仿宋_GB2312" w:cstheme="minorBidi"/>
          <w:sz w:val="32"/>
          <w:szCs w:val="32"/>
        </w:rPr>
        <w:t>2</w:t>
      </w:r>
      <w:r>
        <w:rPr>
          <w:rFonts w:ascii="仿宋_GB2312" w:hAnsi="黑体" w:eastAsia="仿宋_GB2312" w:cstheme="minorBidi"/>
          <w:sz w:val="32"/>
          <w:szCs w:val="32"/>
        </w:rPr>
        <w:t>年和</w:t>
      </w:r>
      <w:r>
        <w:rPr>
          <w:rFonts w:hint="eastAsia" w:ascii="仿宋_GB2312" w:hAnsi="黑体" w:eastAsia="仿宋_GB2312" w:cstheme="minorBidi"/>
          <w:sz w:val="32"/>
          <w:szCs w:val="32"/>
        </w:rPr>
        <w:t>2</w:t>
      </w:r>
      <w:r>
        <w:rPr>
          <w:rFonts w:ascii="仿宋_GB2312" w:hAnsi="黑体" w:eastAsia="仿宋_GB2312" w:cstheme="minorBidi"/>
          <w:sz w:val="32"/>
          <w:szCs w:val="32"/>
        </w:rPr>
        <w:t>025年的目标值</w:t>
      </w:r>
      <w:r>
        <w:rPr>
          <w:rFonts w:hint="eastAsia" w:ascii="仿宋_GB2312" w:hAnsi="黑体" w:eastAsia="仿宋_GB2312" w:cstheme="minorBidi"/>
          <w:sz w:val="32"/>
          <w:szCs w:val="32"/>
        </w:rPr>
        <w:t>。</w:t>
      </w:r>
    </w:p>
    <w:p>
      <w:pPr>
        <w:spacing w:line="600" w:lineRule="exact"/>
        <w:ind w:firstLine="640" w:firstLineChars="200"/>
        <w:rPr>
          <w:rFonts w:ascii="黑体" w:hAnsi="黑体" w:eastAsia="黑体" w:cstheme="minorBidi"/>
          <w:sz w:val="32"/>
          <w:szCs w:val="32"/>
        </w:rPr>
      </w:pPr>
      <w:r>
        <w:rPr>
          <w:rFonts w:ascii="黑体" w:hAnsi="黑体" w:eastAsia="黑体" w:cstheme="minorBidi"/>
          <w:sz w:val="32"/>
          <w:szCs w:val="32"/>
        </w:rPr>
        <w:t>一</w:t>
      </w:r>
      <w:r>
        <w:rPr>
          <w:rFonts w:hint="eastAsia" w:ascii="黑体" w:hAnsi="黑体" w:eastAsia="黑体" w:cstheme="minorBidi"/>
          <w:sz w:val="32"/>
          <w:szCs w:val="32"/>
        </w:rPr>
        <w:t>、</w:t>
      </w:r>
      <w:r>
        <w:rPr>
          <w:rFonts w:ascii="黑体" w:hAnsi="黑体" w:eastAsia="黑体" w:cstheme="minorBidi"/>
          <w:sz w:val="32"/>
          <w:szCs w:val="32"/>
        </w:rPr>
        <w:t>原创引领</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（一）全社会研发支出占GDP比重</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反映科技投入（资金投入）强度。指用于研究与试验发展（R＆D）活动的经费占地区生产总值（GDP）的比重。计算公式：研发经费支出占GDP比重=研发经费支出／GDP×100%。</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结合《深圳建设社会主义现代化先行区》和《光明科学城总体发展规划》发展规划，我们将光明区20</w:t>
      </w:r>
      <w:r>
        <w:rPr>
          <w:rFonts w:ascii="仿宋_GB2312" w:eastAsia="仿宋_GB2312" w:hAnsiTheme="minorHAnsi" w:cstheme="minorBidi"/>
          <w:sz w:val="32"/>
          <w:szCs w:val="32"/>
        </w:rPr>
        <w:t>20</w:t>
      </w:r>
      <w:r>
        <w:rPr>
          <w:rFonts w:hint="eastAsia" w:ascii="仿宋_GB2312" w:eastAsia="仿宋_GB2312" w:hAnsiTheme="minorHAnsi" w:cstheme="minorBidi"/>
          <w:sz w:val="32"/>
          <w:szCs w:val="32"/>
        </w:rPr>
        <w:t>年全社会研发支出占GDP比重发展目标定在</w:t>
      </w:r>
      <w:r>
        <w:rPr>
          <w:rFonts w:ascii="仿宋_GB2312" w:eastAsia="仿宋_GB2312" w:hAnsiTheme="minorHAnsi" w:cstheme="minorBidi"/>
          <w:sz w:val="32"/>
          <w:szCs w:val="32"/>
        </w:rPr>
        <w:t>4.25</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025年之前光明科学城大科学装置</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中山大学</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深圳等核心要素处于建设阶段</w:t>
      </w:r>
      <w:r>
        <w:rPr>
          <w:rFonts w:hint="eastAsia" w:ascii="仿宋_GB2312" w:eastAsia="仿宋_GB2312" w:hAnsiTheme="minorHAnsi" w:cstheme="minorBidi"/>
          <w:sz w:val="32"/>
          <w:szCs w:val="32"/>
        </w:rPr>
        <w:t>，该指标可参照《深圳建设社会主义现代化先行区》计算，将光明区202</w:t>
      </w:r>
      <w:r>
        <w:rPr>
          <w:rFonts w:ascii="仿宋_GB2312" w:eastAsia="仿宋_GB2312" w:hAnsiTheme="minorHAnsi" w:cstheme="minorBidi"/>
          <w:sz w:val="32"/>
          <w:szCs w:val="32"/>
        </w:rPr>
        <w:t>5</w:t>
      </w:r>
      <w:r>
        <w:rPr>
          <w:rFonts w:hint="eastAsia" w:ascii="仿宋_GB2312" w:eastAsia="仿宋_GB2312" w:hAnsiTheme="minorHAnsi" w:cstheme="minorBidi"/>
          <w:sz w:val="32"/>
          <w:szCs w:val="32"/>
        </w:rPr>
        <w:t>年全社会研发支出占GDP比重发展目标定在4.5%。</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025年之后光明科学城核心要素全面建成</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科研投入会</w:t>
      </w:r>
      <w:r>
        <w:rPr>
          <w:rFonts w:hint="eastAsia" w:ascii="仿宋_GB2312" w:eastAsia="仿宋_GB2312" w:hAnsiTheme="minorHAnsi" w:cstheme="minorBidi"/>
          <w:sz w:val="32"/>
          <w:szCs w:val="32"/>
        </w:rPr>
        <w:t>持续</w:t>
      </w:r>
      <w:r>
        <w:rPr>
          <w:rFonts w:ascii="仿宋_GB2312" w:eastAsia="仿宋_GB2312" w:hAnsiTheme="minorHAnsi" w:cstheme="minorBidi"/>
          <w:sz w:val="32"/>
          <w:szCs w:val="32"/>
        </w:rPr>
        <w:t>增加</w:t>
      </w:r>
      <w:r>
        <w:rPr>
          <w:rFonts w:hint="eastAsia" w:ascii="仿宋_GB2312" w:eastAsia="仿宋_GB2312" w:hAnsiTheme="minorHAnsi" w:cstheme="minorBidi"/>
          <w:sz w:val="32"/>
          <w:szCs w:val="32"/>
        </w:rPr>
        <w:t>，参考《深圳建设社会主义现代化先行区》中全市平均水平6%，结合国际先进城区该指标最高水平在6%左右，为此我们将光明区20</w:t>
      </w:r>
      <w:r>
        <w:rPr>
          <w:rFonts w:ascii="仿宋_GB2312" w:eastAsia="仿宋_GB2312" w:hAnsiTheme="minorHAnsi" w:cstheme="minorBidi"/>
          <w:sz w:val="32"/>
          <w:szCs w:val="32"/>
        </w:rPr>
        <w:t>3</w:t>
      </w:r>
      <w:r>
        <w:rPr>
          <w:rFonts w:hint="eastAsia" w:ascii="仿宋_GB2312" w:eastAsia="仿宋_GB2312" w:hAnsiTheme="minorHAnsi" w:cstheme="minorBidi"/>
          <w:sz w:val="32"/>
          <w:szCs w:val="32"/>
        </w:rPr>
        <w:t>5年全社会研发支出占GDP比重发展目标定在</w:t>
      </w:r>
      <w:r>
        <w:rPr>
          <w:rFonts w:ascii="仿宋_GB2312" w:eastAsia="仿宋_GB2312" w:hAnsiTheme="minorHAnsi" w:cstheme="minorBidi"/>
          <w:sz w:val="32"/>
          <w:szCs w:val="32"/>
        </w:rPr>
        <w:t>6</w:t>
      </w:r>
      <w:r>
        <w:rPr>
          <w:rFonts w:hint="eastAsia" w:ascii="仿宋_GB2312" w:eastAsia="仿宋_GB2312" w:hAnsiTheme="minorHAnsi" w:cstheme="minorBidi"/>
          <w:sz w:val="32"/>
          <w:szCs w:val="32"/>
        </w:rPr>
        <w:t>%。</w:t>
      </w:r>
    </w:p>
    <w:tbl>
      <w:tblPr>
        <w:tblStyle w:val="30"/>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134"/>
        <w:gridCol w:w="851"/>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2018年完成值</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2020年目标值</w:t>
            </w:r>
          </w:p>
        </w:tc>
        <w:tc>
          <w:tcPr>
            <w:tcW w:w="709"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2025年目标值</w:t>
            </w:r>
          </w:p>
        </w:tc>
        <w:tc>
          <w:tcPr>
            <w:tcW w:w="708"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2030年目标值</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4.25%</w:t>
            </w:r>
          </w:p>
        </w:tc>
        <w:tc>
          <w:tcPr>
            <w:tcW w:w="709"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4.5%</w:t>
            </w:r>
          </w:p>
        </w:tc>
        <w:tc>
          <w:tcPr>
            <w:tcW w:w="708" w:type="dxa"/>
          </w:tcPr>
          <w:p>
            <w:pPr>
              <w:rPr>
                <w:rFonts w:ascii="仿宋_GB2312" w:eastAsia="仿宋_GB2312" w:hAnsiTheme="minorHAnsi" w:cstheme="minorBidi"/>
                <w:sz w:val="24"/>
                <w:szCs w:val="24"/>
              </w:rPr>
            </w:pPr>
          </w:p>
        </w:tc>
        <w:tc>
          <w:tcPr>
            <w:tcW w:w="851"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深圳建设社会主义现代化先行区</w:t>
            </w: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w:t>
            </w:r>
            <w:r>
              <w:rPr>
                <w:rFonts w:ascii="仿宋_GB2312" w:eastAsia="仿宋_GB2312" w:hAnsiTheme="minorHAnsi" w:cstheme="minorBidi"/>
                <w:sz w:val="24"/>
                <w:szCs w:val="24"/>
              </w:rPr>
              <w:t>4.17%</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4.25%</w:t>
            </w:r>
          </w:p>
        </w:tc>
        <w:tc>
          <w:tcPr>
            <w:tcW w:w="709"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4.5%</w:t>
            </w:r>
          </w:p>
        </w:tc>
        <w:tc>
          <w:tcPr>
            <w:tcW w:w="708" w:type="dxa"/>
            <w:vAlign w:val="center"/>
          </w:tcPr>
          <w:p>
            <w:pPr>
              <w:jc w:val="center"/>
              <w:rPr>
                <w:rFonts w:ascii="仿宋_GB2312" w:eastAsia="仿宋_GB2312" w:hAnsiTheme="minorHAnsi" w:cstheme="minorBidi"/>
                <w:sz w:val="24"/>
                <w:szCs w:val="24"/>
              </w:rPr>
            </w:pP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深圳市可持续发展规划</w:t>
            </w: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w:t>
            </w:r>
            <w:r>
              <w:rPr>
                <w:rFonts w:ascii="仿宋_GB2312" w:eastAsia="仿宋_GB2312" w:hAnsiTheme="minorHAnsi" w:cstheme="minorBidi"/>
                <w:sz w:val="24"/>
                <w:szCs w:val="24"/>
              </w:rPr>
              <w:t>4.17%</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4.25%</w:t>
            </w:r>
          </w:p>
        </w:tc>
        <w:tc>
          <w:tcPr>
            <w:tcW w:w="709"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4.5%</w:t>
            </w:r>
          </w:p>
        </w:tc>
        <w:tc>
          <w:tcPr>
            <w:tcW w:w="708"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4.8%</w:t>
            </w:r>
          </w:p>
        </w:tc>
        <w:tc>
          <w:tcPr>
            <w:tcW w:w="851"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深圳市战略性新兴产业“十三五”规划</w:t>
            </w: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w:t>
            </w:r>
            <w:r>
              <w:rPr>
                <w:rFonts w:ascii="仿宋_GB2312" w:eastAsia="仿宋_GB2312" w:hAnsiTheme="minorHAnsi" w:cstheme="minorBidi"/>
                <w:sz w:val="24"/>
                <w:szCs w:val="24"/>
              </w:rPr>
              <w:t>4.17%</w:t>
            </w: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&gt;4.25%</w:t>
            </w:r>
          </w:p>
        </w:tc>
        <w:tc>
          <w:tcPr>
            <w:tcW w:w="709" w:type="dxa"/>
            <w:vAlign w:val="center"/>
          </w:tcPr>
          <w:p>
            <w:pPr>
              <w:rPr>
                <w:rFonts w:ascii="仿宋_GB2312" w:eastAsia="仿宋_GB2312" w:hAnsiTheme="minorHAnsi" w:cstheme="minorBidi"/>
                <w:sz w:val="24"/>
                <w:szCs w:val="24"/>
              </w:rPr>
            </w:pPr>
          </w:p>
        </w:tc>
        <w:tc>
          <w:tcPr>
            <w:tcW w:w="708" w:type="dxa"/>
            <w:vAlign w:val="center"/>
          </w:tcPr>
          <w:p>
            <w:pPr>
              <w:rPr>
                <w:rFonts w:ascii="仿宋_GB2312" w:eastAsia="仿宋_GB2312" w:hAnsiTheme="minorHAnsi" w:cstheme="minorBidi"/>
                <w:sz w:val="24"/>
                <w:szCs w:val="24"/>
              </w:rPr>
            </w:pPr>
          </w:p>
        </w:tc>
        <w:tc>
          <w:tcPr>
            <w:tcW w:w="851"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光明科学城总体发展规划</w:t>
            </w: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w:t>
            </w:r>
            <w:r>
              <w:rPr>
                <w:rFonts w:ascii="仿宋_GB2312" w:eastAsia="仿宋_GB2312" w:hAnsiTheme="minorHAnsi" w:cstheme="minorBidi"/>
                <w:sz w:val="24"/>
                <w:szCs w:val="24"/>
              </w:rPr>
              <w:t>4.17%</w:t>
            </w:r>
          </w:p>
        </w:tc>
        <w:tc>
          <w:tcPr>
            <w:tcW w:w="851" w:type="dxa"/>
            <w:vAlign w:val="center"/>
          </w:tcPr>
          <w:p>
            <w:pPr>
              <w:jc w:val="center"/>
              <w:rPr>
                <w:rFonts w:ascii="仿宋_GB2312" w:eastAsia="仿宋_GB2312" w:hAnsiTheme="minorHAnsi" w:cstheme="minorBidi"/>
                <w:sz w:val="24"/>
                <w:szCs w:val="24"/>
              </w:rPr>
            </w:pPr>
          </w:p>
        </w:tc>
        <w:tc>
          <w:tcPr>
            <w:tcW w:w="709"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4.5%</w:t>
            </w:r>
          </w:p>
        </w:tc>
        <w:tc>
          <w:tcPr>
            <w:tcW w:w="708" w:type="dxa"/>
            <w:vAlign w:val="center"/>
          </w:tcPr>
          <w:p>
            <w:pPr>
              <w:rPr>
                <w:rFonts w:ascii="仿宋_GB2312" w:eastAsia="仿宋_GB2312" w:hAnsiTheme="minorHAnsi" w:cstheme="minorBidi"/>
                <w:sz w:val="24"/>
                <w:szCs w:val="24"/>
              </w:rPr>
            </w:pPr>
          </w:p>
        </w:tc>
        <w:tc>
          <w:tcPr>
            <w:tcW w:w="851"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&gt;6%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深圳市国家可持续发展议程创新示范区建设方案（2017-2020年）</w:t>
            </w:r>
          </w:p>
        </w:tc>
        <w:tc>
          <w:tcPr>
            <w:tcW w:w="1134" w:type="dxa"/>
          </w:tcPr>
          <w:p>
            <w:pPr>
              <w:rPr>
                <w:rFonts w:ascii="仿宋_GB2312" w:eastAsia="仿宋_GB2312" w:hAnsiTheme="minorHAnsi" w:cstheme="minorBidi"/>
                <w:sz w:val="24"/>
                <w:szCs w:val="24"/>
              </w:rPr>
            </w:pPr>
          </w:p>
        </w:tc>
        <w:tc>
          <w:tcPr>
            <w:tcW w:w="851" w:type="dxa"/>
            <w:vAlign w:val="center"/>
          </w:tcPr>
          <w:p>
            <w:pPr>
              <w:spacing w:line="360" w:lineRule="auto"/>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4.25%</w:t>
            </w:r>
          </w:p>
        </w:tc>
        <w:tc>
          <w:tcPr>
            <w:tcW w:w="709" w:type="dxa"/>
            <w:vAlign w:val="center"/>
          </w:tcPr>
          <w:p>
            <w:pPr>
              <w:rPr>
                <w:rFonts w:ascii="仿宋_GB2312" w:eastAsia="仿宋_GB2312" w:hAnsiTheme="minorHAnsi" w:cstheme="minorBidi"/>
                <w:sz w:val="24"/>
                <w:szCs w:val="24"/>
              </w:rPr>
            </w:pPr>
          </w:p>
        </w:tc>
        <w:tc>
          <w:tcPr>
            <w:tcW w:w="708" w:type="dxa"/>
            <w:vAlign w:val="center"/>
          </w:tcPr>
          <w:p>
            <w:pPr>
              <w:rPr>
                <w:rFonts w:ascii="仿宋_GB2312" w:eastAsia="仿宋_GB2312" w:hAnsiTheme="minorHAnsi" w:cstheme="minorBidi"/>
                <w:sz w:val="24"/>
                <w:szCs w:val="24"/>
              </w:rPr>
            </w:pPr>
          </w:p>
        </w:tc>
        <w:tc>
          <w:tcPr>
            <w:tcW w:w="851" w:type="dxa"/>
            <w:vAlign w:val="center"/>
          </w:tcPr>
          <w:p>
            <w:pP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南山区科技及高新技术产业发展“十三五”规划</w:t>
            </w:r>
          </w:p>
        </w:tc>
        <w:tc>
          <w:tcPr>
            <w:tcW w:w="1134" w:type="dxa"/>
          </w:tcPr>
          <w:p>
            <w:pPr>
              <w:rPr>
                <w:rFonts w:ascii="仿宋_GB2312" w:eastAsia="仿宋_GB2312" w:hAnsiTheme="minorHAnsi" w:cstheme="minorBidi"/>
                <w:sz w:val="24"/>
                <w:szCs w:val="24"/>
              </w:rPr>
            </w:pPr>
          </w:p>
        </w:tc>
        <w:tc>
          <w:tcPr>
            <w:tcW w:w="85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p>
        </w:tc>
        <w:tc>
          <w:tcPr>
            <w:tcW w:w="709" w:type="dxa"/>
            <w:vAlign w:val="center"/>
          </w:tcPr>
          <w:p>
            <w:pPr>
              <w:rPr>
                <w:rFonts w:ascii="仿宋_GB2312" w:eastAsia="仿宋_GB2312" w:hAnsiTheme="minorHAnsi" w:cstheme="minorBidi"/>
                <w:sz w:val="24"/>
                <w:szCs w:val="24"/>
              </w:rPr>
            </w:pPr>
          </w:p>
        </w:tc>
        <w:tc>
          <w:tcPr>
            <w:tcW w:w="708" w:type="dxa"/>
            <w:vAlign w:val="center"/>
          </w:tcPr>
          <w:p>
            <w:pPr>
              <w:rPr>
                <w:rFonts w:ascii="仿宋_GB2312" w:eastAsia="仿宋_GB2312" w:hAnsiTheme="minorHAnsi" w:cstheme="minorBidi"/>
                <w:sz w:val="24"/>
                <w:szCs w:val="24"/>
              </w:rPr>
            </w:pPr>
          </w:p>
        </w:tc>
        <w:tc>
          <w:tcPr>
            <w:tcW w:w="851" w:type="dxa"/>
            <w:vAlign w:val="center"/>
          </w:tcPr>
          <w:p>
            <w:pP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福田区现代产业体系中长期发展规划</w:t>
            </w:r>
          </w:p>
        </w:tc>
        <w:tc>
          <w:tcPr>
            <w:tcW w:w="1134" w:type="dxa"/>
          </w:tcPr>
          <w:p>
            <w:pPr>
              <w:rPr>
                <w:rFonts w:ascii="仿宋_GB2312" w:eastAsia="仿宋_GB2312" w:hAnsiTheme="minorHAnsi" w:cstheme="minorBidi"/>
                <w:sz w:val="24"/>
                <w:szCs w:val="24"/>
              </w:rPr>
            </w:pPr>
          </w:p>
        </w:tc>
        <w:tc>
          <w:tcPr>
            <w:tcW w:w="851"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w:t>
            </w:r>
          </w:p>
        </w:tc>
        <w:tc>
          <w:tcPr>
            <w:tcW w:w="709"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&gt;3%</w:t>
            </w:r>
          </w:p>
        </w:tc>
        <w:tc>
          <w:tcPr>
            <w:tcW w:w="708"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&gt;4%</w:t>
            </w:r>
          </w:p>
        </w:tc>
        <w:tc>
          <w:tcPr>
            <w:tcW w:w="851"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ascii="仿宋_GB2312" w:eastAsia="仿宋_GB2312" w:hAnsiTheme="minorHAnsi" w:cstheme="minorBidi"/>
                <w:sz w:val="24"/>
                <w:szCs w:val="24"/>
              </w:rPr>
              <w:t>上海</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.98</w:t>
            </w:r>
            <w:r>
              <w:rPr>
                <w:rFonts w:hint="eastAsia" w:ascii="仿宋_GB2312" w:eastAsia="仿宋_GB2312" w:hAnsiTheme="minorHAnsi" w:cstheme="minorBidi"/>
                <w:sz w:val="24"/>
                <w:szCs w:val="24"/>
              </w:rPr>
              <w:t>%</w:t>
            </w:r>
          </w:p>
        </w:tc>
        <w:tc>
          <w:tcPr>
            <w:tcW w:w="851" w:type="dxa"/>
            <w:vAlign w:val="center"/>
          </w:tcPr>
          <w:p>
            <w:pPr>
              <w:autoSpaceDE w:val="0"/>
              <w:autoSpaceDN w:val="0"/>
              <w:adjustRightInd w:val="0"/>
              <w:jc w:val="center"/>
              <w:rPr>
                <w:rFonts w:ascii="仿宋_GB2312" w:hAnsi="宋体" w:eastAsia="仿宋_GB2312" w:cstheme="minorBidi"/>
                <w:color w:val="000000"/>
                <w:kern w:val="0"/>
                <w:sz w:val="24"/>
                <w:szCs w:val="24"/>
              </w:rPr>
            </w:pPr>
          </w:p>
        </w:tc>
        <w:tc>
          <w:tcPr>
            <w:tcW w:w="709" w:type="dxa"/>
            <w:vAlign w:val="center"/>
          </w:tcPr>
          <w:p>
            <w:pPr>
              <w:autoSpaceDE w:val="0"/>
              <w:autoSpaceDN w:val="0"/>
              <w:adjustRightInd w:val="0"/>
              <w:rPr>
                <w:rFonts w:ascii="仿宋_GB2312" w:hAnsi="宋体" w:eastAsia="仿宋_GB2312" w:cstheme="minorBidi"/>
                <w:color w:val="000000"/>
                <w:kern w:val="0"/>
                <w:sz w:val="24"/>
                <w:szCs w:val="24"/>
              </w:rPr>
            </w:pPr>
          </w:p>
        </w:tc>
        <w:tc>
          <w:tcPr>
            <w:tcW w:w="708" w:type="dxa"/>
            <w:vAlign w:val="center"/>
          </w:tcPr>
          <w:p>
            <w:pPr>
              <w:autoSpaceDE w:val="0"/>
              <w:autoSpaceDN w:val="0"/>
              <w:adjustRightInd w:val="0"/>
              <w:rPr>
                <w:rFonts w:ascii="仿宋_GB2312" w:hAnsi="宋体" w:eastAsia="仿宋_GB2312" w:cstheme="minorBidi"/>
                <w:color w:val="000000"/>
                <w:kern w:val="0"/>
                <w:sz w:val="24"/>
                <w:szCs w:val="24"/>
              </w:rPr>
            </w:pPr>
          </w:p>
        </w:tc>
        <w:tc>
          <w:tcPr>
            <w:tcW w:w="851" w:type="dxa"/>
            <w:vAlign w:val="center"/>
          </w:tcPr>
          <w:p>
            <w:pPr>
              <w:autoSpaceDE w:val="0"/>
              <w:autoSpaceDN w:val="0"/>
              <w:adjustRightInd w:val="0"/>
              <w:rPr>
                <w:rFonts w:ascii="仿宋_GB2312" w:hAnsi="宋体" w:eastAsia="仿宋_GB2312" w:cstheme="minorBid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以色列</w:t>
            </w:r>
          </w:p>
        </w:tc>
        <w:tc>
          <w:tcPr>
            <w:tcW w:w="4253" w:type="dxa"/>
            <w:gridSpan w:val="5"/>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.5</w:t>
            </w: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017年</w:t>
            </w:r>
            <w:r>
              <w:rPr>
                <w:rFonts w:hint="eastAsia" w:ascii="仿宋_GB2312" w:eastAsia="仿宋_GB2312" w:hAnsiTheme="minorHAnsi" w:cstheme="minorBidi"/>
                <w:sz w:val="24"/>
                <w:szCs w:val="24"/>
              </w:rPr>
              <w:t>，</w:t>
            </w:r>
            <w:r>
              <w:rPr>
                <w:rFonts w:ascii="仿宋_GB2312" w:eastAsia="仿宋_GB2312" w:hAnsiTheme="minorHAnsi" w:cstheme="minorBidi"/>
                <w:sz w:val="24"/>
                <w:szCs w:val="24"/>
              </w:rPr>
              <w:t>世界国家排名第一</w:t>
            </w:r>
            <w:r>
              <w:rPr>
                <w:rFonts w:hint="eastAsia" w:ascii="仿宋_GB2312" w:eastAsia="仿宋_GB2312" w:hAnsiTheme="minorHAnsi" w:cstheme="minorBid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北京</w:t>
            </w:r>
          </w:p>
        </w:tc>
        <w:tc>
          <w:tcPr>
            <w:tcW w:w="4253" w:type="dxa"/>
            <w:gridSpan w:val="5"/>
          </w:tcPr>
          <w:p>
            <w:pPr>
              <w:rPr>
                <w:rFonts w:ascii="仿宋_GB2312" w:eastAsia="仿宋_GB2312" w:hAnsiTheme="minorHAnsi" w:cstheme="minorBidi"/>
                <w:sz w:val="24"/>
                <w:szCs w:val="24"/>
              </w:rPr>
            </w:pPr>
            <w:r>
              <w:rPr>
                <w:rFonts w:ascii="仿宋_GB2312" w:eastAsia="仿宋_GB2312" w:hAnsiTheme="minorHAnsi" w:cstheme="minorBidi"/>
                <w:sz w:val="24"/>
                <w:szCs w:val="24"/>
              </w:rPr>
              <w:t>5.96%</w:t>
            </w:r>
            <w:r>
              <w:rPr>
                <w:rFonts w:hint="eastAsia" w:ascii="仿宋_GB2312" w:eastAsia="仿宋_GB2312" w:hAnsiTheme="minorHAnsi" w:cstheme="minorBidi"/>
                <w:sz w:val="24"/>
                <w:szCs w:val="24"/>
              </w:rPr>
              <w:t>（2017年,</w:t>
            </w:r>
            <w:r>
              <w:rPr>
                <w:rFonts w:ascii="仿宋_GB2312" w:eastAsia="仿宋_GB2312" w:hAnsiTheme="minorHAnsi" w:cstheme="minorBidi"/>
                <w:sz w:val="24"/>
                <w:szCs w:val="24"/>
              </w:rPr>
              <w:t>中国城市第一</w:t>
            </w:r>
            <w:r>
              <w:rPr>
                <w:rFonts w:hint="eastAsia" w:ascii="仿宋_GB2312" w:eastAsia="仿宋_GB2312" w:hAnsiTheme="minorHAnsi" w:cstheme="minorBidi"/>
                <w:sz w:val="24"/>
                <w:szCs w:val="24"/>
              </w:rPr>
              <w:t>）</w:t>
            </w: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（二）重大科技基础设施建设数量</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反映原始创新支撑条件。指国家级、省级、市级的重大科技基础设施数量。</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年，已明确落户光明科学城的有合成生物学、脑解析脑模拟等6个重大科技基础设施，根据重大科技基础设施建设进度，2</w:t>
      </w:r>
      <w:r>
        <w:rPr>
          <w:rFonts w:ascii="仿宋_GB2312" w:eastAsia="仿宋_GB2312" w:hAnsiTheme="minorHAnsi" w:cstheme="minorBidi"/>
          <w:sz w:val="32"/>
          <w:szCs w:val="32"/>
        </w:rPr>
        <w:t>019年预计开工建设合成生物学</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材料基因组平台和空间引力波探测</w:t>
      </w:r>
      <w:r>
        <w:rPr>
          <w:rFonts w:hint="eastAsia" w:ascii="仿宋_GB2312" w:eastAsia="仿宋_GB2312" w:hAnsiTheme="minorHAnsi" w:cstheme="minorBidi"/>
          <w:sz w:val="32"/>
          <w:szCs w:val="32"/>
        </w:rPr>
        <w:t>3个重大科技基础设施，2</w:t>
      </w:r>
      <w:r>
        <w:rPr>
          <w:rFonts w:ascii="仿宋_GB2312" w:eastAsia="仿宋_GB2312" w:hAnsiTheme="minorHAnsi" w:cstheme="minorBidi"/>
          <w:sz w:val="32"/>
          <w:szCs w:val="32"/>
        </w:rPr>
        <w:t>02</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年预计</w:t>
      </w:r>
      <w:r>
        <w:rPr>
          <w:rFonts w:hint="eastAsia" w:ascii="仿宋_GB2312" w:eastAsia="仿宋_GB2312" w:hAnsiTheme="minorHAnsi" w:cstheme="minorBidi"/>
          <w:sz w:val="32"/>
          <w:szCs w:val="32"/>
        </w:rPr>
        <w:t>已明确的6个重大科技基础设施全部开工建设，每个设施建设周期五年左右，结合《光明科学城总体发展规划》，到2</w:t>
      </w:r>
      <w:r>
        <w:rPr>
          <w:rFonts w:ascii="仿宋_GB2312" w:eastAsia="仿宋_GB2312" w:hAnsiTheme="minorHAnsi" w:cstheme="minorBidi"/>
          <w:sz w:val="32"/>
          <w:szCs w:val="32"/>
        </w:rPr>
        <w:t>025年</w:t>
      </w:r>
      <w:r>
        <w:rPr>
          <w:rFonts w:hint="eastAsia" w:ascii="仿宋_GB2312" w:eastAsia="仿宋_GB2312" w:hAnsiTheme="minorHAnsi" w:cstheme="minorBidi"/>
          <w:sz w:val="32"/>
          <w:szCs w:val="32"/>
        </w:rPr>
        <w:t>预计有</w:t>
      </w:r>
      <w:r>
        <w:rPr>
          <w:rFonts w:ascii="仿宋_GB2312" w:eastAsia="仿宋_GB2312" w:hAnsiTheme="minorHAnsi" w:cstheme="minorBidi"/>
          <w:sz w:val="32"/>
          <w:szCs w:val="32"/>
        </w:rPr>
        <w:t>6</w:t>
      </w:r>
      <w:r>
        <w:rPr>
          <w:rFonts w:hint="eastAsia" w:ascii="仿宋_GB2312" w:eastAsia="仿宋_GB2312" w:hAnsiTheme="minorHAnsi" w:cstheme="minorBidi"/>
          <w:sz w:val="32"/>
          <w:szCs w:val="32"/>
        </w:rPr>
        <w:t>个重大科技基础设施建成。</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随着综合性国家科学中心的加快推进，港深两地会加快谋划重大科技基础设施，结合《光明科学城总体发展规划》，同时国家级重大科技基础设施也会向光明科学城倾斜布局，到2</w:t>
      </w:r>
      <w:r>
        <w:rPr>
          <w:rFonts w:ascii="仿宋_GB2312" w:eastAsia="仿宋_GB2312" w:hAnsiTheme="minorHAnsi" w:cstheme="minorBidi"/>
          <w:sz w:val="32"/>
          <w:szCs w:val="32"/>
        </w:rPr>
        <w:t>035年预计重大科技基础设施建成数量</w:t>
      </w:r>
      <w:r>
        <w:rPr>
          <w:rFonts w:hint="eastAsia" w:ascii="仿宋_GB2312" w:eastAsia="仿宋_GB2312" w:hAnsiTheme="minorHAnsi" w:cstheme="minorBidi"/>
          <w:sz w:val="32"/>
          <w:szCs w:val="32"/>
        </w:rPr>
        <w:t>超过</w:t>
      </w:r>
      <w:r>
        <w:rPr>
          <w:rFonts w:ascii="仿宋_GB2312" w:eastAsia="仿宋_GB2312" w:hAnsiTheme="minorHAnsi" w:cstheme="minorBidi"/>
          <w:sz w:val="32"/>
          <w:szCs w:val="32"/>
        </w:rPr>
        <w:t>10个</w:t>
      </w:r>
      <w:r>
        <w:rPr>
          <w:rFonts w:hint="eastAsia" w:ascii="仿宋_GB2312" w:eastAsia="仿宋_GB2312" w:hAnsiTheme="minorHAnsi" w:cstheme="minorBidi"/>
          <w:sz w:val="32"/>
          <w:szCs w:val="32"/>
        </w:rPr>
        <w:t>。</w:t>
      </w:r>
    </w:p>
    <w:p>
      <w:pPr>
        <w:ind w:firstLine="640" w:firstLineChars="200"/>
        <w:rPr>
          <w:rFonts w:ascii="仿宋_GB2312" w:eastAsia="仿宋_GB2312" w:hAnsiTheme="minorHAnsi" w:cstheme="minorBidi"/>
          <w:sz w:val="32"/>
          <w:szCs w:val="32"/>
        </w:rPr>
      </w:pPr>
    </w:p>
    <w:tbl>
      <w:tblPr>
        <w:tblStyle w:val="3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992"/>
        <w:gridCol w:w="993"/>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vAlign w:val="center"/>
          </w:tcPr>
          <w:p>
            <w:pPr>
              <w:jc w:val="left"/>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0</w:t>
            </w: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0</w:t>
            </w: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p>
        </w:tc>
        <w:tc>
          <w:tcPr>
            <w:tcW w:w="1134" w:type="dxa"/>
          </w:tcPr>
          <w:p>
            <w:pPr>
              <w:jc w:val="center"/>
              <w:rPr>
                <w:rFonts w:ascii="仿宋_GB2312" w:eastAsia="仿宋_GB2312" w:hAnsiTheme="minorHAnsi" w:cstheme="minorBidi"/>
                <w:sz w:val="24"/>
                <w:szCs w:val="24"/>
              </w:rPr>
            </w:pP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深圳市可持续发展规划</w:t>
            </w: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p>
        </w:tc>
        <w:tc>
          <w:tcPr>
            <w:tcW w:w="993"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6</w:t>
            </w:r>
          </w:p>
        </w:tc>
        <w:tc>
          <w:tcPr>
            <w:tcW w:w="992"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10</w:t>
            </w:r>
          </w:p>
        </w:tc>
        <w:tc>
          <w:tcPr>
            <w:tcW w:w="1134"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12</w:t>
            </w:r>
          </w:p>
        </w:tc>
        <w:tc>
          <w:tcPr>
            <w:tcW w:w="1134" w:type="dxa"/>
          </w:tcPr>
          <w:p>
            <w:pP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深圳市十大重大科技基础设施建设实施方案</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5</w:t>
            </w:r>
          </w:p>
        </w:tc>
        <w:tc>
          <w:tcPr>
            <w:tcW w:w="992"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w:t>
            </w:r>
          </w:p>
        </w:tc>
        <w:tc>
          <w:tcPr>
            <w:tcW w:w="1134"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光明科学城总体发展规划</w:t>
            </w:r>
          </w:p>
        </w:tc>
        <w:tc>
          <w:tcPr>
            <w:tcW w:w="992" w:type="dxa"/>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6</w:t>
            </w:r>
          </w:p>
        </w:tc>
        <w:tc>
          <w:tcPr>
            <w:tcW w:w="1134"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上海张江综合性国家科学中心</w:t>
            </w:r>
          </w:p>
        </w:tc>
        <w:tc>
          <w:tcPr>
            <w:tcW w:w="992" w:type="dxa"/>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3</w:t>
            </w:r>
            <w:r>
              <w:rPr>
                <w:rFonts w:hint="eastAsia" w:ascii="仿宋_GB2312" w:eastAsia="仿宋_GB2312" w:hAnsiTheme="minorHAnsi" w:cstheme="minorBidi"/>
                <w:sz w:val="24"/>
                <w:szCs w:val="24"/>
              </w:rPr>
              <w:t xml:space="preserve"> </w:t>
            </w:r>
          </w:p>
        </w:tc>
        <w:tc>
          <w:tcPr>
            <w:tcW w:w="1134"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合肥综合性国家科学中心</w:t>
            </w:r>
          </w:p>
        </w:tc>
        <w:tc>
          <w:tcPr>
            <w:tcW w:w="992" w:type="dxa"/>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w:t>
            </w:r>
            <w:r>
              <w:rPr>
                <w:rFonts w:hint="eastAsia" w:ascii="仿宋_GB2312" w:eastAsia="仿宋_GB2312" w:hAnsiTheme="minorHAnsi" w:cstheme="minorBidi"/>
                <w:sz w:val="24"/>
                <w:szCs w:val="24"/>
              </w:rPr>
              <w:t xml:space="preserve"> </w:t>
            </w:r>
          </w:p>
        </w:tc>
        <w:tc>
          <w:tcPr>
            <w:tcW w:w="1134" w:type="dxa"/>
            <w:vAlign w:val="center"/>
          </w:tcPr>
          <w:p>
            <w:pPr>
              <w:jc w:val="center"/>
              <w:rPr>
                <w:rFonts w:ascii="仿宋_GB2312" w:eastAsia="仿宋_GB2312" w:hAnsiTheme="minorHAnsi" w:cstheme="minorBidi"/>
                <w:sz w:val="24"/>
                <w:szCs w:val="24"/>
              </w:rPr>
            </w:pP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（三）每万人发明专利拥有量</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科技创新成果、自主知识产权数量和自主创新水平。指每万人口拥有的经国内外知识产权行政部门授权且在有效期内的发明专利件数。计算公式：每万人发明专利拥有量=年末发明专利拥有量／年末常住总人口（万人）。</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年，光明每万人发明专利拥有量为</w:t>
      </w:r>
      <w:r>
        <w:rPr>
          <w:rFonts w:ascii="仿宋_GB2312" w:eastAsia="仿宋_GB2312" w:hAnsiTheme="minorHAnsi" w:cstheme="minorBidi"/>
          <w:sz w:val="32"/>
          <w:szCs w:val="32"/>
        </w:rPr>
        <w:t>45</w:t>
      </w:r>
      <w:r>
        <w:rPr>
          <w:rFonts w:hint="eastAsia" w:ascii="仿宋_GB2312" w:eastAsia="仿宋_GB2312" w:hAnsiTheme="minorHAnsi" w:cstheme="minorBidi"/>
          <w:sz w:val="32"/>
          <w:szCs w:val="32"/>
        </w:rPr>
        <w:t>件，随着光明科学城建设和高技术企业的集聚，预计到2</w:t>
      </w:r>
      <w:r>
        <w:rPr>
          <w:rFonts w:ascii="仿宋_GB2312" w:eastAsia="仿宋_GB2312" w:hAnsiTheme="minorHAnsi" w:cstheme="minorBidi"/>
          <w:sz w:val="32"/>
          <w:szCs w:val="32"/>
        </w:rPr>
        <w:t>025年达到</w:t>
      </w:r>
      <w:r>
        <w:rPr>
          <w:rFonts w:hint="eastAsia" w:ascii="仿宋_GB2312" w:eastAsia="仿宋_GB2312" w:hAnsiTheme="minorHAnsi" w:cstheme="minorBidi"/>
          <w:sz w:val="32"/>
          <w:szCs w:val="32"/>
        </w:rPr>
        <w:t>《深圳建设社会主义现代化先行区》的深圳市平均水平9</w:t>
      </w:r>
      <w:r>
        <w:rPr>
          <w:rFonts w:ascii="仿宋_GB2312" w:eastAsia="仿宋_GB2312" w:hAnsiTheme="minorHAnsi" w:cstheme="minorBidi"/>
          <w:sz w:val="32"/>
          <w:szCs w:val="32"/>
        </w:rPr>
        <w:t>2.5件</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平均增速为11</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计算得</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022年光明区目标值为68件</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025年以后随着光明科学城核心要素的全面建成</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产业生态体系初步形成</w:t>
      </w:r>
      <w:r>
        <w:rPr>
          <w:rFonts w:hint="eastAsia" w:ascii="仿宋_GB2312" w:eastAsia="仿宋_GB2312" w:hAnsiTheme="minorHAnsi" w:cstheme="minorBidi"/>
          <w:sz w:val="32"/>
          <w:szCs w:val="32"/>
        </w:rPr>
        <w:t>，对标上海张江和深圳南山2</w:t>
      </w:r>
      <w:r>
        <w:rPr>
          <w:rFonts w:ascii="仿宋_GB2312" w:eastAsia="仿宋_GB2312" w:hAnsiTheme="minorHAnsi" w:cstheme="minorBidi"/>
          <w:sz w:val="32"/>
          <w:szCs w:val="32"/>
        </w:rPr>
        <w:t>020年的</w:t>
      </w:r>
      <w:r>
        <w:rPr>
          <w:rFonts w:hint="eastAsia" w:ascii="仿宋_GB2312" w:eastAsia="仿宋_GB2312" w:hAnsiTheme="minorHAnsi" w:cstheme="minorBidi"/>
          <w:sz w:val="32"/>
          <w:szCs w:val="32"/>
        </w:rPr>
        <w:t>3</w:t>
      </w:r>
      <w:r>
        <w:rPr>
          <w:rFonts w:ascii="仿宋_GB2312" w:eastAsia="仿宋_GB2312" w:hAnsiTheme="minorHAnsi" w:cstheme="minorBidi"/>
          <w:sz w:val="32"/>
          <w:szCs w:val="32"/>
        </w:rPr>
        <w:t>00件和</w:t>
      </w:r>
      <w:r>
        <w:rPr>
          <w:rFonts w:hint="eastAsia" w:ascii="仿宋_GB2312" w:eastAsia="仿宋_GB2312" w:hAnsiTheme="minorHAnsi" w:cstheme="minorBidi"/>
          <w:sz w:val="32"/>
          <w:szCs w:val="32"/>
        </w:rPr>
        <w:t>3</w:t>
      </w:r>
      <w:r>
        <w:rPr>
          <w:rFonts w:ascii="仿宋_GB2312" w:eastAsia="仿宋_GB2312" w:hAnsiTheme="minorHAnsi" w:cstheme="minorBidi"/>
          <w:sz w:val="32"/>
          <w:szCs w:val="32"/>
        </w:rPr>
        <w:t>20件</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将光明区</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035年目标值设为</w:t>
      </w:r>
      <w:r>
        <w:rPr>
          <w:rFonts w:hint="eastAsia" w:ascii="仿宋_GB2312" w:eastAsia="仿宋_GB2312" w:hAnsiTheme="minorHAnsi" w:cstheme="minorBidi"/>
          <w:sz w:val="32"/>
          <w:szCs w:val="32"/>
        </w:rPr>
        <w:t>3</w:t>
      </w:r>
      <w:r>
        <w:rPr>
          <w:rFonts w:ascii="仿宋_GB2312" w:eastAsia="仿宋_GB2312" w:hAnsiTheme="minorHAnsi" w:cstheme="minorBidi"/>
          <w:sz w:val="32"/>
          <w:szCs w:val="32"/>
        </w:rPr>
        <w:t>00件</w:t>
      </w:r>
      <w:r>
        <w:rPr>
          <w:rFonts w:hint="eastAsia" w:ascii="仿宋_GB2312" w:eastAsia="仿宋_GB2312" w:hAnsiTheme="minorHAnsi" w:cstheme="minorBidi"/>
          <w:sz w:val="32"/>
          <w:szCs w:val="32"/>
        </w:rPr>
        <w:t>。</w:t>
      </w:r>
    </w:p>
    <w:tbl>
      <w:tblPr>
        <w:tblStyle w:val="3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315"/>
        <w:gridCol w:w="992"/>
        <w:gridCol w:w="1134"/>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1315"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1315"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5</w:t>
            </w:r>
          </w:p>
        </w:tc>
        <w:tc>
          <w:tcPr>
            <w:tcW w:w="992" w:type="dxa"/>
          </w:tcPr>
          <w:p>
            <w:pPr>
              <w:rPr>
                <w:rFonts w:ascii="仿宋_GB2312" w:eastAsia="仿宋_GB2312" w:hAnsiTheme="minorHAnsi" w:cstheme="minorBidi"/>
                <w:sz w:val="24"/>
                <w:szCs w:val="24"/>
              </w:rPr>
            </w:pP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9</w:t>
            </w:r>
            <w:r>
              <w:rPr>
                <w:rFonts w:ascii="仿宋_GB2312" w:eastAsia="仿宋_GB2312" w:hAnsiTheme="minorHAnsi" w:cstheme="minorBidi"/>
                <w:sz w:val="24"/>
                <w:szCs w:val="24"/>
              </w:rPr>
              <w:t>2.5</w:t>
            </w:r>
          </w:p>
        </w:tc>
        <w:tc>
          <w:tcPr>
            <w:tcW w:w="993" w:type="dxa"/>
          </w:tcPr>
          <w:p>
            <w:pPr>
              <w:rPr>
                <w:rFonts w:ascii="仿宋_GB2312" w:eastAsia="仿宋_GB2312" w:hAnsiTheme="minorHAnsi" w:cstheme="minorBidi"/>
                <w:sz w:val="24"/>
                <w:szCs w:val="24"/>
              </w:rPr>
            </w:pP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深圳建设社会主义现代化先行区</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88.5</w:t>
            </w:r>
          </w:p>
        </w:tc>
        <w:tc>
          <w:tcPr>
            <w:tcW w:w="1134"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92.5</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深圳市可持续发展规划</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8</w:t>
            </w:r>
            <w:r>
              <w:rPr>
                <w:rFonts w:ascii="仿宋_GB2312" w:eastAsia="仿宋_GB2312" w:hAnsiTheme="minorHAnsi" w:cstheme="minorBidi"/>
                <w:sz w:val="24"/>
                <w:szCs w:val="24"/>
              </w:rPr>
              <w:t>5</w:t>
            </w: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9</w:t>
            </w:r>
            <w:r>
              <w:rPr>
                <w:rFonts w:ascii="仿宋_GB2312" w:eastAsia="仿宋_GB2312" w:hAnsiTheme="minorHAnsi" w:cstheme="minorBidi"/>
                <w:sz w:val="24"/>
                <w:szCs w:val="24"/>
              </w:rPr>
              <w:t>0</w:t>
            </w: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00</w:t>
            </w:r>
          </w:p>
        </w:tc>
        <w:tc>
          <w:tcPr>
            <w:tcW w:w="992"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深圳市战略性新兴产业“十三五”规划</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r>
              <w:rPr>
                <w:rFonts w:ascii="仿宋_GB2312" w:eastAsia="仿宋_GB2312" w:hAnsiTheme="minorHAnsi" w:cstheme="minorBidi"/>
                <w:sz w:val="24"/>
                <w:szCs w:val="24"/>
              </w:rPr>
              <w:t>4</w:t>
            </w:r>
          </w:p>
        </w:tc>
        <w:tc>
          <w:tcPr>
            <w:tcW w:w="1134"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上海张江国家自主创新示范区发展规划纲要（2013-2020年</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00</w:t>
            </w:r>
          </w:p>
        </w:tc>
        <w:tc>
          <w:tcPr>
            <w:tcW w:w="1134"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张江园区“十三五”规划</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99</w:t>
            </w:r>
          </w:p>
        </w:tc>
        <w:tc>
          <w:tcPr>
            <w:tcW w:w="1134"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南山区科技及高新技术产业发展“十三五”规划</w:t>
            </w:r>
          </w:p>
        </w:tc>
        <w:tc>
          <w:tcPr>
            <w:tcW w:w="1315"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20</w:t>
            </w:r>
          </w:p>
        </w:tc>
        <w:tc>
          <w:tcPr>
            <w:tcW w:w="1134"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（四）海外高层次人才</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反映创新人才储备。指辖区统计孔雀人才数量。</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年，光明海外高层次人才数为</w:t>
      </w:r>
      <w:r>
        <w:rPr>
          <w:rFonts w:ascii="仿宋_GB2312" w:eastAsia="仿宋_GB2312" w:hAnsiTheme="minorHAnsi" w:cstheme="minorBidi"/>
          <w:sz w:val="32"/>
          <w:szCs w:val="32"/>
        </w:rPr>
        <w:t>36</w:t>
      </w:r>
      <w:r>
        <w:rPr>
          <w:rFonts w:hint="eastAsia" w:ascii="仿宋_GB2312" w:eastAsia="仿宋_GB2312" w:hAnsiTheme="minorHAnsi" w:cstheme="minorBidi"/>
          <w:sz w:val="32"/>
          <w:szCs w:val="32"/>
        </w:rPr>
        <w:t>人，随着光明科学城重大科技基础设施集群、高校和科研院所的建设，海外高层次人才会加速集聚，到2</w:t>
      </w:r>
      <w:r>
        <w:rPr>
          <w:rFonts w:ascii="仿宋_GB2312" w:eastAsia="仿宋_GB2312" w:hAnsiTheme="minorHAnsi" w:cstheme="minorBidi"/>
          <w:sz w:val="32"/>
          <w:szCs w:val="32"/>
        </w:rPr>
        <w:t>035年对标南山区</w:t>
      </w:r>
      <w:r>
        <w:rPr>
          <w:rFonts w:hint="eastAsia" w:ascii="仿宋_GB2312" w:eastAsia="仿宋_GB2312" w:hAnsiTheme="minorHAnsi" w:cstheme="minorBidi"/>
          <w:sz w:val="32"/>
          <w:szCs w:val="32"/>
        </w:rPr>
        <w:t>，设置光明区2</w:t>
      </w:r>
      <w:r>
        <w:rPr>
          <w:rFonts w:ascii="仿宋_GB2312" w:eastAsia="仿宋_GB2312" w:hAnsiTheme="minorHAnsi" w:cstheme="minorBidi"/>
          <w:sz w:val="32"/>
          <w:szCs w:val="32"/>
        </w:rPr>
        <w:t>035年目标值为</w:t>
      </w: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600人</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018</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2035年年均增速为25</w:t>
      </w:r>
      <w:r>
        <w:rPr>
          <w:rFonts w:hint="eastAsia" w:ascii="仿宋_GB2312" w:eastAsia="仿宋_GB2312" w:hAnsiTheme="minorHAnsi" w:cstheme="minorBidi"/>
          <w:sz w:val="32"/>
          <w:szCs w:val="32"/>
        </w:rPr>
        <w:t>%，经</w:t>
      </w:r>
      <w:r>
        <w:rPr>
          <w:rFonts w:ascii="仿宋_GB2312" w:eastAsia="仿宋_GB2312" w:hAnsiTheme="minorHAnsi" w:cstheme="minorBidi"/>
          <w:sz w:val="32"/>
          <w:szCs w:val="32"/>
        </w:rPr>
        <w:t>有关</w:t>
      </w:r>
      <w:r>
        <w:rPr>
          <w:rFonts w:hint="eastAsia" w:ascii="仿宋_GB2312" w:eastAsia="仿宋_GB2312" w:hAnsiTheme="minorHAnsi" w:cstheme="minorBidi"/>
          <w:sz w:val="32"/>
          <w:szCs w:val="32"/>
        </w:rPr>
        <w:t>测算可得光明区202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年和2025年海外高层次人才分别为8</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人和</w:t>
      </w:r>
      <w:r>
        <w:rPr>
          <w:rFonts w:ascii="仿宋_GB2312" w:eastAsia="仿宋_GB2312" w:hAnsiTheme="minorHAnsi" w:cstheme="minorBidi"/>
          <w:sz w:val="32"/>
          <w:szCs w:val="32"/>
        </w:rPr>
        <w:t>170</w:t>
      </w:r>
      <w:r>
        <w:rPr>
          <w:rFonts w:hint="eastAsia" w:ascii="仿宋_GB2312" w:eastAsia="仿宋_GB2312" w:hAnsiTheme="minorHAnsi" w:cstheme="minorBidi"/>
          <w:sz w:val="32"/>
          <w:szCs w:val="32"/>
        </w:rPr>
        <w:t>人</w:t>
      </w:r>
      <w:r>
        <w:rPr>
          <w:rFonts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993"/>
        <w:gridCol w:w="992"/>
        <w:gridCol w:w="993"/>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6" w:type="dxa"/>
            <w:vAlign w:val="center"/>
          </w:tcPr>
          <w:p>
            <w:pPr>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指标参考来源</w:t>
            </w:r>
          </w:p>
        </w:tc>
        <w:tc>
          <w:tcPr>
            <w:tcW w:w="993"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2</w:t>
            </w:r>
            <w:r>
              <w:rPr>
                <w:rFonts w:ascii="仿宋_GB2312" w:eastAsia="仿宋_GB2312" w:hAnsiTheme="minorHAnsi" w:cstheme="minorBidi"/>
                <w:sz w:val="24"/>
                <w:szCs w:val="28"/>
              </w:rPr>
              <w:t>018年完成值</w:t>
            </w:r>
          </w:p>
        </w:tc>
        <w:tc>
          <w:tcPr>
            <w:tcW w:w="992"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2</w:t>
            </w:r>
            <w:r>
              <w:rPr>
                <w:rFonts w:ascii="仿宋_GB2312" w:eastAsia="仿宋_GB2312" w:hAnsiTheme="minorHAnsi" w:cstheme="minorBidi"/>
                <w:sz w:val="24"/>
                <w:szCs w:val="28"/>
              </w:rPr>
              <w:t>020年目标值</w:t>
            </w:r>
          </w:p>
        </w:tc>
        <w:tc>
          <w:tcPr>
            <w:tcW w:w="993"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2</w:t>
            </w:r>
            <w:r>
              <w:rPr>
                <w:rFonts w:ascii="仿宋_GB2312" w:eastAsia="仿宋_GB2312" w:hAnsiTheme="minorHAnsi" w:cstheme="minorBidi"/>
                <w:sz w:val="24"/>
                <w:szCs w:val="28"/>
              </w:rPr>
              <w:t>025年目标值</w:t>
            </w:r>
          </w:p>
        </w:tc>
        <w:tc>
          <w:tcPr>
            <w:tcW w:w="992"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2</w:t>
            </w:r>
            <w:r>
              <w:rPr>
                <w:rFonts w:ascii="仿宋_GB2312" w:eastAsia="仿宋_GB2312" w:hAnsiTheme="minorHAnsi" w:cstheme="minorBidi"/>
                <w:sz w:val="24"/>
                <w:szCs w:val="28"/>
              </w:rPr>
              <w:t>030年目标值</w:t>
            </w:r>
          </w:p>
        </w:tc>
        <w:tc>
          <w:tcPr>
            <w:tcW w:w="993"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6" w:type="dxa"/>
            <w:vAlign w:val="center"/>
          </w:tcPr>
          <w:p>
            <w:pPr>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本规划</w:t>
            </w:r>
          </w:p>
        </w:tc>
        <w:tc>
          <w:tcPr>
            <w:tcW w:w="993" w:type="dxa"/>
          </w:tcPr>
          <w:p>
            <w:pPr>
              <w:tabs>
                <w:tab w:val="left" w:pos="650"/>
              </w:tabs>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3</w:t>
            </w:r>
            <w:r>
              <w:rPr>
                <w:rFonts w:ascii="仿宋_GB2312" w:eastAsia="仿宋_GB2312" w:hAnsiTheme="minorHAnsi" w:cstheme="minorBidi"/>
                <w:sz w:val="24"/>
                <w:szCs w:val="28"/>
              </w:rPr>
              <w:t>6</w:t>
            </w:r>
          </w:p>
        </w:tc>
        <w:tc>
          <w:tcPr>
            <w:tcW w:w="992" w:type="dxa"/>
          </w:tcPr>
          <w:p>
            <w:pPr>
              <w:jc w:val="center"/>
              <w:rPr>
                <w:rFonts w:ascii="仿宋_GB2312" w:eastAsia="仿宋_GB2312" w:hAnsiTheme="minorHAnsi" w:cstheme="minorBidi"/>
                <w:sz w:val="24"/>
                <w:szCs w:val="28"/>
              </w:rPr>
            </w:pPr>
          </w:p>
        </w:tc>
        <w:tc>
          <w:tcPr>
            <w:tcW w:w="993" w:type="dxa"/>
          </w:tcPr>
          <w:p>
            <w:pPr>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1</w:t>
            </w:r>
            <w:r>
              <w:rPr>
                <w:rFonts w:ascii="仿宋_GB2312" w:eastAsia="仿宋_GB2312" w:hAnsiTheme="minorHAnsi" w:cstheme="minorBidi"/>
                <w:sz w:val="24"/>
                <w:szCs w:val="28"/>
              </w:rPr>
              <w:t>70</w:t>
            </w:r>
          </w:p>
        </w:tc>
        <w:tc>
          <w:tcPr>
            <w:tcW w:w="992" w:type="dxa"/>
          </w:tcPr>
          <w:p>
            <w:pPr>
              <w:jc w:val="center"/>
              <w:rPr>
                <w:rFonts w:ascii="仿宋_GB2312" w:eastAsia="仿宋_GB2312" w:hAnsiTheme="minorHAnsi" w:cstheme="minorBidi"/>
                <w:sz w:val="24"/>
                <w:szCs w:val="28"/>
              </w:rPr>
            </w:pPr>
          </w:p>
        </w:tc>
        <w:tc>
          <w:tcPr>
            <w:tcW w:w="993" w:type="dxa"/>
          </w:tcPr>
          <w:p>
            <w:pPr>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1</w:t>
            </w:r>
            <w:r>
              <w:rPr>
                <w:rFonts w:ascii="仿宋_GB2312" w:eastAsia="仿宋_GB2312" w:hAnsiTheme="minorHAnsi" w:cstheme="minorBidi"/>
                <w:sz w:val="24"/>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深圳市国家可持续发展议程创新示范区建设方案（2017-2020年）</w:t>
            </w:r>
          </w:p>
        </w:tc>
        <w:tc>
          <w:tcPr>
            <w:tcW w:w="993" w:type="dxa"/>
            <w:vAlign w:val="center"/>
          </w:tcPr>
          <w:p>
            <w:pPr>
              <w:jc w:val="center"/>
              <w:rPr>
                <w:rFonts w:ascii="仿宋_GB2312" w:eastAsia="仿宋_GB2312" w:hAnsiTheme="minorHAnsi" w:cstheme="minorBidi"/>
                <w:sz w:val="24"/>
                <w:szCs w:val="28"/>
              </w:rPr>
            </w:pPr>
          </w:p>
        </w:tc>
        <w:tc>
          <w:tcPr>
            <w:tcW w:w="992" w:type="dxa"/>
            <w:vAlign w:val="center"/>
          </w:tcPr>
          <w:p>
            <w:pPr>
              <w:jc w:val="center"/>
              <w:rPr>
                <w:rFonts w:ascii="仿宋_GB2312" w:eastAsia="仿宋_GB2312" w:hAnsiTheme="minorHAnsi" w:cstheme="minorBidi"/>
                <w:sz w:val="24"/>
                <w:szCs w:val="28"/>
              </w:rPr>
            </w:pPr>
            <w:r>
              <w:rPr>
                <w:rFonts w:ascii="仿宋_GB2312" w:eastAsia="仿宋_GB2312" w:hAnsiTheme="minorHAnsi" w:cstheme="minorBidi"/>
                <w:sz w:val="24"/>
                <w:szCs w:val="28"/>
              </w:rPr>
              <w:t>2000</w:t>
            </w:r>
          </w:p>
        </w:tc>
        <w:tc>
          <w:tcPr>
            <w:tcW w:w="993" w:type="dxa"/>
          </w:tcPr>
          <w:p>
            <w:pPr>
              <w:rPr>
                <w:rFonts w:ascii="仿宋_GB2312" w:eastAsia="仿宋_GB2312" w:hAnsiTheme="minorHAnsi" w:cstheme="minorBidi"/>
                <w:sz w:val="24"/>
                <w:szCs w:val="28"/>
              </w:rPr>
            </w:pPr>
          </w:p>
        </w:tc>
        <w:tc>
          <w:tcPr>
            <w:tcW w:w="992" w:type="dxa"/>
          </w:tcPr>
          <w:p>
            <w:pPr>
              <w:rPr>
                <w:rFonts w:ascii="仿宋_GB2312" w:eastAsia="仿宋_GB2312" w:hAnsiTheme="minorHAnsi" w:cstheme="minorBidi"/>
                <w:sz w:val="24"/>
                <w:szCs w:val="28"/>
              </w:rPr>
            </w:pPr>
          </w:p>
        </w:tc>
        <w:tc>
          <w:tcPr>
            <w:tcW w:w="993" w:type="dxa"/>
          </w:tcPr>
          <w:p>
            <w:pPr>
              <w:rPr>
                <w:rFonts w:ascii="仿宋_GB2312" w:eastAsia="仿宋_GB2312" w:hAnsiTheme="minorHAnsi" w:cstheme="minorBid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张江园区“十三五”规划</w:t>
            </w:r>
          </w:p>
        </w:tc>
        <w:tc>
          <w:tcPr>
            <w:tcW w:w="993" w:type="dxa"/>
            <w:vAlign w:val="center"/>
          </w:tcPr>
          <w:p>
            <w:pPr>
              <w:jc w:val="center"/>
              <w:rPr>
                <w:rFonts w:ascii="仿宋_GB2312" w:eastAsia="仿宋_GB2312" w:hAnsiTheme="minorHAnsi" w:cstheme="minorBidi"/>
                <w:sz w:val="24"/>
                <w:szCs w:val="28"/>
              </w:rPr>
            </w:pPr>
          </w:p>
        </w:tc>
        <w:tc>
          <w:tcPr>
            <w:tcW w:w="992" w:type="dxa"/>
            <w:vAlign w:val="center"/>
          </w:tcPr>
          <w:p>
            <w:pPr>
              <w:jc w:val="center"/>
              <w:rPr>
                <w:rFonts w:ascii="仿宋_GB2312" w:eastAsia="仿宋_GB2312" w:hAnsiTheme="minorHAnsi" w:cstheme="minorBidi"/>
                <w:sz w:val="24"/>
                <w:szCs w:val="28"/>
              </w:rPr>
            </w:pPr>
            <w:r>
              <w:rPr>
                <w:rFonts w:hint="eastAsia" w:ascii="仿宋_GB2312" w:eastAsia="仿宋_GB2312" w:hAnsiTheme="minorHAnsi" w:cstheme="minorBidi"/>
                <w:sz w:val="24"/>
                <w:szCs w:val="28"/>
              </w:rPr>
              <w:t>2</w:t>
            </w:r>
            <w:r>
              <w:rPr>
                <w:rFonts w:ascii="仿宋_GB2312" w:eastAsia="仿宋_GB2312" w:hAnsiTheme="minorHAnsi" w:cstheme="minorBidi"/>
                <w:sz w:val="24"/>
                <w:szCs w:val="28"/>
              </w:rPr>
              <w:t>0000</w:t>
            </w:r>
          </w:p>
        </w:tc>
        <w:tc>
          <w:tcPr>
            <w:tcW w:w="993" w:type="dxa"/>
          </w:tcPr>
          <w:p>
            <w:pPr>
              <w:rPr>
                <w:rFonts w:ascii="仿宋_GB2312" w:eastAsia="仿宋_GB2312" w:hAnsiTheme="minorHAnsi" w:cstheme="minorBidi"/>
                <w:sz w:val="24"/>
                <w:szCs w:val="28"/>
              </w:rPr>
            </w:pPr>
          </w:p>
        </w:tc>
        <w:tc>
          <w:tcPr>
            <w:tcW w:w="992" w:type="dxa"/>
          </w:tcPr>
          <w:p>
            <w:pPr>
              <w:rPr>
                <w:rFonts w:ascii="仿宋_GB2312" w:eastAsia="仿宋_GB2312" w:hAnsiTheme="minorHAnsi" w:cstheme="minorBidi"/>
                <w:sz w:val="24"/>
                <w:szCs w:val="28"/>
              </w:rPr>
            </w:pPr>
          </w:p>
        </w:tc>
        <w:tc>
          <w:tcPr>
            <w:tcW w:w="993" w:type="dxa"/>
          </w:tcPr>
          <w:p>
            <w:pPr>
              <w:rPr>
                <w:rFonts w:ascii="仿宋_GB2312" w:eastAsia="仿宋_GB2312" w:hAnsiTheme="minorHAnsi" w:cstheme="minorBid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Pr>
          <w:p>
            <w:pPr>
              <w:rPr>
                <w:rFonts w:ascii="仿宋_GB2312" w:eastAsia="仿宋_GB2312" w:hAnsiTheme="minorHAnsi" w:cstheme="minorBidi"/>
                <w:sz w:val="24"/>
                <w:szCs w:val="28"/>
              </w:rPr>
            </w:pPr>
            <w:r>
              <w:rPr>
                <w:rFonts w:hint="eastAsia" w:ascii="仿宋_GB2312" w:eastAsia="仿宋_GB2312" w:hAnsiTheme="minorHAnsi" w:cstheme="minorBidi"/>
                <w:sz w:val="24"/>
                <w:szCs w:val="28"/>
              </w:rPr>
              <w:t>南山区</w:t>
            </w:r>
          </w:p>
        </w:tc>
        <w:tc>
          <w:tcPr>
            <w:tcW w:w="993" w:type="dxa"/>
            <w:vAlign w:val="center"/>
          </w:tcPr>
          <w:p>
            <w:pPr>
              <w:rPr>
                <w:rFonts w:ascii="仿宋_GB2312" w:eastAsia="仿宋_GB2312" w:hAnsiTheme="minorHAnsi" w:cstheme="minorBidi"/>
                <w:sz w:val="24"/>
                <w:szCs w:val="28"/>
              </w:rPr>
            </w:pPr>
            <w:r>
              <w:rPr>
                <w:rFonts w:ascii="仿宋_GB2312" w:eastAsia="仿宋_GB2312" w:hAnsiTheme="minorHAnsi" w:cstheme="minorBidi"/>
                <w:sz w:val="24"/>
                <w:szCs w:val="28"/>
              </w:rPr>
              <w:t>&gt;1600</w:t>
            </w:r>
          </w:p>
        </w:tc>
        <w:tc>
          <w:tcPr>
            <w:tcW w:w="992" w:type="dxa"/>
            <w:vAlign w:val="center"/>
          </w:tcPr>
          <w:p>
            <w:pPr>
              <w:rPr>
                <w:rFonts w:ascii="仿宋_GB2312" w:eastAsia="仿宋_GB2312" w:hAnsiTheme="minorHAnsi" w:cstheme="minorBidi"/>
                <w:sz w:val="24"/>
                <w:szCs w:val="28"/>
              </w:rPr>
            </w:pPr>
          </w:p>
        </w:tc>
        <w:tc>
          <w:tcPr>
            <w:tcW w:w="993" w:type="dxa"/>
            <w:vAlign w:val="center"/>
          </w:tcPr>
          <w:p>
            <w:pPr>
              <w:rPr>
                <w:rFonts w:ascii="仿宋_GB2312" w:eastAsia="仿宋_GB2312" w:hAnsiTheme="minorHAnsi" w:cstheme="minorBidi"/>
                <w:sz w:val="24"/>
                <w:szCs w:val="28"/>
              </w:rPr>
            </w:pPr>
          </w:p>
        </w:tc>
        <w:tc>
          <w:tcPr>
            <w:tcW w:w="992" w:type="dxa"/>
            <w:vAlign w:val="center"/>
          </w:tcPr>
          <w:p>
            <w:pPr>
              <w:rPr>
                <w:rFonts w:ascii="仿宋_GB2312" w:eastAsia="仿宋_GB2312" w:hAnsiTheme="minorHAnsi" w:cstheme="minorBidi"/>
                <w:sz w:val="24"/>
                <w:szCs w:val="28"/>
              </w:rPr>
            </w:pPr>
          </w:p>
        </w:tc>
        <w:tc>
          <w:tcPr>
            <w:tcW w:w="993" w:type="dxa"/>
            <w:vAlign w:val="center"/>
          </w:tcPr>
          <w:p>
            <w:pPr>
              <w:rPr>
                <w:rFonts w:ascii="仿宋_GB2312" w:eastAsia="仿宋_GB2312" w:hAnsiTheme="minorHAnsi" w:cstheme="minorBidi"/>
                <w:sz w:val="24"/>
                <w:szCs w:val="28"/>
              </w:rPr>
            </w:pPr>
          </w:p>
        </w:tc>
      </w:tr>
    </w:tbl>
    <w:p>
      <w:pPr>
        <w:spacing w:line="60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二、生态</w:t>
      </w:r>
      <w:r>
        <w:rPr>
          <w:rFonts w:ascii="黑体" w:hAnsi="黑体" w:eastAsia="黑体" w:cstheme="minorBidi"/>
          <w:sz w:val="32"/>
          <w:szCs w:val="32"/>
        </w:rPr>
        <w:t>驱动</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（五）产业基础设施数量</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反映产业发展支撑能力。指用于支撑产品检验认证、测试服务、数据运算与存储等公共服务设施。</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到2</w:t>
      </w:r>
      <w:r>
        <w:rPr>
          <w:rFonts w:ascii="仿宋_GB2312" w:eastAsia="仿宋_GB2312" w:hAnsiTheme="minorHAnsi" w:cstheme="minorBidi"/>
          <w:sz w:val="32"/>
          <w:szCs w:val="32"/>
        </w:rPr>
        <w:t>022年</w:t>
      </w:r>
      <w:r>
        <w:rPr>
          <w:rFonts w:hint="eastAsia" w:ascii="仿宋_GB2312" w:eastAsia="仿宋_GB2312" w:hAnsiTheme="minorHAnsi" w:cstheme="minorBidi"/>
          <w:sz w:val="32"/>
          <w:szCs w:val="32"/>
        </w:rPr>
        <w:t>在智能产业、新材料、生物医药等三个主导产业先行布局3个产业基础设施，随着产业集群的发展壮大，每个领域各新增2个产业基础设施，到2</w:t>
      </w:r>
      <w:r>
        <w:rPr>
          <w:rFonts w:ascii="仿宋_GB2312" w:eastAsia="仿宋_GB2312" w:hAnsiTheme="minorHAnsi" w:cstheme="minorBidi"/>
          <w:sz w:val="32"/>
          <w:szCs w:val="32"/>
        </w:rPr>
        <w:t>025年</w:t>
      </w:r>
      <w:r>
        <w:rPr>
          <w:rFonts w:hint="eastAsia" w:ascii="仿宋_GB2312" w:eastAsia="仿宋_GB2312" w:hAnsiTheme="minorHAnsi" w:cstheme="minorBidi"/>
          <w:sz w:val="32"/>
          <w:szCs w:val="32"/>
        </w:rPr>
        <w:t>共布局</w:t>
      </w:r>
      <w:r>
        <w:rPr>
          <w:rFonts w:ascii="仿宋_GB2312" w:eastAsia="仿宋_GB2312" w:hAnsiTheme="minorHAnsi" w:cstheme="minorBidi"/>
          <w:sz w:val="32"/>
          <w:szCs w:val="32"/>
        </w:rPr>
        <w:t>9</w:t>
      </w:r>
      <w:r>
        <w:rPr>
          <w:rFonts w:hint="eastAsia" w:ascii="仿宋_GB2312" w:eastAsia="仿宋_GB2312" w:hAnsiTheme="minorHAnsi" w:cstheme="minorBidi"/>
          <w:sz w:val="32"/>
          <w:szCs w:val="32"/>
        </w:rPr>
        <w:t>个产业基础设施，产业集群规模不断壮大，到2</w:t>
      </w:r>
      <w:r>
        <w:rPr>
          <w:rFonts w:ascii="仿宋_GB2312" w:eastAsia="仿宋_GB2312" w:hAnsiTheme="minorHAnsi" w:cstheme="minorBidi"/>
          <w:sz w:val="32"/>
          <w:szCs w:val="32"/>
        </w:rPr>
        <w:t>035年布局</w:t>
      </w: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5个产业基础设施</w:t>
      </w:r>
      <w:r>
        <w:rPr>
          <w:rFonts w:hint="eastAsia" w:ascii="仿宋_GB2312" w:eastAsia="仿宋_GB2312" w:hAnsiTheme="minorHAnsi" w:cstheme="minorBidi"/>
          <w:sz w:val="32"/>
          <w:szCs w:val="32"/>
        </w:rPr>
        <w:t>。</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（六）市级及以上创新载体数量</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反映载体平台建设情况。指辖区统计国家、省、市等市级以上科技创新平台数量,</w:t>
      </w:r>
      <w:r>
        <w:rPr>
          <w:rFonts w:hint="eastAsia"/>
        </w:rPr>
        <w:t xml:space="preserve"> </w:t>
      </w:r>
      <w:r>
        <w:rPr>
          <w:rFonts w:hint="eastAsia" w:ascii="仿宋_GB2312" w:eastAsia="仿宋_GB2312" w:hAnsiTheme="minorHAnsi" w:cstheme="minorBidi"/>
          <w:sz w:val="32"/>
          <w:szCs w:val="32"/>
        </w:rPr>
        <w:t>包括的重点实验室、工程实验室、工程（技术）研究中心、企业技术中心等。</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年，光明国家、省、市创新载体数量为</w:t>
      </w:r>
      <w:r>
        <w:rPr>
          <w:rFonts w:ascii="仿宋_GB2312" w:eastAsia="仿宋_GB2312" w:hAnsiTheme="minorHAnsi" w:cstheme="minorBidi"/>
          <w:sz w:val="32"/>
          <w:szCs w:val="32"/>
        </w:rPr>
        <w:t>69</w:t>
      </w:r>
      <w:r>
        <w:rPr>
          <w:rFonts w:hint="eastAsia" w:ascii="仿宋_GB2312" w:eastAsia="仿宋_GB2312" w:hAnsiTheme="minorHAnsi" w:cstheme="minorBidi"/>
          <w:sz w:val="32"/>
          <w:szCs w:val="32"/>
        </w:rPr>
        <w:t>个，占全市比重3.</w:t>
      </w:r>
      <w:r>
        <w:rPr>
          <w:rFonts w:ascii="仿宋_GB2312" w:eastAsia="仿宋_GB2312" w:hAnsiTheme="minorHAnsi" w:cstheme="minorBidi"/>
          <w:sz w:val="32"/>
          <w:szCs w:val="32"/>
        </w:rPr>
        <w:t>7</w:t>
      </w:r>
      <w:r>
        <w:rPr>
          <w:rFonts w:hint="eastAsia" w:ascii="仿宋_GB2312" w:eastAsia="仿宋_GB2312" w:hAnsiTheme="minorHAnsi" w:cstheme="minorBidi"/>
          <w:sz w:val="32"/>
          <w:szCs w:val="32"/>
        </w:rPr>
        <w:t>%。随着光明科学城建设，各类创新载体会加速聚集，到2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对标</w:t>
      </w:r>
      <w:r>
        <w:rPr>
          <w:rFonts w:hint="eastAsia" w:ascii="仿宋_GB2312" w:eastAsia="仿宋_GB2312" w:hAnsiTheme="minorHAnsi" w:cstheme="minorBidi"/>
          <w:sz w:val="32"/>
          <w:szCs w:val="32"/>
        </w:rPr>
        <w:t>《南山区科技及高新技术产业发展“十三五”规划》2</w:t>
      </w:r>
      <w:r>
        <w:rPr>
          <w:rFonts w:ascii="仿宋_GB2312" w:eastAsia="仿宋_GB2312" w:hAnsiTheme="minorHAnsi" w:cstheme="minorBidi"/>
          <w:sz w:val="32"/>
          <w:szCs w:val="32"/>
        </w:rPr>
        <w:t>020年目标值</w:t>
      </w: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000个</w:t>
      </w:r>
      <w:r>
        <w:rPr>
          <w:rFonts w:hint="eastAsia" w:ascii="仿宋_GB2312" w:eastAsia="仿宋_GB2312" w:hAnsiTheme="minorHAnsi" w:cstheme="minorBidi"/>
          <w:sz w:val="32"/>
          <w:szCs w:val="32"/>
        </w:rPr>
        <w:t>，将光明区2</w:t>
      </w:r>
      <w:r>
        <w:rPr>
          <w:rFonts w:ascii="仿宋_GB2312" w:eastAsia="仿宋_GB2312" w:hAnsiTheme="minorHAnsi" w:cstheme="minorBidi"/>
          <w:sz w:val="32"/>
          <w:szCs w:val="32"/>
        </w:rPr>
        <w:t>035年目标值设置为</w:t>
      </w: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000个</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计算得</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018</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2035年的年均增速为17</w:t>
      </w:r>
      <w:r>
        <w:rPr>
          <w:rFonts w:hint="eastAsia" w:ascii="仿宋_GB2312" w:eastAsia="仿宋_GB2312" w:hAnsiTheme="minorHAnsi" w:cstheme="minorBidi"/>
          <w:sz w:val="32"/>
          <w:szCs w:val="32"/>
        </w:rPr>
        <w:t>%，测算可得光明区202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年和2025年国家、省、市创新载体数量分别为</w:t>
      </w:r>
      <w:r>
        <w:rPr>
          <w:rFonts w:ascii="仿宋_GB2312" w:eastAsia="仿宋_GB2312" w:hAnsiTheme="minorHAnsi" w:cstheme="minorBidi"/>
          <w:sz w:val="32"/>
          <w:szCs w:val="32"/>
        </w:rPr>
        <w:t>129</w:t>
      </w:r>
      <w:r>
        <w:rPr>
          <w:rFonts w:hint="eastAsia" w:ascii="仿宋_GB2312" w:eastAsia="仿宋_GB2312" w:hAnsiTheme="minorHAnsi" w:cstheme="minorBidi"/>
          <w:sz w:val="32"/>
          <w:szCs w:val="32"/>
        </w:rPr>
        <w:t>个和</w:t>
      </w:r>
      <w:r>
        <w:rPr>
          <w:rFonts w:ascii="仿宋_GB2312" w:eastAsia="仿宋_GB2312" w:hAnsiTheme="minorHAnsi" w:cstheme="minorBidi"/>
          <w:sz w:val="32"/>
          <w:szCs w:val="32"/>
        </w:rPr>
        <w:t>207</w:t>
      </w:r>
      <w:r>
        <w:rPr>
          <w:rFonts w:hint="eastAsia" w:ascii="仿宋_GB2312" w:eastAsia="仿宋_GB2312" w:hAnsiTheme="minorHAnsi" w:cstheme="minorBidi"/>
          <w:sz w:val="32"/>
          <w:szCs w:val="32"/>
        </w:rPr>
        <w:t>个</w:t>
      </w:r>
      <w:r>
        <w:rPr>
          <w:rFonts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
        <w:gridCol w:w="1134"/>
        <w:gridCol w:w="99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指标参考来源</w:t>
            </w:r>
          </w:p>
        </w:tc>
        <w:tc>
          <w:tcPr>
            <w:tcW w:w="113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018年完成值</w:t>
            </w:r>
          </w:p>
        </w:tc>
        <w:tc>
          <w:tcPr>
            <w:tcW w:w="113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020年目标值</w:t>
            </w:r>
          </w:p>
        </w:tc>
        <w:tc>
          <w:tcPr>
            <w:tcW w:w="993"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025年目标值</w:t>
            </w:r>
          </w:p>
        </w:tc>
        <w:tc>
          <w:tcPr>
            <w:tcW w:w="113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030年目标值</w:t>
            </w:r>
          </w:p>
        </w:tc>
        <w:tc>
          <w:tcPr>
            <w:tcW w:w="113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本规划</w:t>
            </w:r>
          </w:p>
        </w:tc>
        <w:tc>
          <w:tcPr>
            <w:tcW w:w="1134"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6</w:t>
            </w:r>
            <w:r>
              <w:rPr>
                <w:rFonts w:ascii="仿宋_GB2312" w:eastAsia="仿宋_GB2312" w:hAnsiTheme="minorHAnsi" w:cstheme="minorBidi"/>
                <w:sz w:val="24"/>
                <w:szCs w:val="30"/>
              </w:rPr>
              <w:t>9</w:t>
            </w:r>
          </w:p>
        </w:tc>
        <w:tc>
          <w:tcPr>
            <w:tcW w:w="1134" w:type="dxa"/>
          </w:tcPr>
          <w:p>
            <w:pPr>
              <w:rPr>
                <w:rFonts w:ascii="仿宋_GB2312" w:eastAsia="仿宋_GB2312" w:hAnsiTheme="minorHAnsi" w:cstheme="minorBidi"/>
                <w:sz w:val="24"/>
                <w:szCs w:val="30"/>
              </w:rPr>
            </w:pPr>
          </w:p>
        </w:tc>
        <w:tc>
          <w:tcPr>
            <w:tcW w:w="993"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07</w:t>
            </w:r>
          </w:p>
        </w:tc>
        <w:tc>
          <w:tcPr>
            <w:tcW w:w="1134" w:type="dxa"/>
          </w:tcPr>
          <w:p>
            <w:pPr>
              <w:jc w:val="center"/>
              <w:rPr>
                <w:rFonts w:ascii="仿宋_GB2312" w:eastAsia="仿宋_GB2312" w:hAnsiTheme="minorHAnsi" w:cstheme="minorBidi"/>
                <w:sz w:val="24"/>
                <w:szCs w:val="30"/>
              </w:rPr>
            </w:pPr>
          </w:p>
        </w:tc>
        <w:tc>
          <w:tcPr>
            <w:tcW w:w="1134"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1</w:t>
            </w:r>
            <w:r>
              <w:rPr>
                <w:rFonts w:ascii="仿宋_GB2312" w:eastAsia="仿宋_GB2312" w:hAnsiTheme="minorHAnsi" w:cstheme="minorBidi"/>
                <w:sz w:val="24"/>
                <w:szCs w:val="3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深圳市可持续发展规划</w:t>
            </w:r>
          </w:p>
        </w:tc>
        <w:tc>
          <w:tcPr>
            <w:tcW w:w="1134"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1</w:t>
            </w:r>
            <w:r>
              <w:rPr>
                <w:rFonts w:ascii="仿宋_GB2312" w:eastAsia="仿宋_GB2312" w:hAnsiTheme="minorHAnsi" w:cstheme="minorBidi"/>
                <w:sz w:val="24"/>
                <w:szCs w:val="30"/>
              </w:rPr>
              <w:t>860</w:t>
            </w:r>
          </w:p>
        </w:tc>
        <w:tc>
          <w:tcPr>
            <w:tcW w:w="1134" w:type="dxa"/>
            <w:vAlign w:val="center"/>
          </w:tcPr>
          <w:p>
            <w:pPr>
              <w:jc w:val="center"/>
              <w:rPr>
                <w:rFonts w:ascii="仿宋_GB2312" w:eastAsia="仿宋_GB2312" w:hAnsiTheme="minorHAnsi" w:cstheme="minorBidi"/>
                <w:sz w:val="24"/>
                <w:szCs w:val="30"/>
              </w:rPr>
            </w:pPr>
            <w:r>
              <w:rPr>
                <w:rFonts w:ascii="仿宋_GB2312" w:eastAsia="仿宋_GB2312" w:hAnsiTheme="minorHAnsi" w:cstheme="minorBidi"/>
                <w:sz w:val="24"/>
                <w:szCs w:val="30"/>
              </w:rPr>
              <w:t>2200</w:t>
            </w:r>
          </w:p>
        </w:tc>
        <w:tc>
          <w:tcPr>
            <w:tcW w:w="993" w:type="dxa"/>
            <w:vAlign w:val="center"/>
          </w:tcPr>
          <w:p>
            <w:pPr>
              <w:jc w:val="center"/>
              <w:rPr>
                <w:rFonts w:ascii="仿宋_GB2312" w:eastAsia="仿宋_GB2312" w:hAnsiTheme="minorHAnsi" w:cstheme="minorBidi"/>
                <w:sz w:val="24"/>
                <w:szCs w:val="30"/>
              </w:rPr>
            </w:pPr>
            <w:r>
              <w:rPr>
                <w:rFonts w:ascii="仿宋_GB2312" w:eastAsia="仿宋_GB2312" w:hAnsiTheme="minorHAnsi" w:cstheme="minorBidi"/>
                <w:sz w:val="24"/>
                <w:szCs w:val="30"/>
              </w:rPr>
              <w:t>2500</w:t>
            </w:r>
          </w:p>
        </w:tc>
        <w:tc>
          <w:tcPr>
            <w:tcW w:w="1134" w:type="dxa"/>
            <w:vAlign w:val="center"/>
          </w:tcPr>
          <w:p>
            <w:pPr>
              <w:jc w:val="center"/>
              <w:rPr>
                <w:rFonts w:ascii="仿宋_GB2312" w:eastAsia="仿宋_GB2312" w:hAnsiTheme="minorHAnsi" w:cstheme="minorBidi"/>
                <w:sz w:val="24"/>
                <w:szCs w:val="30"/>
              </w:rPr>
            </w:pPr>
            <w:r>
              <w:rPr>
                <w:rFonts w:ascii="仿宋_GB2312" w:eastAsia="仿宋_GB2312" w:hAnsiTheme="minorHAnsi" w:cstheme="minorBidi"/>
                <w:sz w:val="24"/>
                <w:szCs w:val="30"/>
              </w:rPr>
              <w:t>3000</w:t>
            </w:r>
          </w:p>
        </w:tc>
        <w:tc>
          <w:tcPr>
            <w:tcW w:w="1134" w:type="dxa"/>
            <w:vAlign w:val="center"/>
          </w:tcPr>
          <w:p>
            <w:pPr>
              <w:jc w:val="center"/>
              <w:rPr>
                <w:rFonts w:ascii="仿宋_GB2312" w:eastAsia="仿宋_GB2312" w:hAnsiTheme="minorHAnsi" w:cstheme="minorBidi"/>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南山区科技及高新技术产业发展“十三五”规划</w:t>
            </w:r>
          </w:p>
        </w:tc>
        <w:tc>
          <w:tcPr>
            <w:tcW w:w="1134" w:type="dxa"/>
            <w:vAlign w:val="center"/>
          </w:tcPr>
          <w:p>
            <w:pPr>
              <w:jc w:val="center"/>
              <w:rPr>
                <w:rFonts w:ascii="仿宋_GB2312" w:eastAsia="仿宋_GB2312" w:hAnsiTheme="minorHAnsi" w:cstheme="minorBidi"/>
                <w:sz w:val="24"/>
                <w:szCs w:val="30"/>
              </w:rPr>
            </w:pPr>
          </w:p>
        </w:tc>
        <w:tc>
          <w:tcPr>
            <w:tcW w:w="1134"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1</w:t>
            </w:r>
            <w:r>
              <w:rPr>
                <w:rFonts w:ascii="仿宋_GB2312" w:eastAsia="仿宋_GB2312" w:hAnsiTheme="minorHAnsi" w:cstheme="minorBidi"/>
                <w:sz w:val="24"/>
                <w:szCs w:val="30"/>
              </w:rPr>
              <w:t>000</w:t>
            </w:r>
          </w:p>
        </w:tc>
        <w:tc>
          <w:tcPr>
            <w:tcW w:w="993" w:type="dxa"/>
            <w:vAlign w:val="center"/>
          </w:tcPr>
          <w:p>
            <w:pPr>
              <w:jc w:val="center"/>
              <w:rPr>
                <w:rFonts w:ascii="仿宋_GB2312" w:eastAsia="仿宋_GB2312" w:hAnsiTheme="minorHAnsi" w:cstheme="minorBidi"/>
                <w:sz w:val="24"/>
                <w:szCs w:val="30"/>
              </w:rPr>
            </w:pPr>
          </w:p>
        </w:tc>
        <w:tc>
          <w:tcPr>
            <w:tcW w:w="1134" w:type="dxa"/>
            <w:vAlign w:val="center"/>
          </w:tcPr>
          <w:p>
            <w:pPr>
              <w:jc w:val="center"/>
              <w:rPr>
                <w:rFonts w:ascii="仿宋_GB2312" w:eastAsia="仿宋_GB2312" w:hAnsiTheme="minorHAnsi" w:cstheme="minorBidi"/>
                <w:sz w:val="24"/>
                <w:szCs w:val="30"/>
              </w:rPr>
            </w:pPr>
          </w:p>
        </w:tc>
        <w:tc>
          <w:tcPr>
            <w:tcW w:w="1134" w:type="dxa"/>
            <w:vAlign w:val="center"/>
          </w:tcPr>
          <w:p>
            <w:pPr>
              <w:jc w:val="center"/>
              <w:rPr>
                <w:rFonts w:ascii="仿宋_GB2312" w:eastAsia="仿宋_GB2312" w:hAnsiTheme="minorHAnsi" w:cstheme="minorBidi"/>
                <w:sz w:val="24"/>
                <w:szCs w:val="30"/>
              </w:rPr>
            </w:pP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（七）经认定的众创空间和孵化器</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spacing w:line="580" w:lineRule="exact"/>
        <w:ind w:right="257" w:firstLine="640" w:firstLineChars="200"/>
        <w:rPr>
          <w:rFonts w:ascii="仿宋_GB2312" w:hAnsi="仿宋_GB2312" w:eastAsia="仿宋_GB2312" w:cstheme="minorBidi"/>
          <w:kern w:val="0"/>
          <w:sz w:val="32"/>
          <w:szCs w:val="32"/>
        </w:rPr>
      </w:pPr>
      <w:r>
        <w:rPr>
          <w:rFonts w:hint="eastAsia" w:ascii="仿宋_GB2312" w:hAnsi="仿宋_GB2312" w:eastAsia="仿宋_GB2312" w:cstheme="minorBidi"/>
          <w:kern w:val="0"/>
          <w:sz w:val="32"/>
          <w:szCs w:val="32"/>
        </w:rPr>
        <w:t>反映辖区科技成果转移转化条件。指辖区经认定的众创空间和孵化器数量。</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hAnsi="仿宋_GB2312" w:eastAsia="仿宋_GB2312" w:cstheme="minorBidi"/>
          <w:color w:val="FF0000"/>
          <w:kern w:val="0"/>
          <w:sz w:val="32"/>
          <w:szCs w:val="32"/>
        </w:rPr>
      </w:pPr>
      <w:r>
        <w:rPr>
          <w:rFonts w:hint="eastAsia" w:ascii="仿宋_GB2312" w:hAnsi="仿宋_GB2312" w:eastAsia="仿宋_GB2312" w:cstheme="minorBidi"/>
          <w:color w:val="000000" w:themeColor="text1"/>
          <w:kern w:val="0"/>
          <w:sz w:val="32"/>
          <w:szCs w:val="32"/>
        </w:rPr>
        <w:t>2</w:t>
      </w:r>
      <w:r>
        <w:rPr>
          <w:rFonts w:ascii="仿宋_GB2312" w:hAnsi="仿宋_GB2312" w:eastAsia="仿宋_GB2312" w:cstheme="minorBidi"/>
          <w:color w:val="000000" w:themeColor="text1"/>
          <w:kern w:val="0"/>
          <w:sz w:val="32"/>
          <w:szCs w:val="32"/>
        </w:rPr>
        <w:t>018年</w:t>
      </w:r>
      <w:r>
        <w:rPr>
          <w:rFonts w:hint="eastAsia" w:ascii="仿宋_GB2312" w:hAnsi="仿宋_GB2312" w:eastAsia="仿宋_GB2312" w:cstheme="minorBidi"/>
          <w:color w:val="000000" w:themeColor="text1"/>
          <w:kern w:val="0"/>
          <w:sz w:val="32"/>
          <w:szCs w:val="32"/>
        </w:rPr>
        <w:t>，</w:t>
      </w:r>
      <w:r>
        <w:rPr>
          <w:rFonts w:ascii="仿宋_GB2312" w:hAnsi="仿宋_GB2312" w:eastAsia="仿宋_GB2312" w:cstheme="minorBidi"/>
          <w:color w:val="000000" w:themeColor="text1"/>
          <w:kern w:val="0"/>
          <w:sz w:val="32"/>
          <w:szCs w:val="32"/>
        </w:rPr>
        <w:t>光明</w:t>
      </w:r>
      <w:r>
        <w:rPr>
          <w:rFonts w:hint="eastAsia" w:ascii="仿宋_GB2312" w:hAnsi="仿宋_GB2312" w:eastAsia="仿宋_GB2312" w:cstheme="minorBidi"/>
          <w:color w:val="000000" w:themeColor="text1"/>
          <w:kern w:val="0"/>
          <w:sz w:val="32"/>
          <w:szCs w:val="32"/>
        </w:rPr>
        <w:t>经认定的众创空间和孵化器数量为</w:t>
      </w:r>
      <w:r>
        <w:rPr>
          <w:rFonts w:ascii="仿宋_GB2312" w:hAnsi="仿宋_GB2312" w:eastAsia="仿宋_GB2312" w:cstheme="minorBidi"/>
          <w:color w:val="000000" w:themeColor="text1"/>
          <w:kern w:val="0"/>
          <w:sz w:val="32"/>
          <w:szCs w:val="32"/>
        </w:rPr>
        <w:t>21</w:t>
      </w:r>
      <w:r>
        <w:rPr>
          <w:rFonts w:hint="eastAsia" w:ascii="仿宋_GB2312" w:hAnsi="仿宋_GB2312" w:eastAsia="仿宋_GB2312" w:cstheme="minorBidi"/>
          <w:color w:val="000000" w:themeColor="text1"/>
          <w:kern w:val="0"/>
          <w:sz w:val="32"/>
          <w:szCs w:val="32"/>
        </w:rPr>
        <w:t>家，随着科技服务业的快速发展，众创空间和孵化器会加速集聚，到2</w:t>
      </w:r>
      <w:r>
        <w:rPr>
          <w:rFonts w:ascii="仿宋_GB2312" w:hAnsi="仿宋_GB2312" w:eastAsia="仿宋_GB2312" w:cstheme="minorBidi"/>
          <w:color w:val="000000" w:themeColor="text1"/>
          <w:kern w:val="0"/>
          <w:sz w:val="32"/>
          <w:szCs w:val="32"/>
        </w:rPr>
        <w:t>035年对标深圳南山区</w:t>
      </w:r>
      <w:r>
        <w:rPr>
          <w:rFonts w:hint="eastAsia" w:ascii="仿宋_GB2312" w:hAnsi="仿宋_GB2312" w:eastAsia="仿宋_GB2312" w:cstheme="minorBidi"/>
          <w:color w:val="000000" w:themeColor="text1"/>
          <w:kern w:val="0"/>
          <w:sz w:val="32"/>
          <w:szCs w:val="32"/>
        </w:rPr>
        <w:t>，</w:t>
      </w:r>
      <w:r>
        <w:rPr>
          <w:rFonts w:ascii="仿宋_GB2312" w:hAnsi="仿宋_GB2312" w:eastAsia="仿宋_GB2312" w:cstheme="minorBidi"/>
          <w:color w:val="000000" w:themeColor="text1"/>
          <w:kern w:val="0"/>
          <w:sz w:val="32"/>
          <w:szCs w:val="32"/>
        </w:rPr>
        <w:t>设置光明区目标值为200家</w:t>
      </w:r>
      <w:r>
        <w:rPr>
          <w:rFonts w:hint="eastAsia" w:ascii="仿宋_GB2312" w:hAnsi="仿宋_GB2312" w:eastAsia="仿宋_GB2312" w:cstheme="minorBidi"/>
          <w:color w:val="000000" w:themeColor="text1"/>
          <w:kern w:val="0"/>
          <w:sz w:val="32"/>
          <w:szCs w:val="32"/>
        </w:rPr>
        <w:t>，2</w:t>
      </w:r>
      <w:r>
        <w:rPr>
          <w:rFonts w:ascii="仿宋_GB2312" w:hAnsi="仿宋_GB2312" w:eastAsia="仿宋_GB2312" w:cstheme="minorBidi"/>
          <w:color w:val="000000" w:themeColor="text1"/>
          <w:kern w:val="0"/>
          <w:sz w:val="32"/>
          <w:szCs w:val="32"/>
        </w:rPr>
        <w:t>018</w:t>
      </w:r>
      <w:r>
        <w:rPr>
          <w:rFonts w:hint="eastAsia" w:ascii="仿宋_GB2312" w:hAnsi="仿宋_GB2312" w:eastAsia="仿宋_GB2312" w:cstheme="minorBidi"/>
          <w:color w:val="000000" w:themeColor="text1"/>
          <w:kern w:val="0"/>
          <w:sz w:val="32"/>
          <w:szCs w:val="32"/>
        </w:rPr>
        <w:t>-</w:t>
      </w:r>
      <w:r>
        <w:rPr>
          <w:rFonts w:ascii="仿宋_GB2312" w:hAnsi="仿宋_GB2312" w:eastAsia="仿宋_GB2312" w:cstheme="minorBidi"/>
          <w:color w:val="000000" w:themeColor="text1"/>
          <w:kern w:val="0"/>
          <w:sz w:val="32"/>
          <w:szCs w:val="32"/>
        </w:rPr>
        <w:t>2035年年均增速</w:t>
      </w:r>
      <w:r>
        <w:rPr>
          <w:rFonts w:ascii="仿宋_GB2312" w:hAnsi="仿宋_GB2312" w:eastAsia="仿宋_GB2312" w:cstheme="minorBidi"/>
          <w:kern w:val="0"/>
          <w:sz w:val="32"/>
          <w:szCs w:val="32"/>
        </w:rPr>
        <w:t>为14</w:t>
      </w:r>
      <w:r>
        <w:rPr>
          <w:rFonts w:hint="eastAsia" w:ascii="仿宋_GB2312" w:hAnsi="仿宋_GB2312" w:eastAsia="仿宋_GB2312" w:cstheme="minorBidi"/>
          <w:kern w:val="0"/>
          <w:sz w:val="32"/>
          <w:szCs w:val="32"/>
        </w:rPr>
        <w:t>%，经</w:t>
      </w:r>
      <w:r>
        <w:rPr>
          <w:rFonts w:ascii="仿宋_GB2312" w:hAnsi="仿宋_GB2312" w:eastAsia="仿宋_GB2312" w:cstheme="minorBidi"/>
          <w:kern w:val="0"/>
          <w:sz w:val="32"/>
          <w:szCs w:val="32"/>
        </w:rPr>
        <w:t>测算可得</w:t>
      </w:r>
      <w:r>
        <w:rPr>
          <w:rFonts w:hint="eastAsia" w:ascii="仿宋_GB2312" w:hAnsi="仿宋_GB2312" w:eastAsia="仿宋_GB2312" w:cstheme="minorBidi"/>
          <w:kern w:val="0"/>
          <w:sz w:val="32"/>
          <w:szCs w:val="32"/>
        </w:rPr>
        <w:t>202</w:t>
      </w:r>
      <w:r>
        <w:rPr>
          <w:rFonts w:ascii="仿宋_GB2312" w:hAnsi="仿宋_GB2312" w:eastAsia="仿宋_GB2312" w:cstheme="minorBidi"/>
          <w:kern w:val="0"/>
          <w:sz w:val="32"/>
          <w:szCs w:val="32"/>
        </w:rPr>
        <w:t>2</w:t>
      </w:r>
      <w:r>
        <w:rPr>
          <w:rFonts w:hint="eastAsia" w:ascii="仿宋_GB2312" w:hAnsi="仿宋_GB2312" w:eastAsia="仿宋_GB2312" w:cstheme="minorBidi"/>
          <w:kern w:val="0"/>
          <w:sz w:val="32"/>
          <w:szCs w:val="32"/>
        </w:rPr>
        <w:t>年和2025年</w:t>
      </w:r>
      <w:r>
        <w:rPr>
          <w:rFonts w:ascii="仿宋_GB2312" w:hAnsi="仿宋_GB2312" w:eastAsia="仿宋_GB2312" w:cstheme="minorBidi"/>
          <w:kern w:val="0"/>
          <w:sz w:val="32"/>
          <w:szCs w:val="32"/>
        </w:rPr>
        <w:t>光明</w:t>
      </w:r>
      <w:r>
        <w:rPr>
          <w:rFonts w:hint="eastAsia" w:ascii="仿宋_GB2312" w:hAnsi="仿宋_GB2312" w:eastAsia="仿宋_GB2312" w:cstheme="minorBidi"/>
          <w:kern w:val="0"/>
          <w:sz w:val="32"/>
          <w:szCs w:val="32"/>
        </w:rPr>
        <w:t>认定的众创空间和孵化器数量分别</w:t>
      </w:r>
      <w:r>
        <w:rPr>
          <w:rFonts w:ascii="仿宋_GB2312" w:hAnsi="仿宋_GB2312" w:eastAsia="仿宋_GB2312" w:cstheme="minorBidi"/>
          <w:kern w:val="0"/>
          <w:sz w:val="32"/>
          <w:szCs w:val="32"/>
        </w:rPr>
        <w:t>为35</w:t>
      </w:r>
      <w:r>
        <w:rPr>
          <w:rFonts w:hint="eastAsia" w:ascii="仿宋_GB2312" w:hAnsi="仿宋_GB2312" w:eastAsia="仿宋_GB2312" w:cstheme="minorBidi"/>
          <w:kern w:val="0"/>
          <w:sz w:val="32"/>
          <w:szCs w:val="32"/>
        </w:rPr>
        <w:t>家和5</w:t>
      </w:r>
      <w:r>
        <w:rPr>
          <w:rFonts w:ascii="仿宋_GB2312" w:hAnsi="仿宋_GB2312" w:eastAsia="仿宋_GB2312" w:cstheme="minorBidi"/>
          <w:kern w:val="0"/>
          <w:sz w:val="32"/>
          <w:szCs w:val="32"/>
        </w:rPr>
        <w:t>3</w:t>
      </w:r>
      <w:r>
        <w:rPr>
          <w:rFonts w:hint="eastAsia" w:ascii="仿宋_GB2312" w:hAnsi="仿宋_GB2312" w:eastAsia="仿宋_GB2312" w:cstheme="minorBidi"/>
          <w:kern w:val="0"/>
          <w:sz w:val="32"/>
          <w:szCs w:val="32"/>
        </w:rPr>
        <w:t>家</w:t>
      </w:r>
      <w:r>
        <w:rPr>
          <w:rFonts w:ascii="仿宋_GB2312" w:hAnsi="仿宋_GB2312" w:eastAsia="仿宋_GB2312" w:cstheme="minorBidi"/>
          <w:kern w:val="0"/>
          <w:sz w:val="32"/>
          <w:szCs w:val="32"/>
        </w:rPr>
        <w:t>。</w:t>
      </w:r>
    </w:p>
    <w:tbl>
      <w:tblPr>
        <w:tblStyle w:val="3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992"/>
        <w:gridCol w:w="992"/>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指标参考来源</w:t>
            </w:r>
          </w:p>
        </w:tc>
        <w:tc>
          <w:tcPr>
            <w:tcW w:w="992"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018年完成值</w:t>
            </w:r>
          </w:p>
        </w:tc>
        <w:tc>
          <w:tcPr>
            <w:tcW w:w="992"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020年目标值</w:t>
            </w:r>
          </w:p>
        </w:tc>
        <w:tc>
          <w:tcPr>
            <w:tcW w:w="993"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025年目标值</w:t>
            </w:r>
          </w:p>
        </w:tc>
        <w:tc>
          <w:tcPr>
            <w:tcW w:w="992"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030年目标值</w:t>
            </w:r>
          </w:p>
        </w:tc>
        <w:tc>
          <w:tcPr>
            <w:tcW w:w="113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本规划</w:t>
            </w:r>
          </w:p>
        </w:tc>
        <w:tc>
          <w:tcPr>
            <w:tcW w:w="992" w:type="dxa"/>
          </w:tcPr>
          <w:p>
            <w:pPr>
              <w:jc w:val="center"/>
              <w:rPr>
                <w:rFonts w:ascii="仿宋_GB2312" w:eastAsia="仿宋_GB2312" w:hAnsiTheme="minorHAnsi" w:cstheme="minorBidi"/>
                <w:sz w:val="24"/>
                <w:szCs w:val="30"/>
              </w:rPr>
            </w:pPr>
            <w:r>
              <w:rPr>
                <w:rFonts w:ascii="仿宋_GB2312" w:eastAsia="仿宋_GB2312" w:hAnsiTheme="minorHAnsi" w:cstheme="minorBidi"/>
                <w:sz w:val="24"/>
                <w:szCs w:val="30"/>
              </w:rPr>
              <w:t>21</w:t>
            </w:r>
          </w:p>
        </w:tc>
        <w:tc>
          <w:tcPr>
            <w:tcW w:w="992" w:type="dxa"/>
          </w:tcPr>
          <w:p>
            <w:pPr>
              <w:jc w:val="center"/>
              <w:rPr>
                <w:rFonts w:ascii="仿宋_GB2312" w:eastAsia="仿宋_GB2312" w:hAnsiTheme="minorHAnsi" w:cstheme="minorBidi"/>
                <w:sz w:val="24"/>
                <w:szCs w:val="30"/>
              </w:rPr>
            </w:pPr>
          </w:p>
        </w:tc>
        <w:tc>
          <w:tcPr>
            <w:tcW w:w="993"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5</w:t>
            </w:r>
            <w:r>
              <w:rPr>
                <w:rFonts w:ascii="仿宋_GB2312" w:eastAsia="仿宋_GB2312" w:hAnsiTheme="minorHAnsi" w:cstheme="minorBidi"/>
                <w:sz w:val="24"/>
                <w:szCs w:val="30"/>
              </w:rPr>
              <w:t>3</w:t>
            </w:r>
          </w:p>
        </w:tc>
        <w:tc>
          <w:tcPr>
            <w:tcW w:w="992" w:type="dxa"/>
          </w:tcPr>
          <w:p>
            <w:pPr>
              <w:rPr>
                <w:rFonts w:ascii="仿宋_GB2312" w:eastAsia="仿宋_GB2312" w:hAnsiTheme="minorHAnsi" w:cstheme="minorBidi"/>
                <w:sz w:val="24"/>
                <w:szCs w:val="30"/>
              </w:rPr>
            </w:pPr>
          </w:p>
        </w:tc>
        <w:tc>
          <w:tcPr>
            <w:tcW w:w="1134"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2</w:t>
            </w:r>
            <w:r>
              <w:rPr>
                <w:rFonts w:ascii="仿宋_GB2312" w:eastAsia="仿宋_GB2312" w:hAnsiTheme="minorHAnsi" w:cstheme="minorBidi"/>
                <w:sz w:val="24"/>
                <w:szCs w:val="3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海淀区“十三五”时期加强全国科技创新中心核心区建设规划</w:t>
            </w:r>
          </w:p>
        </w:tc>
        <w:tc>
          <w:tcPr>
            <w:tcW w:w="992" w:type="dxa"/>
          </w:tcPr>
          <w:p>
            <w:pPr>
              <w:rPr>
                <w:rFonts w:ascii="仿宋_GB2312" w:eastAsia="仿宋_GB2312" w:hAnsiTheme="minorHAnsi" w:cstheme="minorBidi"/>
                <w:sz w:val="24"/>
                <w:szCs w:val="30"/>
              </w:rPr>
            </w:pPr>
          </w:p>
        </w:tc>
        <w:tc>
          <w:tcPr>
            <w:tcW w:w="992"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1</w:t>
            </w:r>
            <w:r>
              <w:rPr>
                <w:rFonts w:ascii="仿宋_GB2312" w:eastAsia="仿宋_GB2312" w:hAnsiTheme="minorHAnsi" w:cstheme="minorBidi"/>
                <w:sz w:val="24"/>
                <w:szCs w:val="30"/>
              </w:rPr>
              <w:t>50</w:t>
            </w:r>
          </w:p>
        </w:tc>
        <w:tc>
          <w:tcPr>
            <w:tcW w:w="993" w:type="dxa"/>
          </w:tcPr>
          <w:p>
            <w:pPr>
              <w:jc w:val="center"/>
              <w:rPr>
                <w:rFonts w:ascii="仿宋_GB2312" w:eastAsia="仿宋_GB2312" w:hAnsiTheme="minorHAnsi" w:cstheme="minorBidi"/>
                <w:sz w:val="24"/>
                <w:szCs w:val="30"/>
              </w:rPr>
            </w:pPr>
          </w:p>
        </w:tc>
        <w:tc>
          <w:tcPr>
            <w:tcW w:w="992" w:type="dxa"/>
          </w:tcPr>
          <w:p>
            <w:pPr>
              <w:rPr>
                <w:rFonts w:ascii="仿宋_GB2312" w:eastAsia="仿宋_GB2312" w:hAnsiTheme="minorHAnsi" w:cstheme="minorBidi"/>
                <w:sz w:val="24"/>
                <w:szCs w:val="30"/>
              </w:rPr>
            </w:pPr>
          </w:p>
        </w:tc>
        <w:tc>
          <w:tcPr>
            <w:tcW w:w="1134" w:type="dxa"/>
          </w:tcPr>
          <w:p>
            <w:pPr>
              <w:rPr>
                <w:rFonts w:ascii="仿宋_GB2312" w:eastAsia="仿宋_GB2312" w:hAnsiTheme="minorHAnsi" w:cstheme="minorBidi"/>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tcPr>
          <w:p>
            <w:pPr>
              <w:rPr>
                <w:rFonts w:ascii="仿宋_GB2312" w:eastAsia="仿宋_GB2312" w:hAnsiTheme="minorHAnsi" w:cstheme="minorBidi"/>
                <w:sz w:val="24"/>
                <w:szCs w:val="30"/>
              </w:rPr>
            </w:pPr>
            <w:r>
              <w:rPr>
                <w:rFonts w:hint="eastAsia" w:ascii="仿宋_GB2312" w:eastAsia="仿宋_GB2312" w:hAnsiTheme="minorHAnsi" w:cstheme="minorBidi"/>
                <w:sz w:val="24"/>
                <w:szCs w:val="30"/>
              </w:rPr>
              <w:t>张江园区“十三五”规划</w:t>
            </w:r>
          </w:p>
        </w:tc>
        <w:tc>
          <w:tcPr>
            <w:tcW w:w="992" w:type="dxa"/>
          </w:tcPr>
          <w:p>
            <w:pPr>
              <w:rPr>
                <w:rFonts w:ascii="仿宋_GB2312" w:eastAsia="仿宋_GB2312" w:hAnsiTheme="minorHAnsi" w:cstheme="minorBidi"/>
                <w:sz w:val="24"/>
                <w:szCs w:val="30"/>
              </w:rPr>
            </w:pPr>
          </w:p>
        </w:tc>
        <w:tc>
          <w:tcPr>
            <w:tcW w:w="992"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1</w:t>
            </w:r>
            <w:r>
              <w:rPr>
                <w:rFonts w:ascii="仿宋_GB2312" w:eastAsia="仿宋_GB2312" w:hAnsiTheme="minorHAnsi" w:cstheme="minorBidi"/>
                <w:sz w:val="24"/>
                <w:szCs w:val="30"/>
              </w:rPr>
              <w:t>00</w:t>
            </w:r>
          </w:p>
        </w:tc>
        <w:tc>
          <w:tcPr>
            <w:tcW w:w="993" w:type="dxa"/>
          </w:tcPr>
          <w:p>
            <w:pPr>
              <w:jc w:val="center"/>
              <w:rPr>
                <w:rFonts w:ascii="仿宋_GB2312" w:eastAsia="仿宋_GB2312" w:hAnsiTheme="minorHAnsi" w:cstheme="minorBidi"/>
                <w:sz w:val="24"/>
                <w:szCs w:val="30"/>
              </w:rPr>
            </w:pPr>
          </w:p>
        </w:tc>
        <w:tc>
          <w:tcPr>
            <w:tcW w:w="992" w:type="dxa"/>
          </w:tcPr>
          <w:p>
            <w:pPr>
              <w:rPr>
                <w:rFonts w:ascii="仿宋_GB2312" w:eastAsia="仿宋_GB2312" w:hAnsiTheme="minorHAnsi" w:cstheme="minorBidi"/>
                <w:sz w:val="24"/>
                <w:szCs w:val="30"/>
              </w:rPr>
            </w:pPr>
          </w:p>
        </w:tc>
        <w:tc>
          <w:tcPr>
            <w:tcW w:w="1134" w:type="dxa"/>
          </w:tcPr>
          <w:p>
            <w:pPr>
              <w:rPr>
                <w:rFonts w:ascii="仿宋_GB2312" w:eastAsia="仿宋_GB2312" w:hAnsiTheme="minorHAnsi" w:cstheme="minorBidi"/>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4" w:type="dxa"/>
          </w:tcPr>
          <w:p>
            <w:pPr>
              <w:jc w:val="center"/>
              <w:rPr>
                <w:rFonts w:ascii="仿宋_GB2312" w:eastAsia="仿宋_GB2312" w:hAnsiTheme="minorHAnsi" w:cstheme="minorBidi"/>
                <w:sz w:val="24"/>
                <w:szCs w:val="30"/>
              </w:rPr>
            </w:pPr>
            <w:r>
              <w:rPr>
                <w:rFonts w:ascii="仿宋_GB2312" w:eastAsia="仿宋_GB2312" w:hAnsiTheme="minorHAnsi" w:cstheme="minorBidi"/>
                <w:sz w:val="24"/>
                <w:szCs w:val="30"/>
              </w:rPr>
              <w:t>南山区</w:t>
            </w:r>
          </w:p>
        </w:tc>
        <w:tc>
          <w:tcPr>
            <w:tcW w:w="992" w:type="dxa"/>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&gt;</w:t>
            </w:r>
            <w:r>
              <w:rPr>
                <w:rFonts w:ascii="仿宋_GB2312" w:eastAsia="仿宋_GB2312" w:hAnsiTheme="minorHAnsi" w:cstheme="minorBidi"/>
                <w:sz w:val="24"/>
                <w:szCs w:val="30"/>
              </w:rPr>
              <w:t>220</w:t>
            </w:r>
          </w:p>
        </w:tc>
        <w:tc>
          <w:tcPr>
            <w:tcW w:w="992" w:type="dxa"/>
          </w:tcPr>
          <w:p>
            <w:pPr>
              <w:rPr>
                <w:rFonts w:ascii="仿宋_GB2312" w:eastAsia="仿宋_GB2312" w:hAnsiTheme="minorHAnsi" w:cstheme="minorBidi"/>
                <w:sz w:val="24"/>
                <w:szCs w:val="30"/>
              </w:rPr>
            </w:pPr>
          </w:p>
        </w:tc>
        <w:tc>
          <w:tcPr>
            <w:tcW w:w="993" w:type="dxa"/>
          </w:tcPr>
          <w:p>
            <w:pPr>
              <w:rPr>
                <w:rFonts w:ascii="仿宋_GB2312" w:eastAsia="仿宋_GB2312" w:hAnsiTheme="minorHAnsi" w:cstheme="minorBidi"/>
                <w:sz w:val="24"/>
                <w:szCs w:val="30"/>
              </w:rPr>
            </w:pPr>
          </w:p>
        </w:tc>
        <w:tc>
          <w:tcPr>
            <w:tcW w:w="992" w:type="dxa"/>
          </w:tcPr>
          <w:p>
            <w:pPr>
              <w:rPr>
                <w:rFonts w:ascii="仿宋_GB2312" w:eastAsia="仿宋_GB2312" w:hAnsiTheme="minorHAnsi" w:cstheme="minorBidi"/>
                <w:sz w:val="24"/>
                <w:szCs w:val="30"/>
              </w:rPr>
            </w:pPr>
          </w:p>
        </w:tc>
        <w:tc>
          <w:tcPr>
            <w:tcW w:w="1134" w:type="dxa"/>
          </w:tcPr>
          <w:p>
            <w:pPr>
              <w:rPr>
                <w:rFonts w:ascii="仿宋_GB2312" w:eastAsia="仿宋_GB2312" w:hAnsiTheme="minorHAnsi" w:cstheme="minorBidi"/>
                <w:sz w:val="24"/>
                <w:szCs w:val="30"/>
              </w:rPr>
            </w:pP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（八）技术合同成交额</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反映科技成果转化程度。技术合同成交额是指只针对技术开发、技术转让、技术咨询和技术服务类合同的成交额，包括技术开发合同、技术转让合同、技术咨询合同及技术服务合同。</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年，光明技术合同成交额为</w:t>
      </w:r>
      <w:r>
        <w:rPr>
          <w:rFonts w:ascii="仿宋_GB2312" w:eastAsia="仿宋_GB2312" w:hAnsiTheme="minorHAnsi" w:cstheme="minorBidi"/>
          <w:sz w:val="32"/>
          <w:szCs w:val="32"/>
        </w:rPr>
        <w:t>0.66亿元</w:t>
      </w:r>
      <w:r>
        <w:rPr>
          <w:rFonts w:hint="eastAsia" w:ascii="仿宋_GB2312" w:eastAsia="仿宋_GB2312" w:hAnsiTheme="minorHAnsi" w:cstheme="minorBidi"/>
          <w:sz w:val="32"/>
          <w:szCs w:val="32"/>
        </w:rPr>
        <w:t>，随着光明科学城的建设和科技服务业的快速发展，到2035年对标上海张江，设置光明区目标值为</w:t>
      </w:r>
      <w:r>
        <w:rPr>
          <w:rFonts w:ascii="仿宋_GB2312" w:eastAsia="仿宋_GB2312" w:hAnsiTheme="minorHAnsi" w:cstheme="minorBidi"/>
          <w:sz w:val="32"/>
          <w:szCs w:val="32"/>
        </w:rPr>
        <w:t>100亿元</w:t>
      </w:r>
      <w:r>
        <w:rPr>
          <w:rFonts w:hint="eastAsia" w:ascii="仿宋_GB2312" w:eastAsia="仿宋_GB2312" w:hAnsiTheme="minorHAnsi" w:cstheme="minorBidi"/>
          <w:sz w:val="32"/>
          <w:szCs w:val="32"/>
        </w:rPr>
        <w:t>，2018-2035年年均增速为</w:t>
      </w:r>
      <w:r>
        <w:rPr>
          <w:rFonts w:ascii="仿宋_GB2312" w:eastAsia="仿宋_GB2312" w:hAnsiTheme="minorHAnsi" w:cstheme="minorBidi"/>
          <w:sz w:val="32"/>
          <w:szCs w:val="32"/>
        </w:rPr>
        <w:t>34</w:t>
      </w:r>
      <w:r>
        <w:rPr>
          <w:rFonts w:hint="eastAsia" w:ascii="仿宋_GB2312" w:eastAsia="仿宋_GB2312" w:hAnsiTheme="minorHAnsi" w:cstheme="minorBidi"/>
          <w:sz w:val="32"/>
          <w:szCs w:val="32"/>
        </w:rPr>
        <w:t>%，经测算可得202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年和2025年光明区技术成交额分别为</w:t>
      </w:r>
      <w:r>
        <w:rPr>
          <w:rFonts w:ascii="仿宋_GB2312" w:eastAsia="仿宋_GB2312" w:hAnsiTheme="minorHAnsi" w:cstheme="minorBidi"/>
          <w:sz w:val="32"/>
          <w:szCs w:val="32"/>
        </w:rPr>
        <w:t>2.0</w:t>
      </w:r>
      <w:r>
        <w:rPr>
          <w:rFonts w:hint="eastAsia" w:ascii="仿宋_GB2312" w:eastAsia="仿宋_GB2312" w:hAnsiTheme="minorHAnsi" w:cstheme="minorBidi"/>
          <w:sz w:val="32"/>
          <w:szCs w:val="32"/>
        </w:rPr>
        <w:t>亿元和5</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亿元。</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418"/>
        <w:gridCol w:w="1134"/>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指标参考来源</w:t>
            </w:r>
          </w:p>
        </w:tc>
        <w:tc>
          <w:tcPr>
            <w:tcW w:w="1418"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1418"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0</w:t>
            </w:r>
            <w:r>
              <w:rPr>
                <w:rFonts w:ascii="仿宋_GB2312" w:eastAsia="仿宋_GB2312" w:hAnsiTheme="minorHAnsi" w:cstheme="minorBidi"/>
                <w:sz w:val="24"/>
                <w:szCs w:val="24"/>
              </w:rPr>
              <w:t>.66</w:t>
            </w:r>
          </w:p>
        </w:tc>
        <w:tc>
          <w:tcPr>
            <w:tcW w:w="1134"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.2</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海淀区“十三五”时期加强全国科技创新中心核心区建设规划</w:t>
            </w:r>
          </w:p>
        </w:tc>
        <w:tc>
          <w:tcPr>
            <w:tcW w:w="1418"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45.6</w:t>
            </w:r>
          </w:p>
        </w:tc>
        <w:tc>
          <w:tcPr>
            <w:tcW w:w="1134"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张江园区“十三五”规划</w:t>
            </w:r>
          </w:p>
        </w:tc>
        <w:tc>
          <w:tcPr>
            <w:tcW w:w="1418"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00</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vAlign w:val="center"/>
          </w:tcPr>
          <w:p>
            <w:pPr>
              <w:jc w:val="center"/>
              <w:rPr>
                <w:rFonts w:ascii="仿宋_GB2312" w:eastAsia="仿宋_GB2312" w:hAnsiTheme="minorHAnsi" w:cstheme="minorBidi"/>
                <w:sz w:val="30"/>
                <w:szCs w:val="30"/>
              </w:rPr>
            </w:pPr>
            <w:r>
              <w:rPr>
                <w:rFonts w:ascii="仿宋_GB2312" w:eastAsia="仿宋_GB2312" w:hAnsiTheme="minorHAnsi" w:cstheme="minorBidi"/>
                <w:sz w:val="24"/>
                <w:szCs w:val="24"/>
              </w:rPr>
              <w:t>南山区</w:t>
            </w:r>
          </w:p>
        </w:tc>
        <w:tc>
          <w:tcPr>
            <w:tcW w:w="1418" w:type="dxa"/>
            <w:vAlign w:val="center"/>
          </w:tcPr>
          <w:p>
            <w:pPr>
              <w:jc w:val="center"/>
              <w:rPr>
                <w:rFonts w:ascii="仿宋_GB2312" w:eastAsia="仿宋_GB2312" w:hAnsiTheme="minorHAnsi" w:cstheme="minorBidi"/>
                <w:sz w:val="30"/>
                <w:szCs w:val="30"/>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54.6</w:t>
            </w:r>
          </w:p>
        </w:tc>
        <w:tc>
          <w:tcPr>
            <w:tcW w:w="1134" w:type="dxa"/>
            <w:vAlign w:val="center"/>
          </w:tcPr>
          <w:p>
            <w:pPr>
              <w:jc w:val="center"/>
              <w:rPr>
                <w:rFonts w:ascii="仿宋_GB2312" w:eastAsia="仿宋_GB2312" w:hAnsiTheme="minorHAnsi" w:cstheme="minorBidi"/>
                <w:sz w:val="30"/>
                <w:szCs w:val="30"/>
              </w:rPr>
            </w:pPr>
          </w:p>
        </w:tc>
        <w:tc>
          <w:tcPr>
            <w:tcW w:w="992" w:type="dxa"/>
            <w:vAlign w:val="center"/>
          </w:tcPr>
          <w:p>
            <w:pPr>
              <w:jc w:val="center"/>
              <w:rPr>
                <w:rFonts w:ascii="仿宋_GB2312" w:eastAsia="仿宋_GB2312" w:hAnsiTheme="minorHAnsi" w:cstheme="minorBidi"/>
                <w:sz w:val="30"/>
                <w:szCs w:val="30"/>
              </w:rPr>
            </w:pPr>
          </w:p>
        </w:tc>
        <w:tc>
          <w:tcPr>
            <w:tcW w:w="992" w:type="dxa"/>
            <w:vAlign w:val="center"/>
          </w:tcPr>
          <w:p>
            <w:pPr>
              <w:jc w:val="center"/>
              <w:rPr>
                <w:rFonts w:ascii="仿宋_GB2312" w:eastAsia="仿宋_GB2312" w:hAnsiTheme="minorHAnsi" w:cstheme="minorBidi"/>
                <w:sz w:val="30"/>
                <w:szCs w:val="30"/>
              </w:rPr>
            </w:pPr>
          </w:p>
        </w:tc>
        <w:tc>
          <w:tcPr>
            <w:tcW w:w="993" w:type="dxa"/>
            <w:vAlign w:val="center"/>
          </w:tcPr>
          <w:p>
            <w:pPr>
              <w:jc w:val="center"/>
              <w:rPr>
                <w:rFonts w:ascii="仿宋_GB2312" w:eastAsia="仿宋_GB2312" w:hAnsiTheme="minorHAnsi" w:cstheme="minorBidi"/>
                <w:sz w:val="30"/>
                <w:szCs w:val="30"/>
              </w:rPr>
            </w:pPr>
          </w:p>
        </w:tc>
      </w:tr>
    </w:tbl>
    <w:p>
      <w:pPr>
        <w:spacing w:line="60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三、协同发展</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（九）深港联合创新载体数</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反映与香港的协同创新情况。指香港高校在光明设立的分支机构。</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楷体_GB2312" w:eastAsia="楷体_GB2312" w:hAnsiTheme="minorHAnsi" w:cstheme="minorBidi"/>
          <w:b/>
          <w:sz w:val="32"/>
          <w:szCs w:val="32"/>
        </w:rPr>
      </w:pPr>
      <w:r>
        <w:rPr>
          <w:rFonts w:hint="eastAsia" w:ascii="仿宋_GB2312" w:eastAsia="仿宋_GB2312" w:hAnsiTheme="minorHAnsi" w:cstheme="minorBidi"/>
          <w:sz w:val="32"/>
          <w:szCs w:val="32"/>
        </w:rPr>
        <w:t>经调研，香港大学、香港科技大学、香港城市大学等三所大学有意向在深圳建设分支科研机构，建议光明区应积极引进</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所知名大学到光明建设分支机构，到2</w:t>
      </w:r>
      <w:r>
        <w:rPr>
          <w:rFonts w:ascii="仿宋_GB2312" w:eastAsia="仿宋_GB2312" w:hAnsiTheme="minorHAnsi" w:cstheme="minorBidi"/>
          <w:sz w:val="32"/>
          <w:szCs w:val="32"/>
        </w:rPr>
        <w:t>022年</w:t>
      </w:r>
      <w:r>
        <w:rPr>
          <w:rFonts w:hint="eastAsia" w:ascii="仿宋_GB2312" w:eastAsia="仿宋_GB2312" w:hAnsiTheme="minorHAnsi" w:cstheme="minorBidi"/>
          <w:sz w:val="32"/>
          <w:szCs w:val="32"/>
        </w:rPr>
        <w:t>深港联合创新载体预计达</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家，随着港深共建综合性国家科学中心的深度开展，到2</w:t>
      </w:r>
      <w:r>
        <w:rPr>
          <w:rFonts w:ascii="仿宋_GB2312" w:eastAsia="仿宋_GB2312" w:hAnsiTheme="minorHAnsi" w:cstheme="minorBidi"/>
          <w:sz w:val="32"/>
          <w:szCs w:val="32"/>
        </w:rPr>
        <w:t>025年</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，深港联合创新载体预计达</w:t>
      </w:r>
      <w:r>
        <w:rPr>
          <w:rFonts w:ascii="仿宋_GB2312" w:eastAsia="仿宋_GB2312" w:hAnsiTheme="minorHAnsi" w:cstheme="minorBidi"/>
          <w:sz w:val="32"/>
          <w:szCs w:val="32"/>
        </w:rPr>
        <w:t>5家和8家</w:t>
      </w:r>
      <w:r>
        <w:rPr>
          <w:rFonts w:hint="eastAsia" w:ascii="仿宋_GB2312" w:eastAsia="仿宋_GB2312" w:hAnsiTheme="minorHAnsi" w:cstheme="minorBidi"/>
          <w:sz w:val="32"/>
          <w:szCs w:val="32"/>
        </w:rPr>
        <w:t>。</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（十）跨国公司</w:t>
      </w:r>
      <w:r>
        <w:rPr>
          <w:rFonts w:ascii="楷体_GB2312" w:eastAsia="楷体_GB2312" w:hAnsiTheme="minorHAnsi" w:cstheme="minorBidi"/>
          <w:b/>
          <w:sz w:val="32"/>
          <w:szCs w:val="32"/>
        </w:rPr>
        <w:t>研发</w:t>
      </w:r>
      <w:r>
        <w:rPr>
          <w:rFonts w:hint="eastAsia" w:ascii="楷体_GB2312" w:eastAsia="楷体_GB2312" w:hAnsiTheme="minorHAnsi" w:cstheme="minorBidi"/>
          <w:b/>
          <w:sz w:val="32"/>
          <w:szCs w:val="32"/>
        </w:rPr>
        <w:t>中心</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反映与国际</w:t>
      </w:r>
      <w:r>
        <w:rPr>
          <w:rFonts w:ascii="仿宋_GB2312" w:eastAsia="仿宋_GB2312" w:hAnsiTheme="minorHAnsi" w:cstheme="minorBidi"/>
          <w:sz w:val="32"/>
          <w:szCs w:val="32"/>
        </w:rPr>
        <w:t>企业</w:t>
      </w:r>
      <w:r>
        <w:rPr>
          <w:rFonts w:hint="eastAsia" w:ascii="仿宋_GB2312" w:eastAsia="仿宋_GB2312" w:hAnsiTheme="minorHAnsi" w:cstheme="minorBidi"/>
          <w:sz w:val="32"/>
          <w:szCs w:val="32"/>
        </w:rPr>
        <w:t>协同创新情况。指跨国公司在光明设立的研发中心。</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随着粤港澳大湾区建设加快推进，通过“香港超级联系人”推动跨国公司研发中心</w:t>
      </w:r>
      <w:r>
        <w:rPr>
          <w:rFonts w:ascii="仿宋_GB2312" w:eastAsia="仿宋_GB2312" w:hAnsiTheme="minorHAnsi" w:cstheme="minorBidi"/>
          <w:sz w:val="32"/>
          <w:szCs w:val="32"/>
        </w:rPr>
        <w:t>依托光明科学城建设研发中心</w:t>
      </w:r>
      <w:r>
        <w:rPr>
          <w:rFonts w:hint="eastAsia" w:ascii="仿宋_GB2312" w:eastAsia="仿宋_GB2312" w:hAnsiTheme="minorHAnsi" w:cstheme="minorBidi"/>
          <w:sz w:val="32"/>
          <w:szCs w:val="32"/>
        </w:rPr>
        <w:t>，到2035年对标上海张江，设置光明区目标值为</w:t>
      </w:r>
      <w:r>
        <w:rPr>
          <w:rFonts w:ascii="仿宋_GB2312" w:eastAsia="仿宋_GB2312" w:hAnsiTheme="minorHAnsi" w:cstheme="minorBidi"/>
          <w:sz w:val="32"/>
          <w:szCs w:val="32"/>
        </w:rPr>
        <w:t>55家</w:t>
      </w:r>
      <w:r>
        <w:rPr>
          <w:rFonts w:hint="eastAsia" w:ascii="仿宋_GB2312" w:eastAsia="仿宋_GB2312" w:hAnsiTheme="minorHAnsi" w:cstheme="minorBidi"/>
          <w:sz w:val="32"/>
          <w:szCs w:val="32"/>
        </w:rPr>
        <w:t>。考虑到2</w:t>
      </w:r>
      <w:r>
        <w:rPr>
          <w:rFonts w:ascii="仿宋_GB2312" w:eastAsia="仿宋_GB2312" w:hAnsiTheme="minorHAnsi" w:cstheme="minorBidi"/>
          <w:sz w:val="32"/>
          <w:szCs w:val="32"/>
        </w:rPr>
        <w:t>025年之前光明科学城处于建设期间</w:t>
      </w:r>
      <w:r>
        <w:rPr>
          <w:rFonts w:hint="eastAsia" w:ascii="仿宋_GB2312" w:eastAsia="仿宋_GB2312" w:hAnsiTheme="minorHAnsi" w:cstheme="minorBidi"/>
          <w:sz w:val="32"/>
          <w:szCs w:val="32"/>
        </w:rPr>
        <w:t>，研发生态体系逐步完善，</w:t>
      </w:r>
      <w:r>
        <w:rPr>
          <w:rFonts w:ascii="仿宋_GB2312" w:eastAsia="仿宋_GB2312" w:hAnsiTheme="minorHAnsi" w:cstheme="minorBidi"/>
          <w:sz w:val="32"/>
          <w:szCs w:val="32"/>
        </w:rPr>
        <w:t>跨国公司设立研发中心增长较慢</w:t>
      </w:r>
      <w:r>
        <w:rPr>
          <w:rFonts w:hint="eastAsia" w:ascii="仿宋_GB2312" w:eastAsia="仿宋_GB2312" w:hAnsiTheme="minorHAnsi" w:cstheme="minorBidi"/>
          <w:sz w:val="32"/>
          <w:szCs w:val="32"/>
        </w:rPr>
        <w:t>，预计2</w:t>
      </w:r>
      <w:r>
        <w:rPr>
          <w:rFonts w:ascii="仿宋_GB2312" w:eastAsia="仿宋_GB2312" w:hAnsiTheme="minorHAnsi" w:cstheme="minorBidi"/>
          <w:sz w:val="32"/>
          <w:szCs w:val="32"/>
        </w:rPr>
        <w:t>022年和</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025年分别为4</w:t>
      </w:r>
      <w:r>
        <w:rPr>
          <w:rFonts w:hint="eastAsia" w:ascii="仿宋_GB2312" w:eastAsia="仿宋_GB2312" w:hAnsiTheme="minorHAnsi" w:cstheme="minorBidi"/>
          <w:sz w:val="32"/>
          <w:szCs w:val="32"/>
        </w:rPr>
        <w:t>家和1</w:t>
      </w:r>
      <w:r>
        <w:rPr>
          <w:rFonts w:ascii="仿宋_GB2312" w:eastAsia="仿宋_GB2312" w:hAnsiTheme="minorHAnsi" w:cstheme="minorBidi"/>
          <w:sz w:val="32"/>
          <w:szCs w:val="32"/>
        </w:rPr>
        <w:t>0家</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光明科学城建成后</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研发生态环境达到国际一流水平</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将会加快跨国公司落户</w:t>
      </w:r>
      <w:r>
        <w:rPr>
          <w:rFonts w:hint="eastAsia"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
        <w:gridCol w:w="1134"/>
        <w:gridCol w:w="99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vAlign w:val="center"/>
          </w:tcPr>
          <w:p>
            <w:pPr>
              <w:jc w:val="center"/>
              <w:rPr>
                <w:rFonts w:ascii="仿宋_GB2312" w:eastAsia="仿宋_GB2312" w:hAnsiTheme="minorHAnsi" w:cstheme="minorBidi"/>
                <w:sz w:val="24"/>
                <w:szCs w:val="30"/>
              </w:rPr>
            </w:pPr>
            <w:r>
              <w:rPr>
                <w:rFonts w:hint="eastAsia" w:ascii="仿宋_GB2312" w:eastAsia="仿宋_GB2312" w:hAnsiTheme="minorHAnsi" w:cstheme="minorBidi"/>
                <w:sz w:val="24"/>
                <w:szCs w:val="30"/>
              </w:rPr>
              <w:t>指标参考来源</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0</w:t>
            </w:r>
          </w:p>
        </w:tc>
        <w:tc>
          <w:tcPr>
            <w:tcW w:w="1134" w:type="dxa"/>
          </w:tcPr>
          <w:p>
            <w:pPr>
              <w:rPr>
                <w:rFonts w:ascii="仿宋_GB2312" w:eastAsia="仿宋_GB2312" w:hAnsiTheme="minorHAnsi" w:cstheme="minorBidi"/>
                <w:sz w:val="24"/>
                <w:szCs w:val="24"/>
              </w:rPr>
            </w:pP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0</w:t>
            </w:r>
          </w:p>
        </w:tc>
        <w:tc>
          <w:tcPr>
            <w:tcW w:w="1134" w:type="dxa"/>
          </w:tcPr>
          <w:p>
            <w:pPr>
              <w:rPr>
                <w:rFonts w:ascii="仿宋_GB2312" w:eastAsia="仿宋_GB2312" w:hAnsiTheme="minorHAnsi" w:cstheme="minorBidi"/>
                <w:sz w:val="24"/>
                <w:szCs w:val="24"/>
              </w:rPr>
            </w:pP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张江园区“十三五”规划</w:t>
            </w:r>
          </w:p>
        </w:tc>
        <w:tc>
          <w:tcPr>
            <w:tcW w:w="1134" w:type="dxa"/>
          </w:tcPr>
          <w:p>
            <w:pPr>
              <w:rPr>
                <w:rFonts w:ascii="仿宋_GB2312" w:eastAsia="仿宋_GB2312" w:hAnsiTheme="minorHAnsi" w:cstheme="minorBidi"/>
                <w:sz w:val="24"/>
                <w:szCs w:val="24"/>
              </w:rPr>
            </w:pPr>
          </w:p>
        </w:tc>
        <w:tc>
          <w:tcPr>
            <w:tcW w:w="1134"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55</w:t>
            </w:r>
          </w:p>
        </w:tc>
        <w:tc>
          <w:tcPr>
            <w:tcW w:w="993" w:type="dxa"/>
          </w:tcPr>
          <w:p>
            <w:pPr>
              <w:rPr>
                <w:rFonts w:ascii="仿宋_GB2312" w:eastAsia="仿宋_GB2312" w:hAnsiTheme="minorHAnsi" w:cstheme="minorBidi"/>
                <w:sz w:val="24"/>
                <w:szCs w:val="24"/>
              </w:rPr>
            </w:pPr>
          </w:p>
        </w:tc>
        <w:tc>
          <w:tcPr>
            <w:tcW w:w="1134" w:type="dxa"/>
          </w:tcPr>
          <w:p>
            <w:pPr>
              <w:rPr>
                <w:rFonts w:ascii="仿宋_GB2312" w:eastAsia="仿宋_GB2312" w:hAnsiTheme="minorHAnsi" w:cstheme="minorBidi"/>
                <w:sz w:val="24"/>
                <w:szCs w:val="24"/>
              </w:rPr>
            </w:pPr>
          </w:p>
        </w:tc>
        <w:tc>
          <w:tcPr>
            <w:tcW w:w="1134" w:type="dxa"/>
          </w:tcPr>
          <w:p>
            <w:pP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830"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美国</w:t>
            </w:r>
            <w:r>
              <w:rPr>
                <w:rFonts w:ascii="仿宋_GB2312" w:eastAsia="仿宋_GB2312" w:hAnsiTheme="minorHAnsi" w:cstheme="minorBidi"/>
                <w:sz w:val="24"/>
                <w:szCs w:val="24"/>
              </w:rPr>
              <w:t>北卡三角园区</w:t>
            </w:r>
          </w:p>
        </w:tc>
        <w:tc>
          <w:tcPr>
            <w:tcW w:w="1134"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&gt;100家</w:t>
            </w:r>
          </w:p>
        </w:tc>
        <w:tc>
          <w:tcPr>
            <w:tcW w:w="1134" w:type="dxa"/>
          </w:tcPr>
          <w:p>
            <w:pPr>
              <w:rPr>
                <w:rFonts w:ascii="仿宋_GB2312" w:eastAsia="仿宋_GB2312" w:hAnsiTheme="minorHAnsi" w:cstheme="minorBidi"/>
                <w:sz w:val="24"/>
                <w:szCs w:val="24"/>
              </w:rPr>
            </w:pPr>
          </w:p>
        </w:tc>
        <w:tc>
          <w:tcPr>
            <w:tcW w:w="993" w:type="dxa"/>
          </w:tcPr>
          <w:p>
            <w:pPr>
              <w:rPr>
                <w:rFonts w:ascii="仿宋_GB2312" w:eastAsia="仿宋_GB2312" w:hAnsiTheme="minorHAnsi" w:cstheme="minorBidi"/>
                <w:sz w:val="24"/>
                <w:szCs w:val="24"/>
              </w:rPr>
            </w:pPr>
          </w:p>
        </w:tc>
        <w:tc>
          <w:tcPr>
            <w:tcW w:w="1134" w:type="dxa"/>
          </w:tcPr>
          <w:p>
            <w:pPr>
              <w:rPr>
                <w:rFonts w:ascii="仿宋_GB2312" w:eastAsia="仿宋_GB2312" w:hAnsiTheme="minorHAnsi" w:cstheme="minorBidi"/>
                <w:sz w:val="24"/>
                <w:szCs w:val="24"/>
              </w:rPr>
            </w:pPr>
          </w:p>
        </w:tc>
        <w:tc>
          <w:tcPr>
            <w:tcW w:w="1134" w:type="dxa"/>
          </w:tcPr>
          <w:p>
            <w:pPr>
              <w:rPr>
                <w:rFonts w:ascii="仿宋_GB2312" w:eastAsia="仿宋_GB2312" w:hAnsiTheme="minorHAnsi" w:cstheme="minorBidi"/>
                <w:sz w:val="24"/>
                <w:szCs w:val="24"/>
              </w:rPr>
            </w:pPr>
          </w:p>
        </w:tc>
      </w:tr>
    </w:tbl>
    <w:p>
      <w:pPr>
        <w:spacing w:line="600" w:lineRule="exact"/>
        <w:ind w:firstLine="640" w:firstLineChars="200"/>
        <w:rPr>
          <w:rFonts w:ascii="黑体" w:hAnsi="黑体" w:eastAsia="黑体" w:cstheme="minorBidi"/>
          <w:sz w:val="32"/>
          <w:szCs w:val="32"/>
        </w:rPr>
      </w:pPr>
      <w:r>
        <w:rPr>
          <w:rFonts w:hint="eastAsia" w:ascii="黑体" w:hAnsi="黑体" w:eastAsia="黑体" w:cstheme="minorBidi"/>
          <w:sz w:val="32"/>
          <w:szCs w:val="32"/>
        </w:rPr>
        <w:t>四、产业发展</w:t>
      </w:r>
    </w:p>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（十一）新兴产业增加值占GDP比重</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产业结构优化升级和经济产业科技含量的重要指标。战略性新兴产业是指以重大技术突破和重大发展需求为基础，知识技术密集、物质资源消耗少、成长潜力大、综合效益好的产业，包括新一代信息技术、高端装备制造、绿色低碳、生物医药、数字经济、新材料、海洋经济（新口径）。计算公式：战略性新兴产业增加值占GDP比重=战略性新兴产业增加值/GDP×100%。</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区战略性新兴产业增加值占GDP比重为34.1%，随着本规划三大重点产业的发展，传统产业向价值链高端的转型升级，同时光明科学城的原创科技成果会催生新产品、新业态、新模式，光明区战略性新兴产业发展将处于快速增长阶段。到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，光明区该指标会高于《深圳建设社会主义现代化先行区》所预测的4</w:t>
      </w:r>
      <w:r>
        <w:rPr>
          <w:rFonts w:ascii="仿宋_GB2312" w:eastAsia="仿宋_GB2312" w:hAnsiTheme="minorHAnsi" w:cstheme="minorBidi"/>
          <w:sz w:val="32"/>
          <w:szCs w:val="32"/>
        </w:rPr>
        <w:t>5.7</w:t>
      </w:r>
      <w:r>
        <w:rPr>
          <w:rFonts w:hint="eastAsia" w:ascii="仿宋_GB2312" w:eastAsia="仿宋_GB2312" w:hAnsiTheme="minorHAnsi" w:cstheme="minorBidi"/>
          <w:sz w:val="32"/>
          <w:szCs w:val="32"/>
        </w:rPr>
        <w:t>%，但考虑到光明科学城以基础科学研究为主，产业发展会受一定影响，光明区该指标会低于南山区的6</w:t>
      </w:r>
      <w:r>
        <w:rPr>
          <w:rFonts w:ascii="仿宋_GB2312" w:eastAsia="仿宋_GB2312" w:hAnsiTheme="minorHAnsi" w:cstheme="minorBidi"/>
          <w:sz w:val="32"/>
          <w:szCs w:val="32"/>
        </w:rPr>
        <w:t>0</w:t>
      </w:r>
      <w:r>
        <w:rPr>
          <w:rFonts w:hint="eastAsia" w:ascii="仿宋_GB2312" w:eastAsia="仿宋_GB2312" w:hAnsiTheme="minorHAnsi" w:cstheme="minorBidi"/>
          <w:sz w:val="32"/>
          <w:szCs w:val="32"/>
        </w:rPr>
        <w:t>%，建议将光明区2</w:t>
      </w:r>
      <w:r>
        <w:rPr>
          <w:rFonts w:ascii="仿宋_GB2312" w:eastAsia="仿宋_GB2312" w:hAnsiTheme="minorHAnsi" w:cstheme="minorBidi"/>
          <w:sz w:val="32"/>
          <w:szCs w:val="32"/>
        </w:rPr>
        <w:t>035年目标值设置为</w:t>
      </w:r>
      <w:r>
        <w:rPr>
          <w:rFonts w:hint="eastAsia" w:ascii="仿宋_GB2312" w:eastAsia="仿宋_GB2312" w:hAnsiTheme="minorHAnsi" w:cstheme="minorBidi"/>
          <w:sz w:val="32"/>
          <w:szCs w:val="32"/>
        </w:rPr>
        <w:t>5</w:t>
      </w:r>
      <w:r>
        <w:rPr>
          <w:rFonts w:ascii="仿宋_GB2312" w:eastAsia="仿宋_GB2312" w:hAnsiTheme="minorHAnsi" w:cstheme="minorBidi"/>
          <w:sz w:val="32"/>
          <w:szCs w:val="32"/>
        </w:rPr>
        <w:t>0</w:t>
      </w:r>
      <w:r>
        <w:rPr>
          <w:rFonts w:hint="eastAsia" w:ascii="仿宋_GB2312" w:eastAsia="仿宋_GB2312" w:hAnsiTheme="minorHAnsi" w:cstheme="minorBidi"/>
          <w:sz w:val="32"/>
          <w:szCs w:val="32"/>
        </w:rPr>
        <w:t>%。2018-2035年年均增速为</w:t>
      </w:r>
      <w:r>
        <w:rPr>
          <w:rFonts w:ascii="仿宋_GB2312" w:eastAsia="仿宋_GB2312" w:hAnsiTheme="minorHAnsi" w:cstheme="minorBidi"/>
          <w:sz w:val="32"/>
          <w:szCs w:val="32"/>
        </w:rPr>
        <w:t>3</w:t>
      </w:r>
      <w:r>
        <w:rPr>
          <w:rFonts w:hint="eastAsia" w:ascii="仿宋_GB2312" w:eastAsia="仿宋_GB2312" w:hAnsiTheme="minorHAnsi" w:cstheme="minorBidi"/>
          <w:sz w:val="32"/>
          <w:szCs w:val="32"/>
        </w:rPr>
        <w:t>%，经测算可得202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年和2025年光明区战略性新兴产业增加值占GDP比重分别为</w:t>
      </w:r>
      <w:r>
        <w:rPr>
          <w:rFonts w:ascii="仿宋_GB2312" w:eastAsia="仿宋_GB2312" w:hAnsiTheme="minorHAnsi" w:cstheme="minorBidi"/>
          <w:sz w:val="32"/>
          <w:szCs w:val="32"/>
        </w:rPr>
        <w:t>38.2</w:t>
      </w:r>
      <w:r>
        <w:rPr>
          <w:rFonts w:hint="eastAsia" w:ascii="仿宋_GB2312" w:eastAsia="仿宋_GB2312" w:hAnsiTheme="minorHAnsi" w:cstheme="minorBidi"/>
          <w:sz w:val="32"/>
          <w:szCs w:val="32"/>
        </w:rPr>
        <w:t>%和</w:t>
      </w:r>
      <w:r>
        <w:rPr>
          <w:rFonts w:ascii="仿宋_GB2312" w:eastAsia="仿宋_GB2312" w:hAnsiTheme="minorHAnsi" w:cstheme="minorBidi"/>
          <w:sz w:val="32"/>
          <w:szCs w:val="32"/>
        </w:rPr>
        <w:t>41.5</w:t>
      </w:r>
      <w:r>
        <w:rPr>
          <w:rFonts w:hint="eastAsia"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992"/>
        <w:gridCol w:w="992"/>
        <w:gridCol w:w="99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1134"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4.1</w:t>
            </w:r>
            <w:r>
              <w:rPr>
                <w:rFonts w:hint="eastAsia" w:ascii="仿宋_GB2312" w:eastAsia="仿宋_GB2312" w:hAnsiTheme="minorHAnsi" w:cstheme="minorBidi"/>
                <w:sz w:val="24"/>
                <w:szCs w:val="24"/>
              </w:rPr>
              <w:t>%</w:t>
            </w:r>
          </w:p>
        </w:tc>
        <w:tc>
          <w:tcPr>
            <w:tcW w:w="992" w:type="dxa"/>
          </w:tcPr>
          <w:p>
            <w:pPr>
              <w:rPr>
                <w:rFonts w:ascii="仿宋_GB2312" w:eastAsia="仿宋_GB2312" w:hAnsiTheme="minorHAnsi" w:cstheme="minorBidi"/>
                <w:sz w:val="24"/>
                <w:szCs w:val="24"/>
              </w:rPr>
            </w:pP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1.5</w:t>
            </w:r>
            <w:r>
              <w:rPr>
                <w:rFonts w:hint="eastAsia" w:ascii="仿宋_GB2312" w:eastAsia="仿宋_GB2312" w:hAnsiTheme="minorHAnsi" w:cstheme="minorBidi"/>
                <w:sz w:val="24"/>
                <w:szCs w:val="24"/>
              </w:rPr>
              <w:t>%</w:t>
            </w:r>
          </w:p>
        </w:tc>
        <w:tc>
          <w:tcPr>
            <w:tcW w:w="993" w:type="dxa"/>
          </w:tcPr>
          <w:p>
            <w:pPr>
              <w:rPr>
                <w:rFonts w:ascii="仿宋_GB2312" w:eastAsia="仿宋_GB2312" w:hAnsiTheme="minorHAnsi" w:cstheme="minorBidi"/>
                <w:sz w:val="24"/>
                <w:szCs w:val="24"/>
              </w:rPr>
            </w:pPr>
          </w:p>
        </w:tc>
        <w:tc>
          <w:tcPr>
            <w:tcW w:w="1134"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5</w:t>
            </w:r>
            <w:r>
              <w:rPr>
                <w:rFonts w:hint="eastAsia" w:ascii="仿宋_GB2312" w:eastAsia="仿宋_GB2312" w:hAnsiTheme="minorHAnsi" w:cstheme="minorBid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深圳建设社会主义现代化先行区</w:t>
            </w:r>
          </w:p>
        </w:tc>
        <w:tc>
          <w:tcPr>
            <w:tcW w:w="992"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40%</w:t>
            </w: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42.4%</w:t>
            </w:r>
          </w:p>
        </w:tc>
        <w:tc>
          <w:tcPr>
            <w:tcW w:w="993"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深圳市战略性新兴产业“十三五”规划</w:t>
            </w:r>
          </w:p>
        </w:tc>
        <w:tc>
          <w:tcPr>
            <w:tcW w:w="992"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42%</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南山区科技及高新技术产业发展“十三五”规划</w:t>
            </w:r>
          </w:p>
        </w:tc>
        <w:tc>
          <w:tcPr>
            <w:tcW w:w="992" w:type="dxa"/>
          </w:tcPr>
          <w:p>
            <w:pP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60%</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c>
          <w:tcPr>
            <w:tcW w:w="1134"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福田区现代产业体系中长期发展规划</w:t>
            </w:r>
          </w:p>
        </w:tc>
        <w:tc>
          <w:tcPr>
            <w:tcW w:w="992" w:type="dxa"/>
          </w:tcPr>
          <w:p>
            <w:pPr>
              <w:rPr>
                <w:rFonts w:ascii="仿宋_GB2312" w:eastAsia="仿宋_GB2312" w:hAnsiTheme="minorHAnsi" w:cstheme="minorBidi"/>
                <w:sz w:val="24"/>
                <w:szCs w:val="24"/>
              </w:rPr>
            </w:pPr>
          </w:p>
        </w:tc>
        <w:tc>
          <w:tcPr>
            <w:tcW w:w="992"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&gt;24%</w:t>
            </w:r>
          </w:p>
        </w:tc>
        <w:tc>
          <w:tcPr>
            <w:tcW w:w="992"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&gt;26%</w:t>
            </w:r>
          </w:p>
        </w:tc>
        <w:tc>
          <w:tcPr>
            <w:tcW w:w="993"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&gt;28%</w:t>
            </w:r>
          </w:p>
        </w:tc>
        <w:tc>
          <w:tcPr>
            <w:tcW w:w="1134"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&gt;30%</w:t>
            </w: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（十二）第三产业增加值占GDP比重</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反映产业结构的基础指标。指当年第三产业的增加值与地区生产总值的占比大小。计算公式：第三产业增加值占GDP比重=第三产业增加值/GDP总额×100%。</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2018</w:t>
      </w:r>
      <w:r>
        <w:rPr>
          <w:rFonts w:hint="eastAsia" w:ascii="仿宋_GB2312" w:eastAsia="仿宋_GB2312" w:hAnsiTheme="minorHAnsi" w:cstheme="minorBidi"/>
          <w:sz w:val="32"/>
          <w:szCs w:val="32"/>
        </w:rPr>
        <w:t>年光明区第三产业增加值为</w:t>
      </w:r>
      <w:r>
        <w:rPr>
          <w:rFonts w:ascii="仿宋_GB2312" w:eastAsia="仿宋_GB2312" w:hAnsiTheme="minorHAnsi" w:cstheme="minorBidi"/>
          <w:sz w:val="32"/>
          <w:szCs w:val="32"/>
        </w:rPr>
        <w:t>330.33</w:t>
      </w:r>
      <w:r>
        <w:rPr>
          <w:rFonts w:hint="eastAsia" w:ascii="仿宋_GB2312" w:eastAsia="仿宋_GB2312" w:hAnsiTheme="minorHAnsi" w:cstheme="minorBidi"/>
          <w:sz w:val="32"/>
          <w:szCs w:val="32"/>
        </w:rPr>
        <w:t>亿元</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占GDP比重为</w:t>
      </w:r>
      <w:r>
        <w:rPr>
          <w:rFonts w:ascii="仿宋_GB2312" w:eastAsia="仿宋_GB2312" w:hAnsiTheme="minorHAnsi" w:cstheme="minorBidi"/>
          <w:sz w:val="32"/>
          <w:szCs w:val="32"/>
        </w:rPr>
        <w:t>35.9%</w:t>
      </w:r>
      <w:r>
        <w:rPr>
          <w:rFonts w:hint="eastAsia" w:ascii="仿宋_GB2312" w:eastAsia="仿宋_GB2312" w:hAnsiTheme="minorHAnsi" w:cstheme="minorBidi"/>
          <w:sz w:val="32"/>
          <w:szCs w:val="32"/>
        </w:rPr>
        <w:t>，随着科技服务业、文化创意、全域旅游的快速发展，第三产业增加值占GDP比重会持续增加，但光明区仍以高端制造、新兴产业为主，金融、专业服务相比福田、南山等中心城区发展相对薄弱。到2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建议该指标目标值设置为45</w:t>
      </w:r>
      <w:r>
        <w:rPr>
          <w:rFonts w:hint="eastAsia" w:ascii="仿宋_GB2312" w:eastAsia="仿宋_GB2312" w:hAnsiTheme="minorHAnsi" w:cstheme="minorBidi"/>
          <w:sz w:val="32"/>
          <w:szCs w:val="32"/>
        </w:rPr>
        <w:t>%，2018-2035年年均增速为</w:t>
      </w:r>
      <w:r>
        <w:rPr>
          <w:rFonts w:ascii="仿宋_GB2312" w:eastAsia="仿宋_GB2312" w:hAnsiTheme="minorHAnsi" w:cstheme="minorBidi"/>
          <w:sz w:val="32"/>
          <w:szCs w:val="32"/>
        </w:rPr>
        <w:t>1</w:t>
      </w:r>
      <w:r>
        <w:rPr>
          <w:rFonts w:hint="eastAsia" w:ascii="仿宋_GB2312" w:eastAsia="仿宋_GB2312" w:hAnsiTheme="minorHAnsi" w:cstheme="minorBidi"/>
          <w:sz w:val="32"/>
          <w:szCs w:val="32"/>
        </w:rPr>
        <w:t>%，经测算可得202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年和2025年光明区第三产业增加值占GDP比重分别为</w:t>
      </w:r>
      <w:r>
        <w:rPr>
          <w:rFonts w:ascii="仿宋_GB2312" w:eastAsia="仿宋_GB2312" w:hAnsiTheme="minorHAnsi" w:cstheme="minorBidi"/>
          <w:sz w:val="32"/>
          <w:szCs w:val="32"/>
        </w:rPr>
        <w:t>37.8</w:t>
      </w:r>
      <w:r>
        <w:rPr>
          <w:rFonts w:hint="eastAsia" w:ascii="仿宋_GB2312" w:eastAsia="仿宋_GB2312" w:hAnsiTheme="minorHAnsi" w:cstheme="minorBidi"/>
          <w:sz w:val="32"/>
          <w:szCs w:val="32"/>
        </w:rPr>
        <w:t>%和3</w:t>
      </w:r>
      <w:r>
        <w:rPr>
          <w:rFonts w:ascii="仿宋_GB2312" w:eastAsia="仿宋_GB2312" w:hAnsiTheme="minorHAnsi" w:cstheme="minorBidi"/>
          <w:sz w:val="32"/>
          <w:szCs w:val="32"/>
        </w:rPr>
        <w:t>9.4</w:t>
      </w:r>
      <w:r>
        <w:rPr>
          <w:rFonts w:hint="eastAsia"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5.9%</w:t>
            </w:r>
          </w:p>
        </w:tc>
        <w:tc>
          <w:tcPr>
            <w:tcW w:w="992" w:type="dxa"/>
          </w:tcPr>
          <w:p>
            <w:pPr>
              <w:rPr>
                <w:rFonts w:ascii="仿宋_GB2312" w:eastAsia="仿宋_GB2312" w:hAnsiTheme="minorHAnsi" w:cstheme="minorBidi"/>
                <w:sz w:val="24"/>
                <w:szCs w:val="24"/>
              </w:rPr>
            </w:pP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9.4</w:t>
            </w:r>
            <w:r>
              <w:rPr>
                <w:rFonts w:hint="eastAsia" w:ascii="仿宋_GB2312" w:eastAsia="仿宋_GB2312" w:hAnsiTheme="minorHAnsi" w:cstheme="minorBidi"/>
                <w:sz w:val="24"/>
                <w:szCs w:val="24"/>
              </w:rPr>
              <w:t>%</w:t>
            </w:r>
          </w:p>
        </w:tc>
        <w:tc>
          <w:tcPr>
            <w:tcW w:w="992" w:type="dxa"/>
          </w:tcPr>
          <w:p>
            <w:pPr>
              <w:rPr>
                <w:rFonts w:ascii="仿宋_GB2312" w:eastAsia="仿宋_GB2312" w:hAnsiTheme="minorHAnsi" w:cstheme="minorBidi"/>
                <w:sz w:val="24"/>
                <w:szCs w:val="24"/>
              </w:rPr>
            </w:pP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5</w:t>
            </w:r>
            <w:r>
              <w:rPr>
                <w:rFonts w:hint="eastAsia" w:ascii="仿宋_GB2312" w:eastAsia="仿宋_GB2312" w:hAnsiTheme="minorHAnsi" w:cstheme="minorBid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深圳建设社会主义现代化先行区</w:t>
            </w: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8.8</w:t>
            </w:r>
            <w:r>
              <w:rPr>
                <w:rFonts w:hint="eastAsia" w:ascii="仿宋_GB2312" w:eastAsia="仿宋_GB2312" w:hAnsiTheme="minorHAnsi" w:cstheme="minorBidi"/>
                <w:sz w:val="24"/>
                <w:szCs w:val="24"/>
              </w:rPr>
              <w:t>%</w:t>
            </w: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71%</w:t>
            </w: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74%</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福田区现代产业体系中长期发展规划</w:t>
            </w:r>
          </w:p>
        </w:tc>
        <w:tc>
          <w:tcPr>
            <w:tcW w:w="993"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94.47</w:t>
            </w: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017年</w:t>
            </w:r>
            <w:r>
              <w:rPr>
                <w:rFonts w:hint="eastAsia" w:ascii="仿宋_GB2312" w:eastAsia="仿宋_GB2312" w:hAnsiTheme="minorHAnsi" w:cstheme="minorBidi"/>
                <w:sz w:val="24"/>
                <w:szCs w:val="24"/>
              </w:rPr>
              <w:t>）</w:t>
            </w: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7</w:t>
            </w:r>
            <w:r>
              <w:rPr>
                <w:rFonts w:ascii="仿宋_GB2312" w:eastAsia="仿宋_GB2312" w:hAnsiTheme="minorHAnsi" w:cstheme="minorBidi"/>
                <w:sz w:val="24"/>
                <w:szCs w:val="24"/>
              </w:rPr>
              <w:t>2%</w:t>
            </w: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7</w:t>
            </w:r>
            <w:r>
              <w:rPr>
                <w:rFonts w:ascii="仿宋_GB2312" w:eastAsia="仿宋_GB2312" w:hAnsiTheme="minorHAnsi" w:cstheme="minorBidi"/>
                <w:sz w:val="24"/>
                <w:szCs w:val="24"/>
              </w:rPr>
              <w:t>4%</w:t>
            </w: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7</w:t>
            </w:r>
            <w:r>
              <w:rPr>
                <w:rFonts w:ascii="仿宋_GB2312" w:eastAsia="仿宋_GB2312" w:hAnsiTheme="minorHAnsi" w:cstheme="minorBidi"/>
                <w:sz w:val="24"/>
                <w:szCs w:val="24"/>
              </w:rPr>
              <w:t>5%</w:t>
            </w: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7</w:t>
            </w:r>
            <w:r>
              <w:rPr>
                <w:rFonts w:ascii="仿宋_GB2312" w:eastAsia="仿宋_GB2312" w:hAnsiTheme="minorHAnsi" w:cstheme="minorBidi"/>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ascii="仿宋_GB2312" w:eastAsia="仿宋_GB2312" w:hAnsiTheme="minorHAnsi" w:cstheme="minorBidi"/>
                <w:sz w:val="24"/>
                <w:szCs w:val="24"/>
              </w:rPr>
              <w:t>南山区</w:t>
            </w:r>
          </w:p>
        </w:tc>
        <w:tc>
          <w:tcPr>
            <w:tcW w:w="4962" w:type="dxa"/>
            <w:gridSpan w:val="5"/>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5</w:t>
            </w:r>
            <w:r>
              <w:rPr>
                <w:rFonts w:ascii="仿宋_GB2312" w:eastAsia="仿宋_GB2312" w:hAnsiTheme="minorHAnsi" w:cstheme="minorBidi"/>
                <w:sz w:val="24"/>
                <w:szCs w:val="24"/>
              </w:rPr>
              <w:t>5.5</w:t>
            </w: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017年</w:t>
            </w:r>
            <w:r>
              <w:rPr>
                <w:rFonts w:hint="eastAsia" w:ascii="仿宋_GB2312" w:eastAsia="仿宋_GB2312" w:hAnsiTheme="minorHAnsi" w:cstheme="minorBidi"/>
                <w:sz w:val="24"/>
                <w:szCs w:val="24"/>
              </w:rPr>
              <w:t>）</w:t>
            </w:r>
          </w:p>
        </w:tc>
      </w:tr>
    </w:tbl>
    <w:p>
      <w:pPr>
        <w:ind w:firstLine="643" w:firstLineChars="200"/>
        <w:outlineLvl w:val="1"/>
        <w:rPr>
          <w:rFonts w:ascii="楷体_GB2312" w:eastAsia="楷体_GB2312" w:hAnsiTheme="minorHAnsi" w:cstheme="minorBidi"/>
          <w:b/>
          <w:color w:val="000000" w:themeColor="text1"/>
          <w:sz w:val="32"/>
          <w:szCs w:val="32"/>
        </w:rPr>
      </w:pPr>
      <w:r>
        <w:rPr>
          <w:rFonts w:hint="eastAsia" w:ascii="楷体_GB2312" w:eastAsia="楷体_GB2312" w:hAnsiTheme="minorHAnsi" w:cstheme="minorBidi"/>
          <w:b/>
          <w:color w:val="000000" w:themeColor="text1"/>
          <w:sz w:val="32"/>
          <w:szCs w:val="32"/>
        </w:rPr>
        <w:t>（十三）智能产业产值</w:t>
      </w:r>
    </w:p>
    <w:p>
      <w:pPr>
        <w:ind w:firstLine="640" w:firstLineChars="200"/>
        <w:outlineLvl w:val="1"/>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智能产业的测算主要依据新一代信息技术和数字经济产业。根据光明区统计资料，2018年新一代信息技术产业规模为718亿元。深圳市新一代信息技术产业过往增速，近年来呈现逐年下滑趋势，2018年已跌至10%左右；光明区新一代信息技术产业近五年平均增速约23%左右，但呈现下降趋势。考虑到深圳市新一代信息技术产业增速逐年下滑的大环境以及光明区土地承载能力的限制，预计2019-2025年新一代信息技术产业复合增长率为8%，2025-2035年新一代信息技术产业复合增长率为5%。根据光明区统计资料，2018年数字经济产业规模为63亿元，参考深圳市和光明区数字经济产业过往增速（均为20%以上），并考虑到数字经济产业无需过多的空间承载，且未来光明将大力引进人工智能等数字经济产业，预计2019-2025年数字经济产业复合增长率为20%，2025-2035年数字经济产业复合增长率为10%；据此测算，到202</w:t>
      </w:r>
      <w:r>
        <w:rPr>
          <w:rFonts w:ascii="仿宋_GB2312" w:eastAsia="仿宋_GB2312" w:hAnsiTheme="minorHAnsi" w:cstheme="minorBidi"/>
          <w:color w:val="000000" w:themeColor="text1"/>
          <w:sz w:val="32"/>
          <w:szCs w:val="32"/>
        </w:rPr>
        <w:t>2</w:t>
      </w:r>
      <w:r>
        <w:rPr>
          <w:rFonts w:hint="eastAsia" w:ascii="仿宋_GB2312" w:eastAsia="仿宋_GB2312" w:hAnsiTheme="minorHAnsi" w:cstheme="minorBidi"/>
          <w:color w:val="000000" w:themeColor="text1"/>
          <w:sz w:val="32"/>
          <w:szCs w:val="32"/>
        </w:rPr>
        <w:t>年光明区智能产业规模约为10</w:t>
      </w:r>
      <w:r>
        <w:rPr>
          <w:rFonts w:ascii="仿宋_GB2312" w:eastAsia="仿宋_GB2312" w:hAnsiTheme="minorHAnsi" w:cstheme="minorBidi"/>
          <w:color w:val="000000" w:themeColor="text1"/>
          <w:sz w:val="32"/>
          <w:szCs w:val="32"/>
        </w:rPr>
        <w:t>5</w:t>
      </w:r>
      <w:r>
        <w:rPr>
          <w:rFonts w:hint="eastAsia" w:ascii="仿宋_GB2312" w:eastAsia="仿宋_GB2312" w:hAnsiTheme="minorHAnsi" w:cstheme="minorBidi"/>
          <w:color w:val="000000" w:themeColor="text1"/>
          <w:sz w:val="32"/>
          <w:szCs w:val="32"/>
        </w:rPr>
        <w:t>0亿元，到2025年光明区智能产业规模约为1400亿元，到2035年规模约为2500亿元。</w:t>
      </w:r>
    </w:p>
    <w:p>
      <w:pPr>
        <w:ind w:firstLine="643" w:firstLineChars="200"/>
        <w:outlineLvl w:val="1"/>
        <w:rPr>
          <w:rFonts w:ascii="楷体_GB2312" w:eastAsia="楷体_GB2312" w:hAnsiTheme="minorHAnsi" w:cstheme="minorBidi"/>
          <w:b/>
          <w:color w:val="000000" w:themeColor="text1"/>
          <w:sz w:val="32"/>
          <w:szCs w:val="32"/>
        </w:rPr>
      </w:pPr>
      <w:r>
        <w:rPr>
          <w:rFonts w:hint="eastAsia" w:ascii="楷体_GB2312" w:eastAsia="楷体_GB2312" w:hAnsiTheme="minorHAnsi" w:cstheme="minorBidi"/>
          <w:b/>
          <w:color w:val="000000" w:themeColor="text1"/>
          <w:sz w:val="32"/>
          <w:szCs w:val="32"/>
        </w:rPr>
        <w:t>（十四）新材料产业产值</w:t>
      </w:r>
    </w:p>
    <w:p>
      <w:pPr>
        <w:ind w:firstLine="640" w:firstLineChars="200"/>
        <w:outlineLvl w:val="1"/>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光明区新材料产业产值测算主要根据依据深圳市和光明区近七年的增长速率（见图2）进行测算，深圳市新材料产业自2011年进入快速发展阶段，年均复合增长速率为17.4%；光明区新材料产业在显示材料、锂离子电池材料、合金材料等领域聚集了一批优势企业。2015年，新材料产值实现了巨大的飞跃。根据目前新材料产业基础，推算新材料产业在第一个阶段2019-202</w:t>
      </w:r>
      <w:r>
        <w:rPr>
          <w:rFonts w:ascii="仿宋_GB2312" w:eastAsia="仿宋_GB2312" w:hAnsiTheme="minorHAnsi" w:cstheme="minorBidi"/>
          <w:color w:val="000000" w:themeColor="text1"/>
          <w:sz w:val="32"/>
          <w:szCs w:val="32"/>
        </w:rPr>
        <w:t>2</w:t>
      </w:r>
      <w:r>
        <w:rPr>
          <w:rFonts w:hint="eastAsia" w:ascii="仿宋_GB2312" w:eastAsia="仿宋_GB2312" w:hAnsiTheme="minorHAnsi" w:cstheme="minorBidi"/>
          <w:color w:val="000000" w:themeColor="text1"/>
          <w:sz w:val="32"/>
          <w:szCs w:val="32"/>
        </w:rPr>
        <w:t>将继续保持15%的年均复合增长速率发展，202</w:t>
      </w:r>
      <w:r>
        <w:rPr>
          <w:rFonts w:ascii="仿宋_GB2312" w:eastAsia="仿宋_GB2312" w:hAnsiTheme="minorHAnsi" w:cstheme="minorBidi"/>
          <w:color w:val="000000" w:themeColor="text1"/>
          <w:sz w:val="32"/>
          <w:szCs w:val="32"/>
        </w:rPr>
        <w:t>2</w:t>
      </w:r>
      <w:r>
        <w:rPr>
          <w:rFonts w:hint="eastAsia" w:ascii="仿宋_GB2312" w:eastAsia="仿宋_GB2312" w:hAnsiTheme="minorHAnsi" w:cstheme="minorBidi"/>
          <w:color w:val="000000" w:themeColor="text1"/>
          <w:sz w:val="32"/>
          <w:szCs w:val="32"/>
        </w:rPr>
        <w:t>年产值达5</w:t>
      </w:r>
      <w:r>
        <w:rPr>
          <w:rFonts w:ascii="仿宋_GB2312" w:eastAsia="仿宋_GB2312" w:hAnsiTheme="minorHAnsi" w:cstheme="minorBidi"/>
          <w:color w:val="000000" w:themeColor="text1"/>
          <w:sz w:val="32"/>
          <w:szCs w:val="32"/>
        </w:rPr>
        <w:t>3</w:t>
      </w:r>
      <w:r>
        <w:rPr>
          <w:rFonts w:hint="eastAsia" w:ascii="仿宋_GB2312" w:eastAsia="仿宋_GB2312" w:hAnsiTheme="minorHAnsi" w:cstheme="minorBidi"/>
          <w:color w:val="000000" w:themeColor="text1"/>
          <w:sz w:val="32"/>
          <w:szCs w:val="32"/>
        </w:rPr>
        <w:t>0亿元。第二个阶段202</w:t>
      </w:r>
      <w:r>
        <w:rPr>
          <w:rFonts w:ascii="仿宋_GB2312" w:eastAsia="仿宋_GB2312" w:hAnsiTheme="minorHAnsi" w:cstheme="minorBidi"/>
          <w:color w:val="000000" w:themeColor="text1"/>
          <w:sz w:val="32"/>
          <w:szCs w:val="32"/>
        </w:rPr>
        <w:t>2</w:t>
      </w:r>
      <w:r>
        <w:rPr>
          <w:rFonts w:hint="eastAsia" w:ascii="仿宋_GB2312" w:eastAsia="仿宋_GB2312" w:hAnsiTheme="minorHAnsi" w:cstheme="minorBidi"/>
          <w:color w:val="000000" w:themeColor="text1"/>
          <w:sz w:val="32"/>
          <w:szCs w:val="32"/>
        </w:rPr>
        <w:t>-2025年，在材料基因组大科学装置的带动下，新材料产业将保持20%的年均复合增长速率飞速发展，2025年产值达</w:t>
      </w:r>
      <w:r>
        <w:rPr>
          <w:rFonts w:ascii="仿宋_GB2312" w:eastAsia="仿宋_GB2312" w:hAnsiTheme="minorHAnsi" w:cstheme="minorBidi"/>
          <w:color w:val="000000" w:themeColor="text1"/>
          <w:sz w:val="32"/>
          <w:szCs w:val="32"/>
        </w:rPr>
        <w:t>80</w:t>
      </w:r>
      <w:r>
        <w:rPr>
          <w:rFonts w:hint="eastAsia" w:ascii="仿宋_GB2312" w:eastAsia="仿宋_GB2312" w:hAnsiTheme="minorHAnsi" w:cstheme="minorBidi"/>
          <w:color w:val="000000" w:themeColor="text1"/>
          <w:sz w:val="32"/>
          <w:szCs w:val="32"/>
        </w:rPr>
        <w:t>0亿元。第三个阶段2025-2025，新材料产业具有一定的产业规模，增速会逐渐放缓，将以8%的年均复合增长速率保持稳定的增长和持续的发展，预计2035年新材料产值达</w:t>
      </w:r>
      <w:r>
        <w:rPr>
          <w:rFonts w:ascii="仿宋_GB2312" w:eastAsia="仿宋_GB2312" w:hAnsiTheme="minorHAnsi" w:cstheme="minorBidi"/>
          <w:color w:val="000000" w:themeColor="text1"/>
          <w:sz w:val="32"/>
          <w:szCs w:val="32"/>
        </w:rPr>
        <w:t>18</w:t>
      </w:r>
      <w:r>
        <w:rPr>
          <w:rFonts w:hint="eastAsia" w:ascii="仿宋_GB2312" w:eastAsia="仿宋_GB2312" w:hAnsiTheme="minorHAnsi" w:cstheme="minorBidi"/>
          <w:color w:val="000000" w:themeColor="text1"/>
          <w:sz w:val="32"/>
          <w:szCs w:val="32"/>
        </w:rPr>
        <w:t>00亿元。</w:t>
      </w:r>
    </w:p>
    <w:p>
      <w:pPr>
        <w:ind w:firstLine="643" w:firstLineChars="200"/>
        <w:outlineLvl w:val="1"/>
        <w:rPr>
          <w:rFonts w:ascii="楷体_GB2312" w:eastAsia="楷体_GB2312" w:hAnsiTheme="minorHAnsi" w:cstheme="minorBidi"/>
          <w:b/>
          <w:color w:val="000000" w:themeColor="text1"/>
          <w:sz w:val="32"/>
          <w:szCs w:val="32"/>
        </w:rPr>
      </w:pPr>
      <w:r>
        <w:rPr>
          <w:rFonts w:hint="eastAsia" w:ascii="楷体_GB2312" w:eastAsia="楷体_GB2312" w:hAnsiTheme="minorHAnsi" w:cstheme="minorBidi"/>
          <w:b/>
          <w:color w:val="000000" w:themeColor="text1"/>
          <w:sz w:val="32"/>
          <w:szCs w:val="32"/>
        </w:rPr>
        <w:t>（十五）生命科学产业产值</w:t>
      </w:r>
    </w:p>
    <w:p>
      <w:pPr>
        <w:widowControl/>
        <w:ind w:firstLine="640" w:firstLineChars="200"/>
        <w:jc w:val="left"/>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生命科学产业产值测算采用对标先进生物医药园区的方法。上海张江生物医药产业2009年起发展走入快车道，2015年产值达到500亿，复合增长率达到20.92%，在《上海市张江高科技园区发展“十三五”规划》中，张江预计2020年产值将达到1000亿，届时发展速率将达到约15%。将光明区生命科学产业在产值测算中对标上海张江的早期阶段，由于近期将有较多国内大型企业（如营收达百亿规模的迈瑞医疗）落户光明区，预计近年光明区发展速率为张江的2倍，因此光明区到2</w:t>
      </w:r>
      <w:r>
        <w:rPr>
          <w:rFonts w:ascii="仿宋_GB2312" w:eastAsia="仿宋_GB2312" w:hAnsiTheme="minorHAnsi" w:cstheme="minorBidi"/>
          <w:color w:val="000000" w:themeColor="text1"/>
          <w:sz w:val="32"/>
          <w:szCs w:val="32"/>
        </w:rPr>
        <w:t>022年</w:t>
      </w:r>
      <w:r>
        <w:rPr>
          <w:rFonts w:hint="eastAsia" w:ascii="仿宋_GB2312" w:eastAsia="仿宋_GB2312" w:hAnsiTheme="minorHAnsi" w:cstheme="minorBidi"/>
          <w:color w:val="000000" w:themeColor="text1"/>
          <w:sz w:val="32"/>
          <w:szCs w:val="32"/>
        </w:rPr>
        <w:t>和2025年生命科学产业产值将达到</w:t>
      </w:r>
      <w:r>
        <w:rPr>
          <w:rFonts w:ascii="仿宋_GB2312" w:eastAsia="仿宋_GB2312" w:hAnsiTheme="minorHAnsi" w:cstheme="minorBidi"/>
          <w:color w:val="000000" w:themeColor="text1"/>
          <w:sz w:val="32"/>
          <w:szCs w:val="32"/>
        </w:rPr>
        <w:t>200亿和450</w:t>
      </w:r>
      <w:r>
        <w:rPr>
          <w:rFonts w:hint="eastAsia" w:ascii="仿宋_GB2312" w:eastAsia="仿宋_GB2312" w:hAnsiTheme="minorHAnsi" w:cstheme="minorBidi"/>
          <w:color w:val="000000" w:themeColor="text1"/>
          <w:sz w:val="32"/>
          <w:szCs w:val="32"/>
        </w:rPr>
        <w:t>亿。产业发展在2025年后将进入稳步发展阶段，预估其发展速率与张江2015-2020年相近（15%），因此2035年光明区生命科学产业预估为1</w:t>
      </w:r>
      <w:r>
        <w:rPr>
          <w:rFonts w:ascii="仿宋_GB2312" w:eastAsia="仿宋_GB2312" w:hAnsiTheme="minorHAnsi" w:cstheme="minorBidi"/>
          <w:color w:val="000000" w:themeColor="text1"/>
          <w:sz w:val="32"/>
          <w:szCs w:val="32"/>
        </w:rPr>
        <w:t>0</w:t>
      </w:r>
      <w:r>
        <w:rPr>
          <w:rFonts w:hint="eastAsia" w:ascii="仿宋_GB2312" w:eastAsia="仿宋_GB2312" w:hAnsiTheme="minorHAnsi" w:cstheme="minorBidi"/>
          <w:color w:val="000000" w:themeColor="text1"/>
          <w:sz w:val="32"/>
          <w:szCs w:val="32"/>
        </w:rPr>
        <w:t>00亿。</w:t>
      </w:r>
    </w:p>
    <w:p>
      <w:pPr>
        <w:spacing w:line="600" w:lineRule="exact"/>
        <w:ind w:firstLine="643" w:firstLineChars="200"/>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（十六）科技服务业占服务业比重</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spacing w:line="60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科技服务业是指运用现代科技知识、现代技术和分析研究方法，以及经验、信息等要素向社会提供智力服务的新兴产业，主要包括科学研究、专业技术服务、技术推广、科技信息交流、科技培训、技术咨询、技术孵化、技术市场、知识产权服务、科技评估和科技鉴证等活动，满足科技创新需求和提升产业创新能力。</w:t>
      </w:r>
    </w:p>
    <w:p>
      <w:pPr>
        <w:spacing w:line="60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反映科技服务水平的重要指标。指当年科技服务营业收入与服务业营业收入之比。计算公式：科技服务业占服务业比重=科技服务营业收入/服务业营业收入×100%。</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指标值测算</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2018</w:t>
      </w:r>
      <w:r>
        <w:rPr>
          <w:rFonts w:hint="eastAsia" w:ascii="仿宋_GB2312" w:eastAsia="仿宋_GB2312" w:hAnsiTheme="minorHAnsi" w:cstheme="minorBidi"/>
          <w:sz w:val="32"/>
          <w:szCs w:val="32"/>
        </w:rPr>
        <w:t>年光明区科技服务营业收入占服务业营业收入的</w:t>
      </w:r>
      <w:r>
        <w:rPr>
          <w:rFonts w:ascii="仿宋_GB2312" w:eastAsia="仿宋_GB2312" w:hAnsiTheme="minorHAnsi" w:cstheme="minorBidi"/>
          <w:sz w:val="32"/>
          <w:szCs w:val="32"/>
        </w:rPr>
        <w:t>4.35</w:t>
      </w:r>
      <w:r>
        <w:rPr>
          <w:rFonts w:hint="eastAsia" w:ascii="仿宋_GB2312" w:eastAsia="仿宋_GB2312" w:hAnsiTheme="minorHAnsi" w:cstheme="minorBidi"/>
          <w:sz w:val="32"/>
          <w:szCs w:val="32"/>
        </w:rPr>
        <w:t>%。《规划》中提出要打造“全球知名的科技引领型现代产业先锋区”，要大力发展科技服务业，推动科技成果转化，打破科技与产业“两张皮”，到2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对标美国北卡三角园等国际先进城区科技服务业占服务业的比重</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将光明</w:t>
      </w: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035年目标值设置为50</w:t>
      </w:r>
      <w:r>
        <w:rPr>
          <w:rFonts w:hint="eastAsia" w:ascii="仿宋_GB2312" w:eastAsia="仿宋_GB2312" w:hAnsiTheme="minorHAnsi" w:cstheme="minorBidi"/>
          <w:sz w:val="32"/>
          <w:szCs w:val="32"/>
        </w:rPr>
        <w:t>%，2018-2035年年均增速为15%，经测算可得202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年和2025年光明区科技服务业占服务业比重分别为</w:t>
      </w:r>
      <w:r>
        <w:rPr>
          <w:rFonts w:ascii="仿宋_GB2312" w:eastAsia="仿宋_GB2312" w:hAnsiTheme="minorHAnsi" w:cstheme="minorBidi"/>
          <w:sz w:val="32"/>
          <w:szCs w:val="32"/>
        </w:rPr>
        <w:t>7.7</w:t>
      </w:r>
      <w:r>
        <w:rPr>
          <w:rFonts w:hint="eastAsia" w:ascii="仿宋_GB2312" w:eastAsia="仿宋_GB2312" w:hAnsiTheme="minorHAnsi" w:cstheme="minorBidi"/>
          <w:sz w:val="32"/>
          <w:szCs w:val="32"/>
        </w:rPr>
        <w:t>%和</w:t>
      </w:r>
      <w:r>
        <w:rPr>
          <w:rFonts w:ascii="仿宋_GB2312" w:eastAsia="仿宋_GB2312" w:hAnsiTheme="minorHAnsi" w:cstheme="minorBidi"/>
          <w:sz w:val="32"/>
          <w:szCs w:val="32"/>
        </w:rPr>
        <w:t>11.9</w:t>
      </w:r>
      <w:r>
        <w:rPr>
          <w:rFonts w:hint="eastAsia"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.35</w:t>
            </w:r>
            <w:r>
              <w:rPr>
                <w:rFonts w:hint="eastAsia" w:ascii="仿宋_GB2312" w:eastAsia="仿宋_GB2312" w:hAnsiTheme="minorHAnsi" w:cstheme="minorBidi"/>
                <w:sz w:val="24"/>
                <w:szCs w:val="24"/>
              </w:rPr>
              <w:t>%</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11.9</w:t>
            </w:r>
            <w:r>
              <w:rPr>
                <w:rFonts w:hint="eastAsia" w:ascii="仿宋_GB2312" w:eastAsia="仿宋_GB2312" w:hAnsiTheme="minorHAnsi" w:cstheme="minorBidi"/>
                <w:sz w:val="24"/>
                <w:szCs w:val="24"/>
              </w:rPr>
              <w:t>%</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纽约</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4</w:t>
            </w:r>
            <w:r>
              <w:rPr>
                <w:rFonts w:hint="eastAsia" w:ascii="仿宋_GB2312" w:eastAsia="仿宋_GB2312" w:hAnsiTheme="minorHAnsi" w:cstheme="minorBidi"/>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波士顿</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r>
              <w:rPr>
                <w:rFonts w:ascii="仿宋_GB2312" w:eastAsia="仿宋_GB2312" w:hAnsiTheme="minorHAnsi" w:cstheme="minorBidi"/>
                <w:sz w:val="24"/>
                <w:szCs w:val="24"/>
              </w:rPr>
              <w:t>5</w:t>
            </w:r>
            <w:r>
              <w:rPr>
                <w:rFonts w:hint="eastAsia" w:ascii="仿宋_GB2312" w:eastAsia="仿宋_GB2312" w:hAnsiTheme="minorHAnsi" w:cstheme="minorBid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美国北卡三角园</w:t>
            </w:r>
          </w:p>
        </w:tc>
        <w:tc>
          <w:tcPr>
            <w:tcW w:w="993" w:type="dxa"/>
          </w:tcPr>
          <w:p>
            <w:pPr>
              <w:jc w:val="center"/>
              <w:rPr>
                <w:rFonts w:ascii="仿宋_GB2312" w:eastAsia="仿宋_GB2312" w:hAnsiTheme="minorHAnsi" w:cstheme="minorBidi"/>
                <w:sz w:val="24"/>
                <w:szCs w:val="24"/>
              </w:rPr>
            </w:pPr>
          </w:p>
        </w:tc>
        <w:tc>
          <w:tcPr>
            <w:tcW w:w="992" w:type="dxa"/>
          </w:tcPr>
          <w:p>
            <w:pPr>
              <w:rPr>
                <w:rFonts w:ascii="仿宋_GB2312" w:eastAsia="仿宋_GB2312" w:hAnsiTheme="minorHAnsi" w:cstheme="minorBidi"/>
                <w:sz w:val="24"/>
                <w:szCs w:val="24"/>
              </w:rPr>
            </w:pPr>
          </w:p>
        </w:tc>
        <w:tc>
          <w:tcPr>
            <w:tcW w:w="992" w:type="dxa"/>
          </w:tcPr>
          <w:p>
            <w:pPr>
              <w:rPr>
                <w:rFonts w:ascii="仿宋_GB2312" w:eastAsia="仿宋_GB2312" w:hAnsiTheme="minorHAnsi" w:cstheme="minorBidi"/>
                <w:sz w:val="24"/>
                <w:szCs w:val="24"/>
              </w:rPr>
            </w:pPr>
          </w:p>
        </w:tc>
        <w:tc>
          <w:tcPr>
            <w:tcW w:w="992" w:type="dxa"/>
          </w:tcPr>
          <w:p>
            <w:pPr>
              <w:rPr>
                <w:rFonts w:ascii="仿宋_GB2312" w:eastAsia="仿宋_GB2312" w:hAnsiTheme="minorHAnsi" w:cstheme="minorBidi"/>
                <w:sz w:val="24"/>
                <w:szCs w:val="24"/>
              </w:rPr>
            </w:pP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 xml:space="preserve"> </w:t>
            </w:r>
            <w:r>
              <w:rPr>
                <w:rFonts w:ascii="仿宋_GB2312" w:eastAsia="仿宋_GB2312" w:hAnsiTheme="minorHAnsi" w:cstheme="minorBidi"/>
                <w:sz w:val="24"/>
                <w:szCs w:val="24"/>
              </w:rPr>
              <w:t xml:space="preserve"> 50</w:t>
            </w:r>
            <w:r>
              <w:rPr>
                <w:rFonts w:hint="eastAsia" w:ascii="仿宋_GB2312" w:eastAsia="仿宋_GB2312" w:hAnsiTheme="minorHAnsi" w:cstheme="minorBidi"/>
                <w:sz w:val="24"/>
                <w:szCs w:val="24"/>
              </w:rPr>
              <w:t>%</w:t>
            </w:r>
          </w:p>
        </w:tc>
      </w:tr>
    </w:tbl>
    <w:p>
      <w:pPr>
        <w:ind w:firstLine="643" w:firstLineChars="200"/>
        <w:outlineLvl w:val="1"/>
        <w:rPr>
          <w:rFonts w:ascii="楷体_GB2312" w:eastAsia="楷体_GB2312" w:hAnsiTheme="minorHAnsi" w:cstheme="minorBidi"/>
          <w:b/>
          <w:color w:val="000000" w:themeColor="text1"/>
          <w:sz w:val="32"/>
          <w:szCs w:val="32"/>
        </w:rPr>
      </w:pPr>
      <w:r>
        <w:rPr>
          <w:rFonts w:hint="eastAsia" w:ascii="楷体_GB2312" w:eastAsia="楷体_GB2312" w:hAnsiTheme="minorHAnsi" w:cstheme="minorBidi"/>
          <w:b/>
          <w:color w:val="000000" w:themeColor="text1"/>
          <w:sz w:val="32"/>
          <w:szCs w:val="32"/>
        </w:rPr>
        <w:t>（十七）高新技术企业数</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spacing w:line="580" w:lineRule="exact"/>
        <w:ind w:right="257" w:firstLine="640" w:firstLineChars="200"/>
        <w:rPr>
          <w:rFonts w:ascii="仿宋_GB2312" w:hAnsi="仿宋_GB2312" w:eastAsia="仿宋_GB2312" w:cstheme="minorBidi"/>
          <w:kern w:val="0"/>
          <w:sz w:val="32"/>
          <w:szCs w:val="32"/>
        </w:rPr>
      </w:pPr>
      <w:r>
        <w:rPr>
          <w:rFonts w:hint="eastAsia" w:ascii="仿宋_GB2312" w:hAnsi="仿宋_GB2312" w:eastAsia="仿宋_GB2312" w:cstheme="minorBidi"/>
          <w:kern w:val="0"/>
          <w:sz w:val="32"/>
          <w:szCs w:val="32"/>
        </w:rPr>
        <w:t>反映辖区高新企业情况，间接反映产业竞争优势。指辖区内已认定高新技术企业的数量。</w:t>
      </w:r>
    </w:p>
    <w:p>
      <w:pPr>
        <w:ind w:firstLine="640" w:firstLineChars="200"/>
        <w:rPr>
          <w:rFonts w:ascii="仿宋_GB2312" w:eastAsia="仿宋_GB2312" w:hAnsiTheme="minorHAnsi" w:cstheme="minorBidi"/>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2018年，光明区高新技术企业数为9</w:t>
      </w:r>
      <w:r>
        <w:rPr>
          <w:rFonts w:ascii="仿宋_GB2312" w:eastAsia="仿宋_GB2312" w:hAnsiTheme="minorHAnsi" w:cstheme="minorBidi"/>
          <w:sz w:val="32"/>
          <w:szCs w:val="32"/>
        </w:rPr>
        <w:t>87家</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随着大科学装置群</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中山大学</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深圳等高端创新平台的落户</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推动企业创新能力不断提升</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高新技术企业将不断增加</w:t>
      </w:r>
      <w:r>
        <w:rPr>
          <w:rFonts w:hint="eastAsia" w:ascii="仿宋_GB2312" w:eastAsia="仿宋_GB2312" w:hAnsiTheme="minorHAnsi" w:cstheme="minorBidi"/>
          <w:sz w:val="32"/>
          <w:szCs w:val="32"/>
        </w:rPr>
        <w:t>。到2</w:t>
      </w:r>
      <w:r>
        <w:rPr>
          <w:rFonts w:ascii="仿宋_GB2312" w:eastAsia="仿宋_GB2312" w:hAnsiTheme="minorHAnsi" w:cstheme="minorBidi"/>
          <w:sz w:val="32"/>
          <w:szCs w:val="32"/>
        </w:rPr>
        <w:t>035年</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对标</w:t>
      </w:r>
      <w:r>
        <w:rPr>
          <w:rFonts w:hint="eastAsia" w:ascii="仿宋_GB2312" w:eastAsia="仿宋_GB2312" w:hAnsiTheme="minorHAnsi" w:cstheme="minorBidi"/>
          <w:sz w:val="32"/>
          <w:szCs w:val="32"/>
        </w:rPr>
        <w:t>南山区高新技术企业数量，将光明2035年目标值设置为</w:t>
      </w:r>
      <w:r>
        <w:rPr>
          <w:rFonts w:ascii="仿宋_GB2312" w:eastAsia="仿宋_GB2312" w:hAnsiTheme="minorHAnsi" w:cstheme="minorBidi"/>
          <w:sz w:val="32"/>
          <w:szCs w:val="32"/>
        </w:rPr>
        <w:t>3000</w:t>
      </w:r>
      <w:r>
        <w:rPr>
          <w:rFonts w:hint="eastAsia" w:ascii="仿宋_GB2312" w:eastAsia="仿宋_GB2312" w:hAnsiTheme="minorHAnsi" w:cstheme="minorBidi"/>
          <w:sz w:val="32"/>
          <w:szCs w:val="32"/>
        </w:rPr>
        <w:t>，2018-2035年年均增速为</w:t>
      </w:r>
      <w:r>
        <w:rPr>
          <w:rFonts w:ascii="仿宋_GB2312" w:eastAsia="仿宋_GB2312" w:hAnsiTheme="minorHAnsi" w:cstheme="minorBidi"/>
          <w:sz w:val="32"/>
          <w:szCs w:val="32"/>
        </w:rPr>
        <w:t>7</w:t>
      </w:r>
      <w:r>
        <w:rPr>
          <w:rFonts w:hint="eastAsia" w:ascii="仿宋_GB2312" w:eastAsia="仿宋_GB2312" w:hAnsiTheme="minorHAnsi" w:cstheme="minorBidi"/>
          <w:sz w:val="32"/>
          <w:szCs w:val="32"/>
        </w:rPr>
        <w:t>%，经测算可得202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年和2025年光明区高新技术企业数量为</w:t>
      </w:r>
      <w:r>
        <w:rPr>
          <w:rFonts w:ascii="仿宋_GB2312" w:eastAsia="仿宋_GB2312" w:hAnsiTheme="minorHAnsi" w:cstheme="minorBidi"/>
          <w:sz w:val="32"/>
          <w:szCs w:val="32"/>
        </w:rPr>
        <w:t>1280</w:t>
      </w:r>
      <w:r>
        <w:rPr>
          <w:rFonts w:hint="eastAsia" w:ascii="仿宋_GB2312" w:eastAsia="仿宋_GB2312" w:hAnsiTheme="minorHAnsi" w:cstheme="minorBidi"/>
          <w:sz w:val="32"/>
          <w:szCs w:val="32"/>
        </w:rPr>
        <w:t>家和1</w:t>
      </w:r>
      <w:r>
        <w:rPr>
          <w:rFonts w:ascii="仿宋_GB2312" w:eastAsia="仿宋_GB2312" w:hAnsiTheme="minorHAnsi" w:cstheme="minorBidi"/>
          <w:sz w:val="32"/>
          <w:szCs w:val="32"/>
        </w:rPr>
        <w:t>560</w:t>
      </w:r>
      <w:r>
        <w:rPr>
          <w:rFonts w:hint="eastAsia" w:ascii="仿宋_GB2312" w:eastAsia="仿宋_GB2312" w:hAnsiTheme="minorHAnsi" w:cstheme="minorBidi"/>
          <w:sz w:val="32"/>
          <w:szCs w:val="32"/>
        </w:rPr>
        <w:t>家。</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9</w:t>
            </w:r>
            <w:r>
              <w:rPr>
                <w:rFonts w:ascii="仿宋_GB2312" w:eastAsia="仿宋_GB2312" w:hAnsiTheme="minorHAnsi" w:cstheme="minorBidi"/>
                <w:sz w:val="24"/>
                <w:szCs w:val="24"/>
              </w:rPr>
              <w:t>87</w:t>
            </w:r>
          </w:p>
        </w:tc>
        <w:tc>
          <w:tcPr>
            <w:tcW w:w="992" w:type="dxa"/>
          </w:tcPr>
          <w:p>
            <w:pPr>
              <w:rPr>
                <w:rFonts w:ascii="仿宋_GB2312" w:eastAsia="仿宋_GB2312" w:hAnsiTheme="minorHAnsi" w:cstheme="minorBidi"/>
                <w:sz w:val="24"/>
                <w:szCs w:val="24"/>
              </w:rPr>
            </w:pPr>
          </w:p>
        </w:tc>
        <w:tc>
          <w:tcPr>
            <w:tcW w:w="992" w:type="dxa"/>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1560</w:t>
            </w:r>
          </w:p>
        </w:tc>
        <w:tc>
          <w:tcPr>
            <w:tcW w:w="992" w:type="dxa"/>
          </w:tcPr>
          <w:p>
            <w:pPr>
              <w:rPr>
                <w:rFonts w:ascii="仿宋_GB2312" w:eastAsia="仿宋_GB2312" w:hAnsiTheme="minorHAnsi" w:cstheme="minorBidi"/>
                <w:sz w:val="24"/>
                <w:szCs w:val="24"/>
              </w:rPr>
            </w:pP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深圳市战略性新兴产业“十三五”规划</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10000</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海淀区“十三五”时期加强全国科技创新中心核心区建设规划</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&gt;7000</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南山区科技及高新技术产业发展“十三五”规划</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3000</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福田区现代产业体系中长期发展规划</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&gt;2000</w:t>
            </w:r>
          </w:p>
        </w:tc>
        <w:tc>
          <w:tcPr>
            <w:tcW w:w="992"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&gt;2500</w:t>
            </w:r>
          </w:p>
        </w:tc>
        <w:tc>
          <w:tcPr>
            <w:tcW w:w="992"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&gt;3000</w:t>
            </w:r>
          </w:p>
        </w:tc>
        <w:tc>
          <w:tcPr>
            <w:tcW w:w="993" w:type="dxa"/>
            <w:vAlign w:val="center"/>
          </w:tcPr>
          <w:p>
            <w:pPr>
              <w:autoSpaceDE w:val="0"/>
              <w:autoSpaceDN w:val="0"/>
              <w:adjustRightInd w:val="0"/>
              <w:jc w:val="center"/>
              <w:rPr>
                <w:rFonts w:ascii="仿宋_GB2312" w:hAnsi="宋体" w:eastAsia="仿宋_GB2312" w:cstheme="minorBidi"/>
                <w:color w:val="000000"/>
                <w:kern w:val="0"/>
                <w:sz w:val="24"/>
                <w:szCs w:val="24"/>
              </w:rPr>
            </w:pPr>
            <w:r>
              <w:rPr>
                <w:rFonts w:hint="eastAsia" w:ascii="仿宋_GB2312" w:hAnsi="宋体" w:eastAsia="仿宋_GB2312" w:cstheme="minorBidi"/>
                <w:color w:val="000000"/>
                <w:kern w:val="0"/>
                <w:sz w:val="24"/>
                <w:szCs w:val="24"/>
              </w:rPr>
              <w:t>&gt;3500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张江园区“十三五”规划</w:t>
            </w:r>
          </w:p>
        </w:tc>
        <w:tc>
          <w:tcPr>
            <w:tcW w:w="993"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800</w:t>
            </w:r>
          </w:p>
        </w:tc>
        <w:tc>
          <w:tcPr>
            <w:tcW w:w="992" w:type="dxa"/>
            <w:vAlign w:val="center"/>
          </w:tcPr>
          <w:p>
            <w:pPr>
              <w:jc w:val="center"/>
              <w:rPr>
                <w:rFonts w:ascii="仿宋_GB2312" w:eastAsia="仿宋_GB2312" w:hAnsiTheme="minorHAnsi" w:cstheme="minorBidi"/>
                <w:sz w:val="24"/>
                <w:szCs w:val="24"/>
              </w:rPr>
            </w:pP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p>
        </w:tc>
      </w:tr>
    </w:tbl>
    <w:p>
      <w:pPr>
        <w:ind w:firstLine="643" w:firstLineChars="200"/>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（十八）万元GDP建设用地</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定义</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反映单位用地面积产出GDP的能力。指在一定时期内（通常一年），每生产一万元GDP所占用的建设用地面积。计算公式：万元GDP建设用地=建设用地面积/GDP（万元）。</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指标</w:t>
      </w:r>
      <w:r>
        <w:rPr>
          <w:rFonts w:ascii="仿宋_GB2312" w:eastAsia="仿宋_GB2312" w:hAnsiTheme="minorHAnsi" w:cstheme="minorBidi"/>
          <w:sz w:val="32"/>
          <w:szCs w:val="32"/>
        </w:rPr>
        <w:t>值测算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201</w:t>
      </w:r>
      <w:r>
        <w:rPr>
          <w:rFonts w:ascii="仿宋_GB2312" w:eastAsia="仿宋_GB2312" w:hAnsiTheme="minorHAnsi" w:cstheme="minorBidi"/>
          <w:sz w:val="32"/>
          <w:szCs w:val="32"/>
        </w:rPr>
        <w:t>8</w:t>
      </w:r>
      <w:r>
        <w:rPr>
          <w:rFonts w:hint="eastAsia" w:ascii="仿宋_GB2312" w:eastAsia="仿宋_GB2312" w:hAnsiTheme="minorHAnsi" w:cstheme="minorBidi"/>
          <w:sz w:val="32"/>
          <w:szCs w:val="32"/>
        </w:rPr>
        <w:t>年，光明区万元GDP建设用地为</w:t>
      </w:r>
      <w:r>
        <w:rPr>
          <w:rFonts w:ascii="仿宋_GB2312" w:eastAsia="仿宋_GB2312" w:hAnsiTheme="minorHAnsi" w:cstheme="minorBidi"/>
          <w:sz w:val="32"/>
          <w:szCs w:val="32"/>
        </w:rPr>
        <w:t>6.62</w:t>
      </w:r>
      <w:r>
        <w:rPr>
          <w:rFonts w:hint="eastAsia" w:ascii="仿宋_GB2312" w:eastAsia="仿宋_GB2312" w:hAnsiTheme="minorHAnsi" w:cstheme="minorBidi"/>
          <w:sz w:val="32"/>
          <w:szCs w:val="32"/>
        </w:rPr>
        <w:t>平方米。远高于全市平均水平</w:t>
      </w:r>
      <w:r>
        <w:rPr>
          <w:rFonts w:ascii="仿宋_GB2312" w:eastAsia="仿宋_GB2312" w:hAnsiTheme="minorHAnsi" w:cstheme="minorBidi"/>
          <w:sz w:val="32"/>
          <w:szCs w:val="32"/>
        </w:rPr>
        <w:t>3.12</w:t>
      </w:r>
      <w:r>
        <w:rPr>
          <w:rFonts w:hint="eastAsia" w:ascii="仿宋_GB2312" w:eastAsia="仿宋_GB2312" w:hAnsiTheme="minorHAnsi" w:cstheme="minorBidi"/>
          <w:sz w:val="32"/>
          <w:szCs w:val="32"/>
        </w:rPr>
        <w:t>平方米。到2035年，对标南山区万元GDP建设用地，将光明2035年目标值设置为</w:t>
      </w:r>
      <w:r>
        <w:rPr>
          <w:rFonts w:ascii="仿宋_GB2312" w:eastAsia="仿宋_GB2312" w:hAnsiTheme="minorHAnsi" w:cstheme="minorBidi"/>
          <w:sz w:val="32"/>
          <w:szCs w:val="32"/>
        </w:rPr>
        <w:t>1.97平方米</w:t>
      </w:r>
      <w:r>
        <w:rPr>
          <w:rFonts w:hint="eastAsia" w:ascii="仿宋_GB2312" w:eastAsia="仿宋_GB2312" w:hAnsiTheme="minorHAnsi" w:cstheme="minorBidi"/>
          <w:sz w:val="32"/>
          <w:szCs w:val="32"/>
        </w:rPr>
        <w:t>，2018-2035年年均降速为</w:t>
      </w:r>
      <w:r>
        <w:rPr>
          <w:rFonts w:ascii="仿宋_GB2312" w:eastAsia="仿宋_GB2312" w:hAnsiTheme="minorHAnsi" w:cstheme="minorBidi"/>
          <w:sz w:val="32"/>
          <w:szCs w:val="32"/>
        </w:rPr>
        <w:t>7</w:t>
      </w:r>
      <w:r>
        <w:rPr>
          <w:rFonts w:hint="eastAsia" w:ascii="仿宋_GB2312" w:eastAsia="仿宋_GB2312" w:hAnsiTheme="minorHAnsi" w:cstheme="minorBidi"/>
          <w:sz w:val="32"/>
          <w:szCs w:val="32"/>
        </w:rPr>
        <w:t>%，经测算可得202</w:t>
      </w: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年和2025年光明区万元GDP建设用地为</w:t>
      </w:r>
      <w:r>
        <w:rPr>
          <w:rFonts w:ascii="仿宋_GB2312" w:eastAsia="仿宋_GB2312" w:hAnsiTheme="minorHAnsi" w:cstheme="minorBidi"/>
          <w:sz w:val="32"/>
          <w:szCs w:val="32"/>
        </w:rPr>
        <w:t>4.98平方米</w:t>
      </w:r>
      <w:r>
        <w:rPr>
          <w:rFonts w:hint="eastAsia" w:ascii="仿宋_GB2312" w:eastAsia="仿宋_GB2312" w:hAnsiTheme="minorHAnsi" w:cstheme="minorBidi"/>
          <w:sz w:val="32"/>
          <w:szCs w:val="32"/>
        </w:rPr>
        <w:t>和</w:t>
      </w:r>
      <w:r>
        <w:rPr>
          <w:rFonts w:ascii="仿宋_GB2312" w:eastAsia="仿宋_GB2312" w:hAnsiTheme="minorHAnsi" w:cstheme="minorBidi"/>
          <w:sz w:val="32"/>
          <w:szCs w:val="32"/>
        </w:rPr>
        <w:t>4.02平方米</w:t>
      </w:r>
      <w:r>
        <w:rPr>
          <w:rFonts w:hint="eastAsia" w:ascii="仿宋_GB2312" w:eastAsia="仿宋_GB2312" w:hAnsiTheme="minorHAnsi" w:cstheme="minorBidi"/>
          <w:sz w:val="32"/>
          <w:szCs w:val="32"/>
        </w:rPr>
        <w:t>。</w:t>
      </w:r>
    </w:p>
    <w:tbl>
      <w:tblPr>
        <w:tblStyle w:val="3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指标参考来源</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018年完成值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020年目标值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025年目标值</w:t>
            </w:r>
          </w:p>
        </w:tc>
        <w:tc>
          <w:tcPr>
            <w:tcW w:w="992"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w:t>
            </w:r>
            <w:r>
              <w:rPr>
                <w:rFonts w:ascii="仿宋_GB2312" w:eastAsia="仿宋_GB2312" w:hAnsiTheme="minorHAnsi" w:cstheme="minorBidi"/>
                <w:sz w:val="24"/>
                <w:szCs w:val="24"/>
              </w:rPr>
              <w:t>030年目标值</w:t>
            </w:r>
          </w:p>
        </w:tc>
        <w:tc>
          <w:tcPr>
            <w:tcW w:w="993"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本规划</w:t>
            </w: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6</w:t>
            </w:r>
            <w:r>
              <w:rPr>
                <w:rFonts w:ascii="仿宋_GB2312" w:eastAsia="仿宋_GB2312" w:hAnsiTheme="minorHAnsi" w:cstheme="minorBidi"/>
                <w:sz w:val="24"/>
                <w:szCs w:val="24"/>
              </w:rPr>
              <w:t>.62</w:t>
            </w:r>
          </w:p>
        </w:tc>
        <w:tc>
          <w:tcPr>
            <w:tcW w:w="992" w:type="dxa"/>
          </w:tcPr>
          <w:p>
            <w:pPr>
              <w:jc w:val="center"/>
              <w:rPr>
                <w:rFonts w:ascii="仿宋_GB2312" w:eastAsia="仿宋_GB2312" w:hAnsiTheme="minorHAnsi" w:cstheme="minorBidi"/>
                <w:sz w:val="24"/>
                <w:szCs w:val="24"/>
              </w:rPr>
            </w:pPr>
          </w:p>
        </w:tc>
        <w:tc>
          <w:tcPr>
            <w:tcW w:w="992"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4</w:t>
            </w:r>
            <w:r>
              <w:rPr>
                <w:rFonts w:ascii="仿宋_GB2312" w:eastAsia="仿宋_GB2312" w:hAnsiTheme="minorHAnsi" w:cstheme="minorBidi"/>
                <w:sz w:val="24"/>
                <w:szCs w:val="24"/>
              </w:rPr>
              <w:t>.02</w:t>
            </w:r>
          </w:p>
        </w:tc>
        <w:tc>
          <w:tcPr>
            <w:tcW w:w="992" w:type="dxa"/>
          </w:tcPr>
          <w:p>
            <w:pPr>
              <w:jc w:val="center"/>
              <w:rPr>
                <w:rFonts w:ascii="仿宋_GB2312" w:eastAsia="仿宋_GB2312" w:hAnsiTheme="minorHAnsi" w:cstheme="minorBidi"/>
                <w:sz w:val="24"/>
                <w:szCs w:val="24"/>
              </w:rPr>
            </w:pP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rPr>
                <w:rFonts w:ascii="仿宋_GB2312" w:eastAsia="仿宋_GB2312" w:hAnsiTheme="minorHAnsi" w:cstheme="minorBidi"/>
                <w:sz w:val="24"/>
                <w:szCs w:val="24"/>
              </w:rPr>
            </w:pPr>
            <w:r>
              <w:rPr>
                <w:rFonts w:hint="eastAsia" w:ascii="仿宋_GB2312" w:eastAsia="仿宋_GB2312" w:hAnsiTheme="minorHAnsi" w:cstheme="minorBidi"/>
                <w:sz w:val="24"/>
                <w:szCs w:val="24"/>
              </w:rPr>
              <w:t>深圳建设社会主义现代化先行区</w:t>
            </w:r>
          </w:p>
        </w:tc>
        <w:tc>
          <w:tcPr>
            <w:tcW w:w="993" w:type="dxa"/>
            <w:vAlign w:val="center"/>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3</w:t>
            </w:r>
            <w:r>
              <w:rPr>
                <w:rFonts w:ascii="仿宋_GB2312" w:eastAsia="仿宋_GB2312" w:hAnsiTheme="minorHAnsi" w:cstheme="minorBidi"/>
                <w:sz w:val="24"/>
                <w:szCs w:val="24"/>
              </w:rPr>
              <w:t>.12</w:t>
            </w: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3.36</w:t>
            </w:r>
          </w:p>
        </w:tc>
        <w:tc>
          <w:tcPr>
            <w:tcW w:w="992"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2.19</w:t>
            </w:r>
          </w:p>
        </w:tc>
        <w:tc>
          <w:tcPr>
            <w:tcW w:w="992" w:type="dxa"/>
            <w:vAlign w:val="center"/>
          </w:tcPr>
          <w:p>
            <w:pPr>
              <w:jc w:val="center"/>
              <w:rPr>
                <w:rFonts w:ascii="仿宋_GB2312" w:eastAsia="仿宋_GB2312" w:hAnsiTheme="minorHAnsi" w:cstheme="minorBidi"/>
                <w:sz w:val="24"/>
                <w:szCs w:val="24"/>
              </w:rPr>
            </w:pPr>
          </w:p>
        </w:tc>
        <w:tc>
          <w:tcPr>
            <w:tcW w:w="993" w:type="dxa"/>
            <w:vAlign w:val="center"/>
          </w:tcPr>
          <w:p>
            <w:pPr>
              <w:jc w:val="center"/>
              <w:rPr>
                <w:rFonts w:ascii="仿宋_GB2312" w:eastAsia="仿宋_GB2312" w:hAnsiTheme="minorHAnsi" w:cstheme="minorBidi"/>
                <w:sz w:val="24"/>
                <w:szCs w:val="24"/>
              </w:rPr>
            </w:pPr>
            <w:r>
              <w:rPr>
                <w:rFonts w:ascii="仿宋_GB2312" w:eastAsia="仿宋_GB2312" w:hAnsiTheme="minorHAnsi" w:cstheme="minorBidi"/>
                <w:sz w:val="24"/>
                <w:szCs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南山区</w:t>
            </w:r>
          </w:p>
        </w:tc>
        <w:tc>
          <w:tcPr>
            <w:tcW w:w="993" w:type="dxa"/>
          </w:tcPr>
          <w:p>
            <w:pPr>
              <w:jc w:val="center"/>
              <w:rPr>
                <w:rFonts w:ascii="仿宋_GB2312" w:eastAsia="仿宋_GB2312" w:hAnsiTheme="minorHAnsi" w:cstheme="minorBidi"/>
                <w:sz w:val="24"/>
                <w:szCs w:val="24"/>
              </w:rPr>
            </w:pPr>
            <w:r>
              <w:rPr>
                <w:rFonts w:hint="eastAsia" w:ascii="仿宋_GB2312" w:eastAsia="仿宋_GB2312" w:hAnsiTheme="minorHAnsi" w:cstheme="minorBidi"/>
                <w:sz w:val="24"/>
                <w:szCs w:val="24"/>
              </w:rPr>
              <w:t>1</w:t>
            </w:r>
            <w:r>
              <w:rPr>
                <w:rFonts w:ascii="仿宋_GB2312" w:eastAsia="仿宋_GB2312" w:hAnsiTheme="minorHAnsi" w:cstheme="minorBidi"/>
                <w:sz w:val="24"/>
                <w:szCs w:val="24"/>
              </w:rPr>
              <w:t>.97</w:t>
            </w:r>
          </w:p>
        </w:tc>
        <w:tc>
          <w:tcPr>
            <w:tcW w:w="992" w:type="dxa"/>
          </w:tcPr>
          <w:p>
            <w:pPr>
              <w:rPr>
                <w:rFonts w:ascii="仿宋_GB2312" w:eastAsia="仿宋_GB2312" w:hAnsiTheme="minorHAnsi" w:cstheme="minorBidi"/>
                <w:sz w:val="24"/>
                <w:szCs w:val="24"/>
              </w:rPr>
            </w:pPr>
          </w:p>
        </w:tc>
        <w:tc>
          <w:tcPr>
            <w:tcW w:w="992" w:type="dxa"/>
          </w:tcPr>
          <w:p>
            <w:pPr>
              <w:rPr>
                <w:rFonts w:ascii="仿宋_GB2312" w:eastAsia="仿宋_GB2312" w:hAnsiTheme="minorHAnsi" w:cstheme="minorBidi"/>
                <w:sz w:val="24"/>
                <w:szCs w:val="24"/>
              </w:rPr>
            </w:pPr>
          </w:p>
        </w:tc>
        <w:tc>
          <w:tcPr>
            <w:tcW w:w="992" w:type="dxa"/>
          </w:tcPr>
          <w:p>
            <w:pPr>
              <w:rPr>
                <w:rFonts w:ascii="仿宋_GB2312" w:eastAsia="仿宋_GB2312" w:hAnsiTheme="minorHAnsi" w:cstheme="minorBidi"/>
                <w:sz w:val="24"/>
                <w:szCs w:val="24"/>
              </w:rPr>
            </w:pPr>
          </w:p>
        </w:tc>
        <w:tc>
          <w:tcPr>
            <w:tcW w:w="993" w:type="dxa"/>
          </w:tcPr>
          <w:p>
            <w:pPr>
              <w:rPr>
                <w:rFonts w:ascii="仿宋_GB2312" w:eastAsia="仿宋_GB2312" w:hAnsiTheme="minorHAnsi" w:cstheme="minorBidi"/>
                <w:sz w:val="24"/>
                <w:szCs w:val="24"/>
              </w:rPr>
            </w:pPr>
          </w:p>
        </w:tc>
      </w:tr>
    </w:tbl>
    <w:p>
      <w:pPr>
        <w:widowControl/>
        <w:jc w:val="left"/>
        <w:rPr>
          <w:rFonts w:asciiTheme="minorHAnsi" w:hAnsiTheme="minorHAnsi" w:eastAsiaTheme="minorEastAsia" w:cstheme="minorBidi"/>
        </w:rPr>
      </w:pPr>
      <w:r>
        <w:rPr>
          <w:rFonts w:asciiTheme="minorHAnsi" w:hAnsiTheme="minorHAnsi" w:eastAsiaTheme="minorEastAsia" w:cstheme="minorBidi"/>
        </w:rPr>
        <w:br w:type="page"/>
      </w:r>
    </w:p>
    <w:p>
      <w:pPr>
        <w:widowControl/>
        <w:spacing w:afterLines="50"/>
        <w:jc w:val="center"/>
        <w:outlineLvl w:val="1"/>
        <w:rPr>
          <w:rFonts w:ascii="楷体_GB2312" w:eastAsia="楷体_GB2312" w:hAnsiTheme="minorHAnsi" w:cstheme="minorBidi"/>
          <w:b/>
          <w:sz w:val="32"/>
          <w:szCs w:val="32"/>
        </w:rPr>
      </w:pPr>
      <w:r>
        <w:rPr>
          <w:rFonts w:hint="eastAsia" w:ascii="楷体_GB2312" w:eastAsia="楷体_GB2312" w:hAnsiTheme="minorHAnsi" w:cstheme="minorBidi"/>
          <w:b/>
          <w:sz w:val="32"/>
          <w:szCs w:val="32"/>
        </w:rPr>
        <w:t>表1 光明区现代产业发展中长期规划指标体系</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2"/>
        <w:gridCol w:w="3204"/>
        <w:gridCol w:w="728"/>
        <w:gridCol w:w="874"/>
        <w:gridCol w:w="874"/>
        <w:gridCol w:w="84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98" w:type="dxa"/>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hint="eastAsia" w:ascii="仿宋_GB2312" w:hAnsi="宋体" w:eastAsia="仿宋_GB2312" w:cs="黑体"/>
                <w:b/>
                <w:color w:val="000000"/>
                <w:kern w:val="0"/>
                <w:sz w:val="24"/>
                <w:szCs w:val="21"/>
              </w:rPr>
              <w:t>类别</w:t>
            </w:r>
          </w:p>
        </w:tc>
        <w:tc>
          <w:tcPr>
            <w:tcW w:w="562" w:type="dxa"/>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hint="eastAsia" w:ascii="仿宋_GB2312" w:hAnsi="宋体" w:eastAsia="仿宋_GB2312" w:cs="黑体"/>
                <w:b/>
                <w:color w:val="000000"/>
                <w:kern w:val="0"/>
                <w:sz w:val="24"/>
                <w:szCs w:val="21"/>
              </w:rPr>
              <w:t>序号</w:t>
            </w:r>
          </w:p>
        </w:tc>
        <w:tc>
          <w:tcPr>
            <w:tcW w:w="3204" w:type="dxa"/>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hint="eastAsia" w:ascii="仿宋_GB2312" w:hAnsi="宋体" w:eastAsia="仿宋_GB2312" w:cs="黑体"/>
                <w:b/>
                <w:color w:val="000000"/>
                <w:kern w:val="0"/>
                <w:sz w:val="24"/>
                <w:szCs w:val="21"/>
              </w:rPr>
              <w:t>指标</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hint="eastAsia" w:ascii="仿宋_GB2312" w:hAnsi="宋体" w:eastAsia="仿宋_GB2312" w:cs="黑体"/>
                <w:b/>
                <w:color w:val="000000"/>
                <w:kern w:val="0"/>
                <w:sz w:val="24"/>
                <w:szCs w:val="21"/>
              </w:rPr>
              <w:t>单位</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ascii="仿宋_GB2312" w:hAnsi="宋体" w:eastAsia="仿宋_GB2312" w:cs="黑体"/>
                <w:b/>
                <w:kern w:val="0"/>
                <w:sz w:val="24"/>
                <w:szCs w:val="21"/>
              </w:rPr>
              <w:t>2018年完成值</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ascii="仿宋_GB2312" w:hAnsi="宋体" w:eastAsia="仿宋_GB2312" w:cs="黑体"/>
                <w:b/>
                <w:color w:val="000000"/>
                <w:kern w:val="0"/>
                <w:sz w:val="24"/>
                <w:szCs w:val="21"/>
              </w:rPr>
              <w:t>2022</w:t>
            </w:r>
            <w:r>
              <w:rPr>
                <w:rFonts w:hint="eastAsia" w:ascii="仿宋_GB2312" w:hAnsi="宋体" w:eastAsia="仿宋_GB2312" w:cs="黑体"/>
                <w:b/>
                <w:color w:val="000000"/>
                <w:kern w:val="0"/>
                <w:sz w:val="24"/>
                <w:szCs w:val="21"/>
              </w:rPr>
              <w:t>年目标值</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ascii="仿宋_GB2312" w:hAnsi="宋体" w:eastAsia="仿宋_GB2312" w:cs="黑体"/>
                <w:b/>
                <w:color w:val="000000"/>
                <w:kern w:val="0"/>
                <w:sz w:val="24"/>
                <w:szCs w:val="21"/>
              </w:rPr>
              <w:t>2025年目标值</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b/>
                <w:color w:val="000000"/>
                <w:kern w:val="0"/>
                <w:sz w:val="24"/>
                <w:szCs w:val="21"/>
              </w:rPr>
            </w:pPr>
            <w:r>
              <w:rPr>
                <w:rFonts w:ascii="仿宋_GB2312" w:hAnsi="宋体" w:eastAsia="仿宋_GB2312" w:cs="黑体"/>
                <w:b/>
                <w:color w:val="000000"/>
                <w:kern w:val="0"/>
                <w:sz w:val="24"/>
                <w:szCs w:val="21"/>
              </w:rPr>
              <w:t>2035年目标值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restart"/>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r>
              <w:rPr>
                <w:rFonts w:hint="eastAsia" w:ascii="仿宋_GB2312" w:hAnsi="宋体" w:eastAsia="仿宋_GB2312" w:cs="黑体"/>
                <w:b/>
                <w:kern w:val="0"/>
                <w:sz w:val="24"/>
                <w:szCs w:val="21"/>
              </w:rPr>
              <w:t>原创引领</w:t>
            </w: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全社会研发支出占</w:t>
            </w:r>
            <w:r>
              <w:rPr>
                <w:rFonts w:ascii="仿宋_GB2312" w:hAnsi="宋体" w:eastAsia="仿宋_GB2312" w:cs="黑体"/>
                <w:kern w:val="0"/>
                <w:sz w:val="24"/>
                <w:szCs w:val="21"/>
              </w:rPr>
              <w:t>GDP比重</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4.35</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4.5</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重大科技基础设施</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highlight w:val="yellow"/>
              </w:rPr>
            </w:pPr>
            <w:r>
              <w:rPr>
                <w:rFonts w:ascii="仿宋_GB2312" w:hAnsi="宋体" w:eastAsia="仿宋_GB2312" w:cs="黑体"/>
                <w:kern w:val="0"/>
                <w:sz w:val="24"/>
                <w:szCs w:val="21"/>
              </w:rPr>
              <w:t>0</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0</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每万人发明专利拥有量</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件</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45</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68</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92.5</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海外高层次人才</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人</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36</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88</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70</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restart"/>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r>
              <w:rPr>
                <w:rFonts w:hint="eastAsia" w:ascii="仿宋_GB2312" w:hAnsi="宋体" w:eastAsia="仿宋_GB2312" w:cs="黑体"/>
                <w:b/>
                <w:kern w:val="0"/>
                <w:sz w:val="24"/>
                <w:szCs w:val="21"/>
              </w:rPr>
              <w:t>生态驱动</w:t>
            </w: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产业基础设施数量</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0</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9</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市级及以上创新载体数量</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69</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129</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207</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7</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经认定的众创空间和孵化器</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21</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35</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53</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8</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ascii="仿宋_GB2312" w:hAnsi="宋体" w:eastAsia="仿宋_GB2312" w:cs="黑体"/>
                <w:kern w:val="0"/>
                <w:sz w:val="24"/>
                <w:szCs w:val="21"/>
              </w:rPr>
              <w:t>技术合同成交金额</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亿元</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0</w:t>
            </w:r>
            <w:r>
              <w:rPr>
                <w:rFonts w:ascii="仿宋_GB2312" w:hAnsi="宋体" w:eastAsia="仿宋_GB2312" w:cs="黑体"/>
                <w:kern w:val="0"/>
                <w:sz w:val="24"/>
                <w:szCs w:val="21"/>
              </w:rPr>
              <w:t>.66</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2.0</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5</w:t>
            </w:r>
            <w:r>
              <w:rPr>
                <w:rFonts w:ascii="仿宋_GB2312" w:hAnsi="宋体" w:eastAsia="仿宋_GB2312" w:cs="黑体"/>
                <w:kern w:val="0"/>
                <w:sz w:val="24"/>
                <w:szCs w:val="21"/>
              </w:rPr>
              <w:t>.2</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598" w:type="dxa"/>
            <w:vMerge w:val="restart"/>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r>
              <w:rPr>
                <w:rFonts w:hint="eastAsia" w:ascii="仿宋_GB2312" w:hAnsi="宋体" w:eastAsia="仿宋_GB2312" w:cs="黑体"/>
                <w:b/>
                <w:kern w:val="0"/>
                <w:sz w:val="24"/>
                <w:szCs w:val="21"/>
              </w:rPr>
              <w:t>协同发展</w:t>
            </w: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9</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深港联合创新载体数</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0</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10</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跨国公司</w:t>
            </w:r>
            <w:r>
              <w:rPr>
                <w:rFonts w:ascii="仿宋_GB2312" w:hAnsi="宋体" w:eastAsia="仿宋_GB2312" w:cs="黑体"/>
                <w:kern w:val="0"/>
                <w:sz w:val="24"/>
                <w:szCs w:val="21"/>
              </w:rPr>
              <w:t>研发中心</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highlight w:val="yellow"/>
              </w:rPr>
            </w:pPr>
            <w:r>
              <w:rPr>
                <w:rFonts w:ascii="仿宋_GB2312" w:hAnsi="宋体" w:eastAsia="仿宋_GB2312" w:cs="黑体"/>
                <w:kern w:val="0"/>
                <w:sz w:val="24"/>
                <w:szCs w:val="21"/>
              </w:rPr>
              <w:t>0</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10</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98" w:type="dxa"/>
            <w:vMerge w:val="restart"/>
            <w:shd w:val="clear" w:color="auto" w:fill="auto"/>
            <w:vAlign w:val="center"/>
          </w:tcPr>
          <w:p>
            <w:pPr>
              <w:autoSpaceDE w:val="0"/>
              <w:autoSpaceDN w:val="0"/>
              <w:adjustRightInd w:val="0"/>
              <w:snapToGrid w:val="0"/>
              <w:jc w:val="center"/>
              <w:rPr>
                <w:rFonts w:ascii="仿宋_GB2312" w:hAnsi="宋体" w:eastAsia="仿宋_GB2312" w:cs="黑体"/>
                <w:b/>
                <w:kern w:val="0"/>
                <w:sz w:val="24"/>
                <w:szCs w:val="21"/>
              </w:rPr>
            </w:pPr>
            <w:r>
              <w:rPr>
                <w:rFonts w:hint="eastAsia" w:ascii="仿宋_GB2312" w:hAnsi="宋体" w:eastAsia="仿宋_GB2312" w:cs="黑体"/>
                <w:b/>
                <w:kern w:val="0"/>
                <w:sz w:val="24"/>
                <w:szCs w:val="21"/>
              </w:rPr>
              <w:t>产业发展</w:t>
            </w: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11</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新兴产业增加值占</w:t>
            </w:r>
            <w:r>
              <w:rPr>
                <w:rFonts w:ascii="仿宋_GB2312" w:hAnsi="宋体" w:eastAsia="仿宋_GB2312" w:cs="黑体"/>
                <w:kern w:val="0"/>
                <w:sz w:val="24"/>
                <w:szCs w:val="21"/>
              </w:rPr>
              <w:t>GDP比重</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34.1</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38.2</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41.5</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12</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第三产业增加值占</w:t>
            </w:r>
            <w:r>
              <w:rPr>
                <w:rFonts w:ascii="仿宋_GB2312" w:hAnsi="宋体" w:eastAsia="仿宋_GB2312" w:cs="黑体"/>
                <w:kern w:val="0"/>
                <w:sz w:val="24"/>
                <w:szCs w:val="21"/>
              </w:rPr>
              <w:t>GDP比重</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35.9</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37.8</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39.4</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13</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智能产业产值</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亿元</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718</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050</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400</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14</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新材料产业产值</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亿元</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3</w:t>
            </w:r>
            <w:r>
              <w:rPr>
                <w:rFonts w:ascii="仿宋_GB2312" w:hAnsi="宋体" w:eastAsia="仿宋_GB2312" w:cs="黑体"/>
                <w:kern w:val="0"/>
                <w:sz w:val="24"/>
                <w:szCs w:val="21"/>
              </w:rPr>
              <w:t>14</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530</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800</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15</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ascii="仿宋_GB2312" w:hAnsi="宋体" w:eastAsia="仿宋_GB2312" w:cs="黑体"/>
                <w:kern w:val="0"/>
                <w:sz w:val="24"/>
                <w:szCs w:val="21"/>
              </w:rPr>
              <w:t>生命科学产业产值</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亿元</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0.6</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200</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4</w:t>
            </w:r>
            <w:r>
              <w:rPr>
                <w:rFonts w:ascii="仿宋_GB2312" w:hAnsi="宋体" w:eastAsia="仿宋_GB2312" w:cs="黑体"/>
                <w:kern w:val="0"/>
                <w:sz w:val="24"/>
                <w:szCs w:val="21"/>
              </w:rPr>
              <w:t>50</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16</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科技服务业占服务业比重</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4.35</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7.7</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11.9</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1</w:t>
            </w:r>
            <w:r>
              <w:rPr>
                <w:rFonts w:ascii="仿宋_GB2312" w:hAnsi="宋体" w:eastAsia="仿宋_GB2312" w:cs="黑体"/>
                <w:kern w:val="0"/>
                <w:sz w:val="24"/>
                <w:szCs w:val="21"/>
              </w:rPr>
              <w:t>7</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高新技术企业数</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个</w:t>
            </w:r>
          </w:p>
        </w:tc>
        <w:tc>
          <w:tcPr>
            <w:tcW w:w="874"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987</w:t>
            </w:r>
          </w:p>
        </w:tc>
        <w:tc>
          <w:tcPr>
            <w:tcW w:w="874"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1280</w:t>
            </w:r>
          </w:p>
        </w:tc>
        <w:tc>
          <w:tcPr>
            <w:tcW w:w="842"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1560</w:t>
            </w:r>
          </w:p>
        </w:tc>
        <w:tc>
          <w:tcPr>
            <w:tcW w:w="840"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98" w:type="dxa"/>
            <w:vMerge w:val="continue"/>
            <w:shd w:val="clear" w:color="auto" w:fill="auto"/>
            <w:vAlign w:val="center"/>
          </w:tcPr>
          <w:p>
            <w:pPr>
              <w:autoSpaceDE w:val="0"/>
              <w:autoSpaceDN w:val="0"/>
              <w:adjustRightInd w:val="0"/>
              <w:snapToGrid w:val="0"/>
              <w:rPr>
                <w:rFonts w:ascii="仿宋_GB2312" w:hAnsi="宋体" w:eastAsia="仿宋_GB2312" w:cs="黑体"/>
                <w:kern w:val="0"/>
                <w:sz w:val="24"/>
                <w:szCs w:val="21"/>
              </w:rPr>
            </w:pPr>
          </w:p>
        </w:tc>
        <w:tc>
          <w:tcPr>
            <w:tcW w:w="562" w:type="dxa"/>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18</w:t>
            </w:r>
          </w:p>
        </w:tc>
        <w:tc>
          <w:tcPr>
            <w:tcW w:w="3204" w:type="dxa"/>
            <w:shd w:val="clear" w:color="auto" w:fill="auto"/>
            <w:vAlign w:val="center"/>
          </w:tcPr>
          <w:p>
            <w:pPr>
              <w:autoSpaceDE w:val="0"/>
              <w:autoSpaceDN w:val="0"/>
              <w:adjustRightInd w:val="0"/>
              <w:snapToGrid w:val="0"/>
              <w:jc w:val="left"/>
              <w:rPr>
                <w:rFonts w:ascii="仿宋_GB2312" w:hAnsi="宋体" w:eastAsia="仿宋_GB2312" w:cs="黑体"/>
                <w:kern w:val="0"/>
                <w:sz w:val="24"/>
                <w:szCs w:val="21"/>
              </w:rPr>
            </w:pPr>
            <w:r>
              <w:rPr>
                <w:rFonts w:hint="eastAsia" w:ascii="仿宋_GB2312" w:hAnsi="宋体" w:eastAsia="仿宋_GB2312" w:cs="黑体"/>
                <w:kern w:val="0"/>
                <w:sz w:val="24"/>
                <w:szCs w:val="21"/>
              </w:rPr>
              <w:t>万元</w:t>
            </w:r>
            <w:r>
              <w:rPr>
                <w:rFonts w:ascii="仿宋_GB2312" w:hAnsi="宋体" w:eastAsia="仿宋_GB2312" w:cs="黑体"/>
                <w:kern w:val="0"/>
                <w:sz w:val="24"/>
                <w:szCs w:val="21"/>
              </w:rPr>
              <w:t>GDP建设用地</w:t>
            </w:r>
          </w:p>
        </w:tc>
        <w:tc>
          <w:tcPr>
            <w:tcW w:w="728" w:type="dxa"/>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hint="eastAsia" w:ascii="仿宋_GB2312" w:hAnsi="宋体" w:eastAsia="仿宋_GB2312" w:cs="黑体"/>
                <w:kern w:val="0"/>
                <w:sz w:val="24"/>
                <w:szCs w:val="21"/>
              </w:rPr>
              <w:t>平方米</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6.62</w:t>
            </w:r>
          </w:p>
        </w:tc>
        <w:tc>
          <w:tcPr>
            <w:tcW w:w="874"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4.98</w:t>
            </w:r>
          </w:p>
        </w:tc>
        <w:tc>
          <w:tcPr>
            <w:tcW w:w="842"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4.02</w:t>
            </w:r>
          </w:p>
        </w:tc>
        <w:tc>
          <w:tcPr>
            <w:tcW w:w="840" w:type="dxa"/>
            <w:tcBorders>
              <w:bottom w:val="single" w:color="auto" w:sz="4" w:space="0"/>
            </w:tcBorders>
            <w:shd w:val="clear" w:color="auto" w:fill="auto"/>
            <w:vAlign w:val="center"/>
          </w:tcPr>
          <w:p>
            <w:pPr>
              <w:autoSpaceDE w:val="0"/>
              <w:autoSpaceDN w:val="0"/>
              <w:adjustRightInd w:val="0"/>
              <w:snapToGrid w:val="0"/>
              <w:jc w:val="center"/>
              <w:rPr>
                <w:rFonts w:ascii="仿宋_GB2312" w:hAnsi="宋体" w:eastAsia="仿宋_GB2312" w:cs="黑体"/>
                <w:kern w:val="0"/>
                <w:sz w:val="24"/>
                <w:szCs w:val="21"/>
              </w:rPr>
            </w:pPr>
            <w:r>
              <w:rPr>
                <w:rFonts w:ascii="仿宋_GB2312" w:hAnsi="宋体" w:eastAsia="仿宋_GB2312" w:cs="黑体"/>
                <w:kern w:val="0"/>
                <w:sz w:val="24"/>
                <w:szCs w:val="21"/>
              </w:rPr>
              <w:t>1.97</w:t>
            </w:r>
          </w:p>
        </w:tc>
      </w:tr>
    </w:tbl>
    <w:p>
      <w:pPr>
        <w:spacing w:line="560" w:lineRule="exact"/>
        <w:rPr>
          <w:rFonts w:ascii="仿宋_GB2312" w:hAnsi="黑体" w:eastAsia="PMingLiU" w:cstheme="minorBidi"/>
          <w:sz w:val="32"/>
          <w:szCs w:val="32"/>
          <w:lang w:eastAsia="zh-TW"/>
        </w:rPr>
      </w:pPr>
    </w:p>
    <w:p>
      <w:pPr>
        <w:spacing w:line="600" w:lineRule="exact"/>
        <w:outlineLvl w:val="0"/>
        <w:rPr>
          <w:rFonts w:ascii="仿宋_GB2312" w:hAnsi="楷体" w:eastAsia="仿宋_GB2312"/>
          <w:sz w:val="32"/>
          <w:szCs w:val="32"/>
        </w:rPr>
      </w:pPr>
    </w:p>
    <w:p>
      <w:pPr>
        <w:spacing w:line="600" w:lineRule="exact"/>
        <w:outlineLvl w:val="0"/>
        <w:rPr>
          <w:rFonts w:ascii="仿宋_GB2312" w:hAnsi="楷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14 -</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31FAF"/>
    <w:rsid w:val="00001BD8"/>
    <w:rsid w:val="00002CD3"/>
    <w:rsid w:val="000031E6"/>
    <w:rsid w:val="000041E2"/>
    <w:rsid w:val="0000429A"/>
    <w:rsid w:val="000043E6"/>
    <w:rsid w:val="00004E5D"/>
    <w:rsid w:val="00004F9D"/>
    <w:rsid w:val="0000527B"/>
    <w:rsid w:val="000055DE"/>
    <w:rsid w:val="00005B89"/>
    <w:rsid w:val="0000677E"/>
    <w:rsid w:val="00006E06"/>
    <w:rsid w:val="00006F98"/>
    <w:rsid w:val="0000714E"/>
    <w:rsid w:val="000104E5"/>
    <w:rsid w:val="00011044"/>
    <w:rsid w:val="0001104F"/>
    <w:rsid w:val="00011754"/>
    <w:rsid w:val="000119D6"/>
    <w:rsid w:val="00011C73"/>
    <w:rsid w:val="00011F37"/>
    <w:rsid w:val="0001230B"/>
    <w:rsid w:val="000132BE"/>
    <w:rsid w:val="00013510"/>
    <w:rsid w:val="000140B8"/>
    <w:rsid w:val="0001448E"/>
    <w:rsid w:val="00016975"/>
    <w:rsid w:val="00016D97"/>
    <w:rsid w:val="000176BB"/>
    <w:rsid w:val="00017894"/>
    <w:rsid w:val="00020568"/>
    <w:rsid w:val="00020905"/>
    <w:rsid w:val="00020E3B"/>
    <w:rsid w:val="00021269"/>
    <w:rsid w:val="00021624"/>
    <w:rsid w:val="00021A57"/>
    <w:rsid w:val="00021DC5"/>
    <w:rsid w:val="000231E7"/>
    <w:rsid w:val="00023239"/>
    <w:rsid w:val="00023320"/>
    <w:rsid w:val="0002415C"/>
    <w:rsid w:val="00024DF7"/>
    <w:rsid w:val="00025F72"/>
    <w:rsid w:val="000266F2"/>
    <w:rsid w:val="00026887"/>
    <w:rsid w:val="00027E5C"/>
    <w:rsid w:val="00030DE8"/>
    <w:rsid w:val="000318E5"/>
    <w:rsid w:val="00031949"/>
    <w:rsid w:val="00031E33"/>
    <w:rsid w:val="0003285F"/>
    <w:rsid w:val="00033EBD"/>
    <w:rsid w:val="0003498D"/>
    <w:rsid w:val="0003515D"/>
    <w:rsid w:val="000355C3"/>
    <w:rsid w:val="00035A46"/>
    <w:rsid w:val="00036568"/>
    <w:rsid w:val="00037980"/>
    <w:rsid w:val="00037A7B"/>
    <w:rsid w:val="00037E3F"/>
    <w:rsid w:val="00040365"/>
    <w:rsid w:val="000406AF"/>
    <w:rsid w:val="000409B5"/>
    <w:rsid w:val="00042E17"/>
    <w:rsid w:val="00043AAC"/>
    <w:rsid w:val="00046186"/>
    <w:rsid w:val="0004683B"/>
    <w:rsid w:val="0004763D"/>
    <w:rsid w:val="00047D97"/>
    <w:rsid w:val="00051712"/>
    <w:rsid w:val="0005318C"/>
    <w:rsid w:val="000536BC"/>
    <w:rsid w:val="00053895"/>
    <w:rsid w:val="00054C71"/>
    <w:rsid w:val="00054F56"/>
    <w:rsid w:val="000552F1"/>
    <w:rsid w:val="000553C4"/>
    <w:rsid w:val="000557AB"/>
    <w:rsid w:val="000558CC"/>
    <w:rsid w:val="00056180"/>
    <w:rsid w:val="000564BA"/>
    <w:rsid w:val="0005664B"/>
    <w:rsid w:val="00056F97"/>
    <w:rsid w:val="00057748"/>
    <w:rsid w:val="000608D7"/>
    <w:rsid w:val="000613CC"/>
    <w:rsid w:val="000615EF"/>
    <w:rsid w:val="00061FC3"/>
    <w:rsid w:val="0006252A"/>
    <w:rsid w:val="000630A5"/>
    <w:rsid w:val="000632C7"/>
    <w:rsid w:val="0006344B"/>
    <w:rsid w:val="00063740"/>
    <w:rsid w:val="00064262"/>
    <w:rsid w:val="00064A8B"/>
    <w:rsid w:val="00067219"/>
    <w:rsid w:val="0007004C"/>
    <w:rsid w:val="00070996"/>
    <w:rsid w:val="00070B56"/>
    <w:rsid w:val="00070BBE"/>
    <w:rsid w:val="000715A9"/>
    <w:rsid w:val="00071610"/>
    <w:rsid w:val="000722DA"/>
    <w:rsid w:val="000731F3"/>
    <w:rsid w:val="000736AF"/>
    <w:rsid w:val="000738C9"/>
    <w:rsid w:val="0007526A"/>
    <w:rsid w:val="00075EAA"/>
    <w:rsid w:val="000767C6"/>
    <w:rsid w:val="00077B95"/>
    <w:rsid w:val="00080B0E"/>
    <w:rsid w:val="00081202"/>
    <w:rsid w:val="00081425"/>
    <w:rsid w:val="000816B8"/>
    <w:rsid w:val="00081935"/>
    <w:rsid w:val="00082A95"/>
    <w:rsid w:val="00082C7D"/>
    <w:rsid w:val="00082D9A"/>
    <w:rsid w:val="000848AF"/>
    <w:rsid w:val="00084BE9"/>
    <w:rsid w:val="00085F16"/>
    <w:rsid w:val="00086E15"/>
    <w:rsid w:val="00087F13"/>
    <w:rsid w:val="00087F5C"/>
    <w:rsid w:val="000906D6"/>
    <w:rsid w:val="00091318"/>
    <w:rsid w:val="00093248"/>
    <w:rsid w:val="000944CE"/>
    <w:rsid w:val="00094710"/>
    <w:rsid w:val="00095632"/>
    <w:rsid w:val="00095691"/>
    <w:rsid w:val="00095993"/>
    <w:rsid w:val="00097716"/>
    <w:rsid w:val="000A088C"/>
    <w:rsid w:val="000A0A97"/>
    <w:rsid w:val="000A1565"/>
    <w:rsid w:val="000A1774"/>
    <w:rsid w:val="000A1B16"/>
    <w:rsid w:val="000A1D89"/>
    <w:rsid w:val="000A2624"/>
    <w:rsid w:val="000A2D91"/>
    <w:rsid w:val="000A3D57"/>
    <w:rsid w:val="000A42D8"/>
    <w:rsid w:val="000A536F"/>
    <w:rsid w:val="000A56F1"/>
    <w:rsid w:val="000A5CCC"/>
    <w:rsid w:val="000A71B5"/>
    <w:rsid w:val="000A7CD9"/>
    <w:rsid w:val="000B0310"/>
    <w:rsid w:val="000B0584"/>
    <w:rsid w:val="000B0CDE"/>
    <w:rsid w:val="000B1B4B"/>
    <w:rsid w:val="000B23E7"/>
    <w:rsid w:val="000B3096"/>
    <w:rsid w:val="000B437A"/>
    <w:rsid w:val="000B453A"/>
    <w:rsid w:val="000B4EB3"/>
    <w:rsid w:val="000B6271"/>
    <w:rsid w:val="000B6527"/>
    <w:rsid w:val="000B6936"/>
    <w:rsid w:val="000C0141"/>
    <w:rsid w:val="000C108D"/>
    <w:rsid w:val="000C2231"/>
    <w:rsid w:val="000C22F7"/>
    <w:rsid w:val="000C2F6F"/>
    <w:rsid w:val="000C3B10"/>
    <w:rsid w:val="000C3DDD"/>
    <w:rsid w:val="000C4910"/>
    <w:rsid w:val="000C5107"/>
    <w:rsid w:val="000C5EB5"/>
    <w:rsid w:val="000C6537"/>
    <w:rsid w:val="000C7B9F"/>
    <w:rsid w:val="000D0418"/>
    <w:rsid w:val="000D12DB"/>
    <w:rsid w:val="000D1984"/>
    <w:rsid w:val="000D1FEE"/>
    <w:rsid w:val="000D2E6C"/>
    <w:rsid w:val="000D3085"/>
    <w:rsid w:val="000D31D0"/>
    <w:rsid w:val="000D3262"/>
    <w:rsid w:val="000D4A57"/>
    <w:rsid w:val="000D4D21"/>
    <w:rsid w:val="000D50A3"/>
    <w:rsid w:val="000D5CDA"/>
    <w:rsid w:val="000D5F64"/>
    <w:rsid w:val="000D6828"/>
    <w:rsid w:val="000D68FA"/>
    <w:rsid w:val="000D698F"/>
    <w:rsid w:val="000D6C14"/>
    <w:rsid w:val="000D6EC7"/>
    <w:rsid w:val="000D7082"/>
    <w:rsid w:val="000D73FF"/>
    <w:rsid w:val="000D7838"/>
    <w:rsid w:val="000D7A5F"/>
    <w:rsid w:val="000E03AD"/>
    <w:rsid w:val="000E1031"/>
    <w:rsid w:val="000E2AA6"/>
    <w:rsid w:val="000E3CCD"/>
    <w:rsid w:val="000E3E98"/>
    <w:rsid w:val="000E3FBC"/>
    <w:rsid w:val="000E5C9D"/>
    <w:rsid w:val="000E6195"/>
    <w:rsid w:val="000E659D"/>
    <w:rsid w:val="000E689C"/>
    <w:rsid w:val="000E7279"/>
    <w:rsid w:val="000E79C8"/>
    <w:rsid w:val="000F081B"/>
    <w:rsid w:val="000F0989"/>
    <w:rsid w:val="000F0C09"/>
    <w:rsid w:val="000F193B"/>
    <w:rsid w:val="000F249D"/>
    <w:rsid w:val="000F39C3"/>
    <w:rsid w:val="000F3BDC"/>
    <w:rsid w:val="000F408F"/>
    <w:rsid w:val="000F50A6"/>
    <w:rsid w:val="000F6D99"/>
    <w:rsid w:val="000F6FEC"/>
    <w:rsid w:val="000F7357"/>
    <w:rsid w:val="000F7A4A"/>
    <w:rsid w:val="000F7D3E"/>
    <w:rsid w:val="001013FC"/>
    <w:rsid w:val="0010151D"/>
    <w:rsid w:val="0010152E"/>
    <w:rsid w:val="00104CBB"/>
    <w:rsid w:val="00104FF4"/>
    <w:rsid w:val="00105706"/>
    <w:rsid w:val="00105F3C"/>
    <w:rsid w:val="001065D9"/>
    <w:rsid w:val="00106F42"/>
    <w:rsid w:val="001076CD"/>
    <w:rsid w:val="001079E0"/>
    <w:rsid w:val="001118DE"/>
    <w:rsid w:val="001119ED"/>
    <w:rsid w:val="00111EDF"/>
    <w:rsid w:val="00113434"/>
    <w:rsid w:val="001136F3"/>
    <w:rsid w:val="00114032"/>
    <w:rsid w:val="00115120"/>
    <w:rsid w:val="00115CE2"/>
    <w:rsid w:val="00116D9D"/>
    <w:rsid w:val="00120105"/>
    <w:rsid w:val="0012067C"/>
    <w:rsid w:val="00122AAD"/>
    <w:rsid w:val="00122F08"/>
    <w:rsid w:val="00123610"/>
    <w:rsid w:val="001240CE"/>
    <w:rsid w:val="00126730"/>
    <w:rsid w:val="00126856"/>
    <w:rsid w:val="00127332"/>
    <w:rsid w:val="00127516"/>
    <w:rsid w:val="001304F9"/>
    <w:rsid w:val="00130836"/>
    <w:rsid w:val="00130C81"/>
    <w:rsid w:val="00131ABB"/>
    <w:rsid w:val="00132033"/>
    <w:rsid w:val="00132866"/>
    <w:rsid w:val="00132D91"/>
    <w:rsid w:val="00132E84"/>
    <w:rsid w:val="001331C2"/>
    <w:rsid w:val="00133A5A"/>
    <w:rsid w:val="001343EC"/>
    <w:rsid w:val="001346C8"/>
    <w:rsid w:val="001359BE"/>
    <w:rsid w:val="00135D6C"/>
    <w:rsid w:val="00136AC7"/>
    <w:rsid w:val="00137143"/>
    <w:rsid w:val="0013796D"/>
    <w:rsid w:val="00137A3D"/>
    <w:rsid w:val="00140195"/>
    <w:rsid w:val="0014036F"/>
    <w:rsid w:val="00140E29"/>
    <w:rsid w:val="001422D9"/>
    <w:rsid w:val="00143615"/>
    <w:rsid w:val="001439D5"/>
    <w:rsid w:val="00144F21"/>
    <w:rsid w:val="00144F5B"/>
    <w:rsid w:val="0014517C"/>
    <w:rsid w:val="0014552B"/>
    <w:rsid w:val="00145D7B"/>
    <w:rsid w:val="00146370"/>
    <w:rsid w:val="001464F3"/>
    <w:rsid w:val="00146AA9"/>
    <w:rsid w:val="001470BB"/>
    <w:rsid w:val="00147940"/>
    <w:rsid w:val="00147CE3"/>
    <w:rsid w:val="00150875"/>
    <w:rsid w:val="00150FE9"/>
    <w:rsid w:val="00151293"/>
    <w:rsid w:val="001519F5"/>
    <w:rsid w:val="001526F2"/>
    <w:rsid w:val="0015305D"/>
    <w:rsid w:val="00153256"/>
    <w:rsid w:val="001535E8"/>
    <w:rsid w:val="00156580"/>
    <w:rsid w:val="00156B1A"/>
    <w:rsid w:val="00157909"/>
    <w:rsid w:val="00160394"/>
    <w:rsid w:val="001604A8"/>
    <w:rsid w:val="00161E23"/>
    <w:rsid w:val="00161E27"/>
    <w:rsid w:val="00162623"/>
    <w:rsid w:val="001631F8"/>
    <w:rsid w:val="00163747"/>
    <w:rsid w:val="00163AC1"/>
    <w:rsid w:val="00163B69"/>
    <w:rsid w:val="001645AF"/>
    <w:rsid w:val="00164A13"/>
    <w:rsid w:val="00166233"/>
    <w:rsid w:val="001671AE"/>
    <w:rsid w:val="00167344"/>
    <w:rsid w:val="0016743A"/>
    <w:rsid w:val="00167849"/>
    <w:rsid w:val="00167D7C"/>
    <w:rsid w:val="00167F6C"/>
    <w:rsid w:val="00170C05"/>
    <w:rsid w:val="00173380"/>
    <w:rsid w:val="00173508"/>
    <w:rsid w:val="001760AD"/>
    <w:rsid w:val="001768DA"/>
    <w:rsid w:val="00177262"/>
    <w:rsid w:val="0017772E"/>
    <w:rsid w:val="001779CB"/>
    <w:rsid w:val="00177C50"/>
    <w:rsid w:val="00180BD9"/>
    <w:rsid w:val="00181452"/>
    <w:rsid w:val="001817A8"/>
    <w:rsid w:val="00181A3F"/>
    <w:rsid w:val="00181ED5"/>
    <w:rsid w:val="00181FB1"/>
    <w:rsid w:val="001822A0"/>
    <w:rsid w:val="00182458"/>
    <w:rsid w:val="001827E6"/>
    <w:rsid w:val="001834BA"/>
    <w:rsid w:val="00184559"/>
    <w:rsid w:val="001845C5"/>
    <w:rsid w:val="00185B0D"/>
    <w:rsid w:val="001862A3"/>
    <w:rsid w:val="0018679E"/>
    <w:rsid w:val="00186878"/>
    <w:rsid w:val="00187938"/>
    <w:rsid w:val="00187D2D"/>
    <w:rsid w:val="001905FD"/>
    <w:rsid w:val="0019084E"/>
    <w:rsid w:val="00191FCA"/>
    <w:rsid w:val="00192351"/>
    <w:rsid w:val="0019247F"/>
    <w:rsid w:val="00192E21"/>
    <w:rsid w:val="00192F0E"/>
    <w:rsid w:val="0019376B"/>
    <w:rsid w:val="00193C87"/>
    <w:rsid w:val="00193E43"/>
    <w:rsid w:val="00194511"/>
    <w:rsid w:val="00194557"/>
    <w:rsid w:val="001952CD"/>
    <w:rsid w:val="0019540A"/>
    <w:rsid w:val="00195E5B"/>
    <w:rsid w:val="00196172"/>
    <w:rsid w:val="00197296"/>
    <w:rsid w:val="00197D47"/>
    <w:rsid w:val="001A01F9"/>
    <w:rsid w:val="001A03B2"/>
    <w:rsid w:val="001A055A"/>
    <w:rsid w:val="001A11D8"/>
    <w:rsid w:val="001A1850"/>
    <w:rsid w:val="001A24C2"/>
    <w:rsid w:val="001A2DBD"/>
    <w:rsid w:val="001A2FAF"/>
    <w:rsid w:val="001A3053"/>
    <w:rsid w:val="001A30BA"/>
    <w:rsid w:val="001A3EA5"/>
    <w:rsid w:val="001A4287"/>
    <w:rsid w:val="001A5DD5"/>
    <w:rsid w:val="001A6005"/>
    <w:rsid w:val="001A62EE"/>
    <w:rsid w:val="001A6B9C"/>
    <w:rsid w:val="001A6EC6"/>
    <w:rsid w:val="001A6EEA"/>
    <w:rsid w:val="001A76EB"/>
    <w:rsid w:val="001A7C9C"/>
    <w:rsid w:val="001B057F"/>
    <w:rsid w:val="001B1C12"/>
    <w:rsid w:val="001B1E03"/>
    <w:rsid w:val="001B249A"/>
    <w:rsid w:val="001B2C7A"/>
    <w:rsid w:val="001B3DB0"/>
    <w:rsid w:val="001B426F"/>
    <w:rsid w:val="001B446D"/>
    <w:rsid w:val="001B45FF"/>
    <w:rsid w:val="001B462B"/>
    <w:rsid w:val="001B6161"/>
    <w:rsid w:val="001B658A"/>
    <w:rsid w:val="001C0373"/>
    <w:rsid w:val="001C0BB3"/>
    <w:rsid w:val="001C1193"/>
    <w:rsid w:val="001C1384"/>
    <w:rsid w:val="001C13D5"/>
    <w:rsid w:val="001C24FE"/>
    <w:rsid w:val="001C29D1"/>
    <w:rsid w:val="001C4222"/>
    <w:rsid w:val="001C5A1E"/>
    <w:rsid w:val="001C5DEA"/>
    <w:rsid w:val="001C5DEF"/>
    <w:rsid w:val="001C61F0"/>
    <w:rsid w:val="001C7850"/>
    <w:rsid w:val="001D04D5"/>
    <w:rsid w:val="001D141F"/>
    <w:rsid w:val="001D1913"/>
    <w:rsid w:val="001D1BF7"/>
    <w:rsid w:val="001D2CD8"/>
    <w:rsid w:val="001D2E50"/>
    <w:rsid w:val="001D34F5"/>
    <w:rsid w:val="001D3734"/>
    <w:rsid w:val="001D3EF8"/>
    <w:rsid w:val="001D464A"/>
    <w:rsid w:val="001D47BF"/>
    <w:rsid w:val="001D4C69"/>
    <w:rsid w:val="001D523E"/>
    <w:rsid w:val="001D5C32"/>
    <w:rsid w:val="001D5D5D"/>
    <w:rsid w:val="001D6EB7"/>
    <w:rsid w:val="001D6F4F"/>
    <w:rsid w:val="001D76DD"/>
    <w:rsid w:val="001D778B"/>
    <w:rsid w:val="001D7D74"/>
    <w:rsid w:val="001D7F9E"/>
    <w:rsid w:val="001E0876"/>
    <w:rsid w:val="001E13BD"/>
    <w:rsid w:val="001E2238"/>
    <w:rsid w:val="001E2B4B"/>
    <w:rsid w:val="001E2C09"/>
    <w:rsid w:val="001E30BC"/>
    <w:rsid w:val="001E326A"/>
    <w:rsid w:val="001E3574"/>
    <w:rsid w:val="001E3AD9"/>
    <w:rsid w:val="001E3D92"/>
    <w:rsid w:val="001E44B3"/>
    <w:rsid w:val="001E5023"/>
    <w:rsid w:val="001E5160"/>
    <w:rsid w:val="001E599F"/>
    <w:rsid w:val="001E6D53"/>
    <w:rsid w:val="001E709B"/>
    <w:rsid w:val="001E726F"/>
    <w:rsid w:val="001E7EDE"/>
    <w:rsid w:val="001F07DF"/>
    <w:rsid w:val="001F0CC5"/>
    <w:rsid w:val="001F1488"/>
    <w:rsid w:val="001F1D51"/>
    <w:rsid w:val="001F1DEF"/>
    <w:rsid w:val="001F21B7"/>
    <w:rsid w:val="001F2943"/>
    <w:rsid w:val="001F2B9E"/>
    <w:rsid w:val="001F37C4"/>
    <w:rsid w:val="001F3B2E"/>
    <w:rsid w:val="001F3DFA"/>
    <w:rsid w:val="001F468F"/>
    <w:rsid w:val="001F4CA6"/>
    <w:rsid w:val="001F6966"/>
    <w:rsid w:val="001F74EF"/>
    <w:rsid w:val="001F79F7"/>
    <w:rsid w:val="001F7E4C"/>
    <w:rsid w:val="0020120D"/>
    <w:rsid w:val="00202E71"/>
    <w:rsid w:val="002032C1"/>
    <w:rsid w:val="002039BA"/>
    <w:rsid w:val="00204EE7"/>
    <w:rsid w:val="002052FD"/>
    <w:rsid w:val="0020533C"/>
    <w:rsid w:val="00206605"/>
    <w:rsid w:val="00206698"/>
    <w:rsid w:val="00206B50"/>
    <w:rsid w:val="00206E74"/>
    <w:rsid w:val="00206F9F"/>
    <w:rsid w:val="00207430"/>
    <w:rsid w:val="00211A22"/>
    <w:rsid w:val="00212427"/>
    <w:rsid w:val="002144DE"/>
    <w:rsid w:val="00214C0F"/>
    <w:rsid w:val="002150B7"/>
    <w:rsid w:val="00215298"/>
    <w:rsid w:val="002159EE"/>
    <w:rsid w:val="0021601B"/>
    <w:rsid w:val="00217C16"/>
    <w:rsid w:val="0022016D"/>
    <w:rsid w:val="0022063F"/>
    <w:rsid w:val="002212BD"/>
    <w:rsid w:val="00221C11"/>
    <w:rsid w:val="0022225A"/>
    <w:rsid w:val="0022260A"/>
    <w:rsid w:val="002243BB"/>
    <w:rsid w:val="002266AE"/>
    <w:rsid w:val="002312BD"/>
    <w:rsid w:val="002318AB"/>
    <w:rsid w:val="00231EF3"/>
    <w:rsid w:val="00231F60"/>
    <w:rsid w:val="00232742"/>
    <w:rsid w:val="002328F9"/>
    <w:rsid w:val="002352D4"/>
    <w:rsid w:val="002352D6"/>
    <w:rsid w:val="00235309"/>
    <w:rsid w:val="002354E1"/>
    <w:rsid w:val="002358CE"/>
    <w:rsid w:val="00235CBE"/>
    <w:rsid w:val="00237EB4"/>
    <w:rsid w:val="0024054D"/>
    <w:rsid w:val="0024232A"/>
    <w:rsid w:val="002424E7"/>
    <w:rsid w:val="002430AE"/>
    <w:rsid w:val="00243A2B"/>
    <w:rsid w:val="00243D8C"/>
    <w:rsid w:val="00244CCE"/>
    <w:rsid w:val="002456BB"/>
    <w:rsid w:val="00245718"/>
    <w:rsid w:val="00245E8D"/>
    <w:rsid w:val="0024637F"/>
    <w:rsid w:val="0024689C"/>
    <w:rsid w:val="00246E21"/>
    <w:rsid w:val="0024789D"/>
    <w:rsid w:val="00247AD1"/>
    <w:rsid w:val="00250361"/>
    <w:rsid w:val="002507A4"/>
    <w:rsid w:val="00250B6E"/>
    <w:rsid w:val="00251D65"/>
    <w:rsid w:val="0025210E"/>
    <w:rsid w:val="0025225B"/>
    <w:rsid w:val="0025417A"/>
    <w:rsid w:val="0025449B"/>
    <w:rsid w:val="00254B5D"/>
    <w:rsid w:val="00255F3D"/>
    <w:rsid w:val="00256346"/>
    <w:rsid w:val="00256E1D"/>
    <w:rsid w:val="00257032"/>
    <w:rsid w:val="00260177"/>
    <w:rsid w:val="002602C3"/>
    <w:rsid w:val="00260F2C"/>
    <w:rsid w:val="00261D62"/>
    <w:rsid w:val="0026276F"/>
    <w:rsid w:val="0026295B"/>
    <w:rsid w:val="00265C73"/>
    <w:rsid w:val="00266892"/>
    <w:rsid w:val="00266FC1"/>
    <w:rsid w:val="002671FB"/>
    <w:rsid w:val="00267216"/>
    <w:rsid w:val="002675FD"/>
    <w:rsid w:val="0027000A"/>
    <w:rsid w:val="002702CB"/>
    <w:rsid w:val="002702D4"/>
    <w:rsid w:val="002717FD"/>
    <w:rsid w:val="00271E9C"/>
    <w:rsid w:val="00271F79"/>
    <w:rsid w:val="00273465"/>
    <w:rsid w:val="002734F6"/>
    <w:rsid w:val="00273D91"/>
    <w:rsid w:val="00274248"/>
    <w:rsid w:val="0027444B"/>
    <w:rsid w:val="00275906"/>
    <w:rsid w:val="0027764E"/>
    <w:rsid w:val="00277E18"/>
    <w:rsid w:val="00277E29"/>
    <w:rsid w:val="00280496"/>
    <w:rsid w:val="00280C7E"/>
    <w:rsid w:val="002816B2"/>
    <w:rsid w:val="00281F42"/>
    <w:rsid w:val="00284F59"/>
    <w:rsid w:val="00285148"/>
    <w:rsid w:val="0028592E"/>
    <w:rsid w:val="00285D8A"/>
    <w:rsid w:val="00286C51"/>
    <w:rsid w:val="00287CEC"/>
    <w:rsid w:val="00291862"/>
    <w:rsid w:val="00291B7C"/>
    <w:rsid w:val="00291B99"/>
    <w:rsid w:val="00291D54"/>
    <w:rsid w:val="00291F11"/>
    <w:rsid w:val="002927C5"/>
    <w:rsid w:val="002934CE"/>
    <w:rsid w:val="002960BE"/>
    <w:rsid w:val="0029690E"/>
    <w:rsid w:val="00297855"/>
    <w:rsid w:val="002A0705"/>
    <w:rsid w:val="002A0CBA"/>
    <w:rsid w:val="002A1A51"/>
    <w:rsid w:val="002A2873"/>
    <w:rsid w:val="002A28F7"/>
    <w:rsid w:val="002A2F98"/>
    <w:rsid w:val="002A3371"/>
    <w:rsid w:val="002A4DAD"/>
    <w:rsid w:val="002A5A22"/>
    <w:rsid w:val="002A61FB"/>
    <w:rsid w:val="002A6710"/>
    <w:rsid w:val="002A6C47"/>
    <w:rsid w:val="002A756C"/>
    <w:rsid w:val="002B012C"/>
    <w:rsid w:val="002B0718"/>
    <w:rsid w:val="002B2129"/>
    <w:rsid w:val="002B2676"/>
    <w:rsid w:val="002B3C0D"/>
    <w:rsid w:val="002B404F"/>
    <w:rsid w:val="002B417B"/>
    <w:rsid w:val="002B4769"/>
    <w:rsid w:val="002B5E18"/>
    <w:rsid w:val="002C00E6"/>
    <w:rsid w:val="002C0425"/>
    <w:rsid w:val="002C04E2"/>
    <w:rsid w:val="002C0758"/>
    <w:rsid w:val="002C0FC1"/>
    <w:rsid w:val="002C2134"/>
    <w:rsid w:val="002C38E6"/>
    <w:rsid w:val="002C3DFC"/>
    <w:rsid w:val="002C5B58"/>
    <w:rsid w:val="002C623D"/>
    <w:rsid w:val="002C629A"/>
    <w:rsid w:val="002C66EC"/>
    <w:rsid w:val="002C73D8"/>
    <w:rsid w:val="002D0013"/>
    <w:rsid w:val="002D0609"/>
    <w:rsid w:val="002D09F7"/>
    <w:rsid w:val="002D0E3D"/>
    <w:rsid w:val="002D11DD"/>
    <w:rsid w:val="002D155C"/>
    <w:rsid w:val="002D16CA"/>
    <w:rsid w:val="002D1CEC"/>
    <w:rsid w:val="002D1D1B"/>
    <w:rsid w:val="002D1DB5"/>
    <w:rsid w:val="002D1F2B"/>
    <w:rsid w:val="002D2B53"/>
    <w:rsid w:val="002D37A7"/>
    <w:rsid w:val="002D46C7"/>
    <w:rsid w:val="002D4B77"/>
    <w:rsid w:val="002D5766"/>
    <w:rsid w:val="002D5AB2"/>
    <w:rsid w:val="002D5F7E"/>
    <w:rsid w:val="002D7DDE"/>
    <w:rsid w:val="002E068F"/>
    <w:rsid w:val="002E1F6E"/>
    <w:rsid w:val="002E2209"/>
    <w:rsid w:val="002E2280"/>
    <w:rsid w:val="002E2323"/>
    <w:rsid w:val="002E2BD3"/>
    <w:rsid w:val="002E304B"/>
    <w:rsid w:val="002E3D02"/>
    <w:rsid w:val="002E4186"/>
    <w:rsid w:val="002E41EA"/>
    <w:rsid w:val="002E45C5"/>
    <w:rsid w:val="002E54DF"/>
    <w:rsid w:val="002E65FB"/>
    <w:rsid w:val="002E7178"/>
    <w:rsid w:val="002E7A9B"/>
    <w:rsid w:val="002F0031"/>
    <w:rsid w:val="002F0634"/>
    <w:rsid w:val="002F0B69"/>
    <w:rsid w:val="002F12DC"/>
    <w:rsid w:val="002F19AA"/>
    <w:rsid w:val="002F1B36"/>
    <w:rsid w:val="002F1E20"/>
    <w:rsid w:val="002F30AF"/>
    <w:rsid w:val="002F3930"/>
    <w:rsid w:val="002F4909"/>
    <w:rsid w:val="002F6E77"/>
    <w:rsid w:val="002F6FE1"/>
    <w:rsid w:val="002F74C8"/>
    <w:rsid w:val="002F75E9"/>
    <w:rsid w:val="002F7D15"/>
    <w:rsid w:val="00300863"/>
    <w:rsid w:val="0030095C"/>
    <w:rsid w:val="00301E3A"/>
    <w:rsid w:val="00302C37"/>
    <w:rsid w:val="0030338D"/>
    <w:rsid w:val="00304042"/>
    <w:rsid w:val="0030463A"/>
    <w:rsid w:val="00304757"/>
    <w:rsid w:val="00304C8F"/>
    <w:rsid w:val="003050D5"/>
    <w:rsid w:val="00305126"/>
    <w:rsid w:val="0030591D"/>
    <w:rsid w:val="00305D5F"/>
    <w:rsid w:val="00306239"/>
    <w:rsid w:val="00306351"/>
    <w:rsid w:val="003066EB"/>
    <w:rsid w:val="003073BE"/>
    <w:rsid w:val="00307469"/>
    <w:rsid w:val="0030774D"/>
    <w:rsid w:val="00307782"/>
    <w:rsid w:val="00307989"/>
    <w:rsid w:val="0031155A"/>
    <w:rsid w:val="00311BA5"/>
    <w:rsid w:val="00311E7E"/>
    <w:rsid w:val="003120E6"/>
    <w:rsid w:val="00312939"/>
    <w:rsid w:val="00312C8E"/>
    <w:rsid w:val="003130A9"/>
    <w:rsid w:val="003132ED"/>
    <w:rsid w:val="00313AA8"/>
    <w:rsid w:val="00314753"/>
    <w:rsid w:val="0031478D"/>
    <w:rsid w:val="00316D99"/>
    <w:rsid w:val="00317EFE"/>
    <w:rsid w:val="0032026A"/>
    <w:rsid w:val="0032050E"/>
    <w:rsid w:val="00320F06"/>
    <w:rsid w:val="00321D2B"/>
    <w:rsid w:val="003221B6"/>
    <w:rsid w:val="003224A5"/>
    <w:rsid w:val="003226D1"/>
    <w:rsid w:val="00322711"/>
    <w:rsid w:val="00322771"/>
    <w:rsid w:val="00323018"/>
    <w:rsid w:val="0032364E"/>
    <w:rsid w:val="00323EF3"/>
    <w:rsid w:val="003242AF"/>
    <w:rsid w:val="00324598"/>
    <w:rsid w:val="00325665"/>
    <w:rsid w:val="00325982"/>
    <w:rsid w:val="00325E17"/>
    <w:rsid w:val="00326DEF"/>
    <w:rsid w:val="00327315"/>
    <w:rsid w:val="00327D6B"/>
    <w:rsid w:val="00327E5E"/>
    <w:rsid w:val="0033056A"/>
    <w:rsid w:val="0033065B"/>
    <w:rsid w:val="003309C8"/>
    <w:rsid w:val="00330C44"/>
    <w:rsid w:val="003314A6"/>
    <w:rsid w:val="003314BB"/>
    <w:rsid w:val="00331AAD"/>
    <w:rsid w:val="00331F92"/>
    <w:rsid w:val="00332016"/>
    <w:rsid w:val="00332AE9"/>
    <w:rsid w:val="003338C2"/>
    <w:rsid w:val="00333A60"/>
    <w:rsid w:val="00333E79"/>
    <w:rsid w:val="003343BC"/>
    <w:rsid w:val="0033474C"/>
    <w:rsid w:val="003347EC"/>
    <w:rsid w:val="00334F01"/>
    <w:rsid w:val="003351CF"/>
    <w:rsid w:val="003354DF"/>
    <w:rsid w:val="003357BF"/>
    <w:rsid w:val="00335C77"/>
    <w:rsid w:val="00335CBC"/>
    <w:rsid w:val="003365D6"/>
    <w:rsid w:val="00336624"/>
    <w:rsid w:val="00336703"/>
    <w:rsid w:val="00336B20"/>
    <w:rsid w:val="00337267"/>
    <w:rsid w:val="0034020D"/>
    <w:rsid w:val="003407A2"/>
    <w:rsid w:val="00341439"/>
    <w:rsid w:val="0034164D"/>
    <w:rsid w:val="003418D2"/>
    <w:rsid w:val="0034303B"/>
    <w:rsid w:val="003430B6"/>
    <w:rsid w:val="00343D35"/>
    <w:rsid w:val="003442B1"/>
    <w:rsid w:val="00344ECA"/>
    <w:rsid w:val="00345010"/>
    <w:rsid w:val="003456D9"/>
    <w:rsid w:val="00345FCD"/>
    <w:rsid w:val="00346A3D"/>
    <w:rsid w:val="003474C9"/>
    <w:rsid w:val="003505DA"/>
    <w:rsid w:val="0035066D"/>
    <w:rsid w:val="00350BE1"/>
    <w:rsid w:val="003510AD"/>
    <w:rsid w:val="00351195"/>
    <w:rsid w:val="00351338"/>
    <w:rsid w:val="003514B8"/>
    <w:rsid w:val="0035212D"/>
    <w:rsid w:val="00353141"/>
    <w:rsid w:val="003563C3"/>
    <w:rsid w:val="003564B6"/>
    <w:rsid w:val="00356587"/>
    <w:rsid w:val="00356723"/>
    <w:rsid w:val="0035793A"/>
    <w:rsid w:val="00357B0A"/>
    <w:rsid w:val="00361408"/>
    <w:rsid w:val="00361476"/>
    <w:rsid w:val="003616F3"/>
    <w:rsid w:val="003618DC"/>
    <w:rsid w:val="003635D4"/>
    <w:rsid w:val="003637BB"/>
    <w:rsid w:val="00363880"/>
    <w:rsid w:val="00364F92"/>
    <w:rsid w:val="003653C9"/>
    <w:rsid w:val="00365A3A"/>
    <w:rsid w:val="003667FE"/>
    <w:rsid w:val="00366BED"/>
    <w:rsid w:val="00370145"/>
    <w:rsid w:val="003703EC"/>
    <w:rsid w:val="00370408"/>
    <w:rsid w:val="00370D48"/>
    <w:rsid w:val="003712E3"/>
    <w:rsid w:val="003715C7"/>
    <w:rsid w:val="0037163E"/>
    <w:rsid w:val="00372561"/>
    <w:rsid w:val="00372B35"/>
    <w:rsid w:val="00372CE5"/>
    <w:rsid w:val="003734A8"/>
    <w:rsid w:val="0037371A"/>
    <w:rsid w:val="00373A9B"/>
    <w:rsid w:val="003742C9"/>
    <w:rsid w:val="00374DEB"/>
    <w:rsid w:val="00375103"/>
    <w:rsid w:val="00375198"/>
    <w:rsid w:val="00375725"/>
    <w:rsid w:val="00376FFA"/>
    <w:rsid w:val="00377284"/>
    <w:rsid w:val="00377345"/>
    <w:rsid w:val="0037791E"/>
    <w:rsid w:val="003805DC"/>
    <w:rsid w:val="00380BFB"/>
    <w:rsid w:val="003811A4"/>
    <w:rsid w:val="00381493"/>
    <w:rsid w:val="003814F7"/>
    <w:rsid w:val="00384233"/>
    <w:rsid w:val="0038454D"/>
    <w:rsid w:val="00384647"/>
    <w:rsid w:val="00384A57"/>
    <w:rsid w:val="00384F13"/>
    <w:rsid w:val="0038510D"/>
    <w:rsid w:val="0039093F"/>
    <w:rsid w:val="003912E2"/>
    <w:rsid w:val="00393BA1"/>
    <w:rsid w:val="00394C78"/>
    <w:rsid w:val="003951FA"/>
    <w:rsid w:val="003953BA"/>
    <w:rsid w:val="00395634"/>
    <w:rsid w:val="00395C83"/>
    <w:rsid w:val="00395F77"/>
    <w:rsid w:val="003966DB"/>
    <w:rsid w:val="00397E17"/>
    <w:rsid w:val="00397EC6"/>
    <w:rsid w:val="003A0465"/>
    <w:rsid w:val="003A0683"/>
    <w:rsid w:val="003A0BEF"/>
    <w:rsid w:val="003A0F55"/>
    <w:rsid w:val="003A4340"/>
    <w:rsid w:val="003A54CD"/>
    <w:rsid w:val="003A64B9"/>
    <w:rsid w:val="003A64D5"/>
    <w:rsid w:val="003A6E5D"/>
    <w:rsid w:val="003A773F"/>
    <w:rsid w:val="003A78AA"/>
    <w:rsid w:val="003B05AE"/>
    <w:rsid w:val="003B0A6B"/>
    <w:rsid w:val="003B1C46"/>
    <w:rsid w:val="003B2CC1"/>
    <w:rsid w:val="003B3801"/>
    <w:rsid w:val="003B4296"/>
    <w:rsid w:val="003B462D"/>
    <w:rsid w:val="003B4F12"/>
    <w:rsid w:val="003B506F"/>
    <w:rsid w:val="003B6E0C"/>
    <w:rsid w:val="003B6FAC"/>
    <w:rsid w:val="003B74F0"/>
    <w:rsid w:val="003C0AE7"/>
    <w:rsid w:val="003C0C8D"/>
    <w:rsid w:val="003C1950"/>
    <w:rsid w:val="003C1CC0"/>
    <w:rsid w:val="003C1D86"/>
    <w:rsid w:val="003C248E"/>
    <w:rsid w:val="003C2E43"/>
    <w:rsid w:val="003C34DC"/>
    <w:rsid w:val="003C366F"/>
    <w:rsid w:val="003C4127"/>
    <w:rsid w:val="003C467D"/>
    <w:rsid w:val="003C5658"/>
    <w:rsid w:val="003C59E3"/>
    <w:rsid w:val="003C654C"/>
    <w:rsid w:val="003C799C"/>
    <w:rsid w:val="003D0FE7"/>
    <w:rsid w:val="003D1BB3"/>
    <w:rsid w:val="003D21FC"/>
    <w:rsid w:val="003D22E0"/>
    <w:rsid w:val="003D24FC"/>
    <w:rsid w:val="003D2744"/>
    <w:rsid w:val="003D2E13"/>
    <w:rsid w:val="003D32D1"/>
    <w:rsid w:val="003D437C"/>
    <w:rsid w:val="003D4FAE"/>
    <w:rsid w:val="003D540E"/>
    <w:rsid w:val="003D68AF"/>
    <w:rsid w:val="003D77CD"/>
    <w:rsid w:val="003E00A7"/>
    <w:rsid w:val="003E04F4"/>
    <w:rsid w:val="003E06F7"/>
    <w:rsid w:val="003E0A50"/>
    <w:rsid w:val="003E12D6"/>
    <w:rsid w:val="003E1870"/>
    <w:rsid w:val="003E1B56"/>
    <w:rsid w:val="003E1BA6"/>
    <w:rsid w:val="003E20AF"/>
    <w:rsid w:val="003E24DA"/>
    <w:rsid w:val="003E2669"/>
    <w:rsid w:val="003E2D1B"/>
    <w:rsid w:val="003E3995"/>
    <w:rsid w:val="003E3FE0"/>
    <w:rsid w:val="003E439A"/>
    <w:rsid w:val="003E4D1B"/>
    <w:rsid w:val="003E5A05"/>
    <w:rsid w:val="003E5B79"/>
    <w:rsid w:val="003E5DFA"/>
    <w:rsid w:val="003E5E30"/>
    <w:rsid w:val="003E6429"/>
    <w:rsid w:val="003E6A2D"/>
    <w:rsid w:val="003E77E1"/>
    <w:rsid w:val="003E7D4C"/>
    <w:rsid w:val="003F0355"/>
    <w:rsid w:val="003F15C2"/>
    <w:rsid w:val="003F1A8D"/>
    <w:rsid w:val="003F1AF6"/>
    <w:rsid w:val="003F30A3"/>
    <w:rsid w:val="003F4403"/>
    <w:rsid w:val="003F48A9"/>
    <w:rsid w:val="003F4925"/>
    <w:rsid w:val="003F4A29"/>
    <w:rsid w:val="003F4C25"/>
    <w:rsid w:val="003F4C89"/>
    <w:rsid w:val="003F4D75"/>
    <w:rsid w:val="003F5402"/>
    <w:rsid w:val="003F5881"/>
    <w:rsid w:val="003F660D"/>
    <w:rsid w:val="003F6F6D"/>
    <w:rsid w:val="003F70DB"/>
    <w:rsid w:val="00400063"/>
    <w:rsid w:val="00400129"/>
    <w:rsid w:val="00400295"/>
    <w:rsid w:val="00400573"/>
    <w:rsid w:val="00400943"/>
    <w:rsid w:val="00400CFC"/>
    <w:rsid w:val="0040214B"/>
    <w:rsid w:val="004022AA"/>
    <w:rsid w:val="0040270C"/>
    <w:rsid w:val="00402AC0"/>
    <w:rsid w:val="00404653"/>
    <w:rsid w:val="00405DF7"/>
    <w:rsid w:val="004063BB"/>
    <w:rsid w:val="004066DB"/>
    <w:rsid w:val="00406737"/>
    <w:rsid w:val="0041007F"/>
    <w:rsid w:val="0041122E"/>
    <w:rsid w:val="004117DF"/>
    <w:rsid w:val="00411C7F"/>
    <w:rsid w:val="00413A13"/>
    <w:rsid w:val="0041408E"/>
    <w:rsid w:val="00414226"/>
    <w:rsid w:val="004145BB"/>
    <w:rsid w:val="004151D1"/>
    <w:rsid w:val="0041655B"/>
    <w:rsid w:val="00420BA9"/>
    <w:rsid w:val="0042131A"/>
    <w:rsid w:val="00421D43"/>
    <w:rsid w:val="00421E3D"/>
    <w:rsid w:val="00422EBE"/>
    <w:rsid w:val="00422F3A"/>
    <w:rsid w:val="00424351"/>
    <w:rsid w:val="00424865"/>
    <w:rsid w:val="00424AF2"/>
    <w:rsid w:val="00425783"/>
    <w:rsid w:val="004258BD"/>
    <w:rsid w:val="00426326"/>
    <w:rsid w:val="004264ED"/>
    <w:rsid w:val="00426CB7"/>
    <w:rsid w:val="00426EFC"/>
    <w:rsid w:val="004270BE"/>
    <w:rsid w:val="0043059F"/>
    <w:rsid w:val="00430C49"/>
    <w:rsid w:val="004313A7"/>
    <w:rsid w:val="004318DF"/>
    <w:rsid w:val="00431D3B"/>
    <w:rsid w:val="0043222A"/>
    <w:rsid w:val="00432294"/>
    <w:rsid w:val="00433449"/>
    <w:rsid w:val="004348D6"/>
    <w:rsid w:val="00434AFD"/>
    <w:rsid w:val="00434E63"/>
    <w:rsid w:val="00436006"/>
    <w:rsid w:val="004373B6"/>
    <w:rsid w:val="0043744E"/>
    <w:rsid w:val="00437F17"/>
    <w:rsid w:val="00441214"/>
    <w:rsid w:val="004412B1"/>
    <w:rsid w:val="00441395"/>
    <w:rsid w:val="004413BF"/>
    <w:rsid w:val="00441813"/>
    <w:rsid w:val="0044317C"/>
    <w:rsid w:val="0044338B"/>
    <w:rsid w:val="00443590"/>
    <w:rsid w:val="0044366C"/>
    <w:rsid w:val="00443AF7"/>
    <w:rsid w:val="00443DFC"/>
    <w:rsid w:val="004445F4"/>
    <w:rsid w:val="004447D6"/>
    <w:rsid w:val="00444D94"/>
    <w:rsid w:val="00446F07"/>
    <w:rsid w:val="004500C4"/>
    <w:rsid w:val="004514FC"/>
    <w:rsid w:val="00451EB7"/>
    <w:rsid w:val="00451F3F"/>
    <w:rsid w:val="004522AA"/>
    <w:rsid w:val="0045293E"/>
    <w:rsid w:val="00452BBE"/>
    <w:rsid w:val="004543EA"/>
    <w:rsid w:val="00455372"/>
    <w:rsid w:val="004555AC"/>
    <w:rsid w:val="00455891"/>
    <w:rsid w:val="0045593E"/>
    <w:rsid w:val="00455D67"/>
    <w:rsid w:val="004563B3"/>
    <w:rsid w:val="00456CBC"/>
    <w:rsid w:val="00456D90"/>
    <w:rsid w:val="00460C78"/>
    <w:rsid w:val="0046106F"/>
    <w:rsid w:val="00461447"/>
    <w:rsid w:val="00462860"/>
    <w:rsid w:val="00462D32"/>
    <w:rsid w:val="00463D23"/>
    <w:rsid w:val="00464049"/>
    <w:rsid w:val="00466A3A"/>
    <w:rsid w:val="00466F04"/>
    <w:rsid w:val="00467DFA"/>
    <w:rsid w:val="00467EAD"/>
    <w:rsid w:val="004707AD"/>
    <w:rsid w:val="0047188C"/>
    <w:rsid w:val="00472EC9"/>
    <w:rsid w:val="00473AF3"/>
    <w:rsid w:val="00473EA2"/>
    <w:rsid w:val="0047428E"/>
    <w:rsid w:val="004749BC"/>
    <w:rsid w:val="00474B3A"/>
    <w:rsid w:val="0047605F"/>
    <w:rsid w:val="0047776C"/>
    <w:rsid w:val="004777D6"/>
    <w:rsid w:val="00477EB1"/>
    <w:rsid w:val="00477F5F"/>
    <w:rsid w:val="004809F9"/>
    <w:rsid w:val="00480A51"/>
    <w:rsid w:val="004812E3"/>
    <w:rsid w:val="00482568"/>
    <w:rsid w:val="00482EDB"/>
    <w:rsid w:val="004833E5"/>
    <w:rsid w:val="00483623"/>
    <w:rsid w:val="00483A25"/>
    <w:rsid w:val="00483ED1"/>
    <w:rsid w:val="00485811"/>
    <w:rsid w:val="00486089"/>
    <w:rsid w:val="0048610E"/>
    <w:rsid w:val="004864E3"/>
    <w:rsid w:val="0048684C"/>
    <w:rsid w:val="00486C9C"/>
    <w:rsid w:val="00487CE2"/>
    <w:rsid w:val="00490957"/>
    <w:rsid w:val="00490CFD"/>
    <w:rsid w:val="004928CB"/>
    <w:rsid w:val="00494833"/>
    <w:rsid w:val="00495506"/>
    <w:rsid w:val="004958BF"/>
    <w:rsid w:val="00495B77"/>
    <w:rsid w:val="00496829"/>
    <w:rsid w:val="00497165"/>
    <w:rsid w:val="00497418"/>
    <w:rsid w:val="00497950"/>
    <w:rsid w:val="00497DC8"/>
    <w:rsid w:val="004A1CEA"/>
    <w:rsid w:val="004A2689"/>
    <w:rsid w:val="004A32B8"/>
    <w:rsid w:val="004A39F4"/>
    <w:rsid w:val="004A4C6A"/>
    <w:rsid w:val="004A5964"/>
    <w:rsid w:val="004A5CAE"/>
    <w:rsid w:val="004A6416"/>
    <w:rsid w:val="004A64D4"/>
    <w:rsid w:val="004A66F6"/>
    <w:rsid w:val="004A7BDF"/>
    <w:rsid w:val="004B2D74"/>
    <w:rsid w:val="004B32AD"/>
    <w:rsid w:val="004B339E"/>
    <w:rsid w:val="004B3447"/>
    <w:rsid w:val="004B377B"/>
    <w:rsid w:val="004B5371"/>
    <w:rsid w:val="004B5947"/>
    <w:rsid w:val="004B6DB2"/>
    <w:rsid w:val="004B7B6E"/>
    <w:rsid w:val="004C03A2"/>
    <w:rsid w:val="004C0ACF"/>
    <w:rsid w:val="004C11B5"/>
    <w:rsid w:val="004C170B"/>
    <w:rsid w:val="004C1946"/>
    <w:rsid w:val="004C223B"/>
    <w:rsid w:val="004C2CCA"/>
    <w:rsid w:val="004C4020"/>
    <w:rsid w:val="004C4458"/>
    <w:rsid w:val="004C44EC"/>
    <w:rsid w:val="004C51CE"/>
    <w:rsid w:val="004C5BA4"/>
    <w:rsid w:val="004C6BC8"/>
    <w:rsid w:val="004C70C0"/>
    <w:rsid w:val="004C73A1"/>
    <w:rsid w:val="004C7F98"/>
    <w:rsid w:val="004D10A9"/>
    <w:rsid w:val="004D1FEA"/>
    <w:rsid w:val="004D225B"/>
    <w:rsid w:val="004D5283"/>
    <w:rsid w:val="004D5A3D"/>
    <w:rsid w:val="004D6B62"/>
    <w:rsid w:val="004D7AF3"/>
    <w:rsid w:val="004E0150"/>
    <w:rsid w:val="004E088E"/>
    <w:rsid w:val="004E0FC4"/>
    <w:rsid w:val="004E1241"/>
    <w:rsid w:val="004E1B9D"/>
    <w:rsid w:val="004E1C83"/>
    <w:rsid w:val="004E1CC0"/>
    <w:rsid w:val="004E1E70"/>
    <w:rsid w:val="004E2BB3"/>
    <w:rsid w:val="004E2EBD"/>
    <w:rsid w:val="004E3029"/>
    <w:rsid w:val="004E4BAC"/>
    <w:rsid w:val="004E4C7A"/>
    <w:rsid w:val="004E4D71"/>
    <w:rsid w:val="004E63DA"/>
    <w:rsid w:val="004E6A13"/>
    <w:rsid w:val="004E73B6"/>
    <w:rsid w:val="004E76D8"/>
    <w:rsid w:val="004E77B5"/>
    <w:rsid w:val="004F0227"/>
    <w:rsid w:val="004F0A63"/>
    <w:rsid w:val="004F1423"/>
    <w:rsid w:val="004F1A10"/>
    <w:rsid w:val="004F2731"/>
    <w:rsid w:val="004F2DD3"/>
    <w:rsid w:val="004F3463"/>
    <w:rsid w:val="004F44B3"/>
    <w:rsid w:val="004F4B23"/>
    <w:rsid w:val="004F571D"/>
    <w:rsid w:val="004F5905"/>
    <w:rsid w:val="004F70AB"/>
    <w:rsid w:val="004F7AA1"/>
    <w:rsid w:val="004F7AD4"/>
    <w:rsid w:val="004F7FBE"/>
    <w:rsid w:val="005003C2"/>
    <w:rsid w:val="0050118A"/>
    <w:rsid w:val="00501F51"/>
    <w:rsid w:val="00502442"/>
    <w:rsid w:val="00502B36"/>
    <w:rsid w:val="00503688"/>
    <w:rsid w:val="00504AFA"/>
    <w:rsid w:val="00505890"/>
    <w:rsid w:val="00505D5B"/>
    <w:rsid w:val="00506532"/>
    <w:rsid w:val="00506713"/>
    <w:rsid w:val="005108F7"/>
    <w:rsid w:val="005108FA"/>
    <w:rsid w:val="0051268F"/>
    <w:rsid w:val="005126A4"/>
    <w:rsid w:val="0051299D"/>
    <w:rsid w:val="005143C9"/>
    <w:rsid w:val="00514643"/>
    <w:rsid w:val="00514758"/>
    <w:rsid w:val="00514A42"/>
    <w:rsid w:val="00515698"/>
    <w:rsid w:val="00515E4C"/>
    <w:rsid w:val="00516B34"/>
    <w:rsid w:val="00516B89"/>
    <w:rsid w:val="0051711F"/>
    <w:rsid w:val="005205A9"/>
    <w:rsid w:val="00520D8F"/>
    <w:rsid w:val="00520EF4"/>
    <w:rsid w:val="00520F74"/>
    <w:rsid w:val="0052104B"/>
    <w:rsid w:val="005212AA"/>
    <w:rsid w:val="00522970"/>
    <w:rsid w:val="00522A68"/>
    <w:rsid w:val="00522F06"/>
    <w:rsid w:val="00523435"/>
    <w:rsid w:val="00524280"/>
    <w:rsid w:val="00524576"/>
    <w:rsid w:val="00525325"/>
    <w:rsid w:val="00525367"/>
    <w:rsid w:val="005256EE"/>
    <w:rsid w:val="00525C38"/>
    <w:rsid w:val="005261A5"/>
    <w:rsid w:val="00526382"/>
    <w:rsid w:val="00526831"/>
    <w:rsid w:val="00526968"/>
    <w:rsid w:val="005302AA"/>
    <w:rsid w:val="005303D5"/>
    <w:rsid w:val="00530ADE"/>
    <w:rsid w:val="005311DD"/>
    <w:rsid w:val="005328AE"/>
    <w:rsid w:val="00532B97"/>
    <w:rsid w:val="00532BB8"/>
    <w:rsid w:val="00532CED"/>
    <w:rsid w:val="00534DCA"/>
    <w:rsid w:val="00534DD0"/>
    <w:rsid w:val="00535EFA"/>
    <w:rsid w:val="00536784"/>
    <w:rsid w:val="00536844"/>
    <w:rsid w:val="005379FA"/>
    <w:rsid w:val="00537D4F"/>
    <w:rsid w:val="005413F6"/>
    <w:rsid w:val="0054156D"/>
    <w:rsid w:val="005425CE"/>
    <w:rsid w:val="00542789"/>
    <w:rsid w:val="00542DD7"/>
    <w:rsid w:val="00544D41"/>
    <w:rsid w:val="00545468"/>
    <w:rsid w:val="005459D7"/>
    <w:rsid w:val="005473F5"/>
    <w:rsid w:val="00550640"/>
    <w:rsid w:val="00550820"/>
    <w:rsid w:val="00550A7E"/>
    <w:rsid w:val="00550AF7"/>
    <w:rsid w:val="00551308"/>
    <w:rsid w:val="00551F3C"/>
    <w:rsid w:val="00552121"/>
    <w:rsid w:val="00552555"/>
    <w:rsid w:val="005529FC"/>
    <w:rsid w:val="0055365B"/>
    <w:rsid w:val="005546A6"/>
    <w:rsid w:val="005560E5"/>
    <w:rsid w:val="00556F87"/>
    <w:rsid w:val="00557123"/>
    <w:rsid w:val="0055792A"/>
    <w:rsid w:val="005605A2"/>
    <w:rsid w:val="00560806"/>
    <w:rsid w:val="0056115F"/>
    <w:rsid w:val="005611A6"/>
    <w:rsid w:val="00561267"/>
    <w:rsid w:val="0056166B"/>
    <w:rsid w:val="00562398"/>
    <w:rsid w:val="00562977"/>
    <w:rsid w:val="00563D10"/>
    <w:rsid w:val="005653FB"/>
    <w:rsid w:val="00565F1F"/>
    <w:rsid w:val="005669DB"/>
    <w:rsid w:val="00566A08"/>
    <w:rsid w:val="0056764B"/>
    <w:rsid w:val="005676ED"/>
    <w:rsid w:val="00567B29"/>
    <w:rsid w:val="00570281"/>
    <w:rsid w:val="0057356A"/>
    <w:rsid w:val="00574A6F"/>
    <w:rsid w:val="0057651A"/>
    <w:rsid w:val="00576780"/>
    <w:rsid w:val="0058001B"/>
    <w:rsid w:val="00580719"/>
    <w:rsid w:val="00581025"/>
    <w:rsid w:val="0058160F"/>
    <w:rsid w:val="00581BDF"/>
    <w:rsid w:val="00581D45"/>
    <w:rsid w:val="00581FF5"/>
    <w:rsid w:val="00582235"/>
    <w:rsid w:val="00582684"/>
    <w:rsid w:val="00582CD8"/>
    <w:rsid w:val="00583302"/>
    <w:rsid w:val="00583656"/>
    <w:rsid w:val="00583CC7"/>
    <w:rsid w:val="00584533"/>
    <w:rsid w:val="00584A7D"/>
    <w:rsid w:val="0058582F"/>
    <w:rsid w:val="00586D7F"/>
    <w:rsid w:val="005870E7"/>
    <w:rsid w:val="0058724F"/>
    <w:rsid w:val="0058747E"/>
    <w:rsid w:val="005876EC"/>
    <w:rsid w:val="00590218"/>
    <w:rsid w:val="005906F5"/>
    <w:rsid w:val="00591191"/>
    <w:rsid w:val="005914C6"/>
    <w:rsid w:val="00591F41"/>
    <w:rsid w:val="0059267B"/>
    <w:rsid w:val="00592DA4"/>
    <w:rsid w:val="00592E97"/>
    <w:rsid w:val="00592F6A"/>
    <w:rsid w:val="00593656"/>
    <w:rsid w:val="00594577"/>
    <w:rsid w:val="00594E40"/>
    <w:rsid w:val="00594EF3"/>
    <w:rsid w:val="0059548F"/>
    <w:rsid w:val="00595A4E"/>
    <w:rsid w:val="00596264"/>
    <w:rsid w:val="00596684"/>
    <w:rsid w:val="00596A92"/>
    <w:rsid w:val="00596F9B"/>
    <w:rsid w:val="005976C9"/>
    <w:rsid w:val="005976F5"/>
    <w:rsid w:val="00597DDB"/>
    <w:rsid w:val="005A01B9"/>
    <w:rsid w:val="005A02C5"/>
    <w:rsid w:val="005A06EB"/>
    <w:rsid w:val="005A12CC"/>
    <w:rsid w:val="005A17F5"/>
    <w:rsid w:val="005A21B2"/>
    <w:rsid w:val="005A2A94"/>
    <w:rsid w:val="005A2BF7"/>
    <w:rsid w:val="005A32EF"/>
    <w:rsid w:val="005A389F"/>
    <w:rsid w:val="005A3993"/>
    <w:rsid w:val="005A3D62"/>
    <w:rsid w:val="005A4061"/>
    <w:rsid w:val="005A4896"/>
    <w:rsid w:val="005A4A51"/>
    <w:rsid w:val="005A4A61"/>
    <w:rsid w:val="005A4AB8"/>
    <w:rsid w:val="005A4BD6"/>
    <w:rsid w:val="005A54F9"/>
    <w:rsid w:val="005A55DE"/>
    <w:rsid w:val="005A5B71"/>
    <w:rsid w:val="005A6663"/>
    <w:rsid w:val="005A67B1"/>
    <w:rsid w:val="005A6E11"/>
    <w:rsid w:val="005A7483"/>
    <w:rsid w:val="005A7F90"/>
    <w:rsid w:val="005B0219"/>
    <w:rsid w:val="005B0A25"/>
    <w:rsid w:val="005B2DAB"/>
    <w:rsid w:val="005B35C6"/>
    <w:rsid w:val="005B3CC6"/>
    <w:rsid w:val="005B56F1"/>
    <w:rsid w:val="005B72A9"/>
    <w:rsid w:val="005B7AC9"/>
    <w:rsid w:val="005C1F82"/>
    <w:rsid w:val="005C2593"/>
    <w:rsid w:val="005C2B46"/>
    <w:rsid w:val="005C30C5"/>
    <w:rsid w:val="005C344F"/>
    <w:rsid w:val="005C3B32"/>
    <w:rsid w:val="005C41A2"/>
    <w:rsid w:val="005C498F"/>
    <w:rsid w:val="005C4DAB"/>
    <w:rsid w:val="005C5758"/>
    <w:rsid w:val="005C5C2D"/>
    <w:rsid w:val="005C6DDB"/>
    <w:rsid w:val="005C6E3B"/>
    <w:rsid w:val="005C7BC5"/>
    <w:rsid w:val="005D0771"/>
    <w:rsid w:val="005D087E"/>
    <w:rsid w:val="005D0DA7"/>
    <w:rsid w:val="005D2A58"/>
    <w:rsid w:val="005D458D"/>
    <w:rsid w:val="005D48BC"/>
    <w:rsid w:val="005D545F"/>
    <w:rsid w:val="005D571B"/>
    <w:rsid w:val="005D6241"/>
    <w:rsid w:val="005D78A3"/>
    <w:rsid w:val="005E1687"/>
    <w:rsid w:val="005E195C"/>
    <w:rsid w:val="005E5374"/>
    <w:rsid w:val="005E53A2"/>
    <w:rsid w:val="005E53CC"/>
    <w:rsid w:val="005E5C42"/>
    <w:rsid w:val="005E702E"/>
    <w:rsid w:val="005E78CF"/>
    <w:rsid w:val="005E7B48"/>
    <w:rsid w:val="005F0405"/>
    <w:rsid w:val="005F08F5"/>
    <w:rsid w:val="005F0E85"/>
    <w:rsid w:val="005F1ABB"/>
    <w:rsid w:val="005F2582"/>
    <w:rsid w:val="005F3403"/>
    <w:rsid w:val="005F39B0"/>
    <w:rsid w:val="005F430C"/>
    <w:rsid w:val="005F593D"/>
    <w:rsid w:val="005F6276"/>
    <w:rsid w:val="005F6F64"/>
    <w:rsid w:val="006004D7"/>
    <w:rsid w:val="00601B9F"/>
    <w:rsid w:val="00602312"/>
    <w:rsid w:val="006024AB"/>
    <w:rsid w:val="00602A35"/>
    <w:rsid w:val="00602B7C"/>
    <w:rsid w:val="00603391"/>
    <w:rsid w:val="006036A6"/>
    <w:rsid w:val="00603C00"/>
    <w:rsid w:val="00604D17"/>
    <w:rsid w:val="00605202"/>
    <w:rsid w:val="0060522E"/>
    <w:rsid w:val="006055BA"/>
    <w:rsid w:val="00606638"/>
    <w:rsid w:val="00606821"/>
    <w:rsid w:val="00606E41"/>
    <w:rsid w:val="00606F6A"/>
    <w:rsid w:val="006075CC"/>
    <w:rsid w:val="006079D3"/>
    <w:rsid w:val="00607D60"/>
    <w:rsid w:val="00610F4F"/>
    <w:rsid w:val="006113CF"/>
    <w:rsid w:val="00611ED7"/>
    <w:rsid w:val="006121CE"/>
    <w:rsid w:val="006123C3"/>
    <w:rsid w:val="006131E2"/>
    <w:rsid w:val="0061376A"/>
    <w:rsid w:val="0061379B"/>
    <w:rsid w:val="00614C85"/>
    <w:rsid w:val="00615051"/>
    <w:rsid w:val="006153F6"/>
    <w:rsid w:val="0061579A"/>
    <w:rsid w:val="00615E5E"/>
    <w:rsid w:val="00617336"/>
    <w:rsid w:val="00617952"/>
    <w:rsid w:val="0062155D"/>
    <w:rsid w:val="0062274B"/>
    <w:rsid w:val="00623FCD"/>
    <w:rsid w:val="00624456"/>
    <w:rsid w:val="006244F6"/>
    <w:rsid w:val="00624A39"/>
    <w:rsid w:val="00624F44"/>
    <w:rsid w:val="006252CE"/>
    <w:rsid w:val="0062600B"/>
    <w:rsid w:val="0062655A"/>
    <w:rsid w:val="0062710F"/>
    <w:rsid w:val="00630B0B"/>
    <w:rsid w:val="006316B4"/>
    <w:rsid w:val="006324D5"/>
    <w:rsid w:val="00632985"/>
    <w:rsid w:val="00632F02"/>
    <w:rsid w:val="0063393E"/>
    <w:rsid w:val="00633DA8"/>
    <w:rsid w:val="006349E7"/>
    <w:rsid w:val="00635628"/>
    <w:rsid w:val="0063597A"/>
    <w:rsid w:val="00635CD9"/>
    <w:rsid w:val="006362CE"/>
    <w:rsid w:val="006401FF"/>
    <w:rsid w:val="006404A8"/>
    <w:rsid w:val="0064126E"/>
    <w:rsid w:val="006419D5"/>
    <w:rsid w:val="00641B2E"/>
    <w:rsid w:val="00642B4D"/>
    <w:rsid w:val="0064332A"/>
    <w:rsid w:val="006433B4"/>
    <w:rsid w:val="00644DFA"/>
    <w:rsid w:val="006455E2"/>
    <w:rsid w:val="00645C8A"/>
    <w:rsid w:val="00645ED9"/>
    <w:rsid w:val="00646DBA"/>
    <w:rsid w:val="006470D7"/>
    <w:rsid w:val="006475F5"/>
    <w:rsid w:val="006505AB"/>
    <w:rsid w:val="006513A3"/>
    <w:rsid w:val="00651E4C"/>
    <w:rsid w:val="0065277A"/>
    <w:rsid w:val="006531D3"/>
    <w:rsid w:val="0065378C"/>
    <w:rsid w:val="006552E0"/>
    <w:rsid w:val="00655CB9"/>
    <w:rsid w:val="006567AE"/>
    <w:rsid w:val="00656863"/>
    <w:rsid w:val="00656A7D"/>
    <w:rsid w:val="00656CA4"/>
    <w:rsid w:val="00656D2C"/>
    <w:rsid w:val="006576AF"/>
    <w:rsid w:val="006602C0"/>
    <w:rsid w:val="006610C6"/>
    <w:rsid w:val="006615FF"/>
    <w:rsid w:val="00662766"/>
    <w:rsid w:val="0066280E"/>
    <w:rsid w:val="00662C7A"/>
    <w:rsid w:val="00663545"/>
    <w:rsid w:val="006636C6"/>
    <w:rsid w:val="00663B98"/>
    <w:rsid w:val="00664091"/>
    <w:rsid w:val="00666F10"/>
    <w:rsid w:val="00670433"/>
    <w:rsid w:val="006716F2"/>
    <w:rsid w:val="00671CA7"/>
    <w:rsid w:val="00672213"/>
    <w:rsid w:val="006734E4"/>
    <w:rsid w:val="006740A0"/>
    <w:rsid w:val="00674589"/>
    <w:rsid w:val="00674D81"/>
    <w:rsid w:val="00674E6E"/>
    <w:rsid w:val="00674F0B"/>
    <w:rsid w:val="00675125"/>
    <w:rsid w:val="00675BAD"/>
    <w:rsid w:val="006761D5"/>
    <w:rsid w:val="00676ADB"/>
    <w:rsid w:val="00676E1C"/>
    <w:rsid w:val="00677B48"/>
    <w:rsid w:val="0068060F"/>
    <w:rsid w:val="00680B7A"/>
    <w:rsid w:val="006821DD"/>
    <w:rsid w:val="006834FD"/>
    <w:rsid w:val="006837DC"/>
    <w:rsid w:val="00683A80"/>
    <w:rsid w:val="00683C2F"/>
    <w:rsid w:val="0068474D"/>
    <w:rsid w:val="006857A0"/>
    <w:rsid w:val="006862F8"/>
    <w:rsid w:val="006864EA"/>
    <w:rsid w:val="0068765B"/>
    <w:rsid w:val="0069050C"/>
    <w:rsid w:val="00690857"/>
    <w:rsid w:val="006910F0"/>
    <w:rsid w:val="00691830"/>
    <w:rsid w:val="00691B77"/>
    <w:rsid w:val="006922F4"/>
    <w:rsid w:val="0069274A"/>
    <w:rsid w:val="00692CDF"/>
    <w:rsid w:val="006948AE"/>
    <w:rsid w:val="00694A9B"/>
    <w:rsid w:val="00694B61"/>
    <w:rsid w:val="00694D16"/>
    <w:rsid w:val="00696360"/>
    <w:rsid w:val="006971B0"/>
    <w:rsid w:val="006A02FF"/>
    <w:rsid w:val="006A080F"/>
    <w:rsid w:val="006A0989"/>
    <w:rsid w:val="006A13C3"/>
    <w:rsid w:val="006A1908"/>
    <w:rsid w:val="006A1C5B"/>
    <w:rsid w:val="006A268D"/>
    <w:rsid w:val="006A537F"/>
    <w:rsid w:val="006A6D29"/>
    <w:rsid w:val="006A73D8"/>
    <w:rsid w:val="006A76A9"/>
    <w:rsid w:val="006A7F99"/>
    <w:rsid w:val="006B0D1E"/>
    <w:rsid w:val="006B14AF"/>
    <w:rsid w:val="006B156E"/>
    <w:rsid w:val="006B18D5"/>
    <w:rsid w:val="006B21DA"/>
    <w:rsid w:val="006B2532"/>
    <w:rsid w:val="006B31D1"/>
    <w:rsid w:val="006B3358"/>
    <w:rsid w:val="006B3C8D"/>
    <w:rsid w:val="006B419C"/>
    <w:rsid w:val="006B452E"/>
    <w:rsid w:val="006B4E95"/>
    <w:rsid w:val="006B60E4"/>
    <w:rsid w:val="006B6160"/>
    <w:rsid w:val="006B64C5"/>
    <w:rsid w:val="006B6753"/>
    <w:rsid w:val="006B6945"/>
    <w:rsid w:val="006B6DB0"/>
    <w:rsid w:val="006B7505"/>
    <w:rsid w:val="006C0691"/>
    <w:rsid w:val="006C0CC9"/>
    <w:rsid w:val="006C1147"/>
    <w:rsid w:val="006C12B2"/>
    <w:rsid w:val="006C2EBC"/>
    <w:rsid w:val="006C3510"/>
    <w:rsid w:val="006C371D"/>
    <w:rsid w:val="006C3C12"/>
    <w:rsid w:val="006C4E59"/>
    <w:rsid w:val="006C52F0"/>
    <w:rsid w:val="006C5BAB"/>
    <w:rsid w:val="006C68D4"/>
    <w:rsid w:val="006C6ADB"/>
    <w:rsid w:val="006C6EEC"/>
    <w:rsid w:val="006D0F25"/>
    <w:rsid w:val="006D104B"/>
    <w:rsid w:val="006D1283"/>
    <w:rsid w:val="006D1AE8"/>
    <w:rsid w:val="006D3CE1"/>
    <w:rsid w:val="006D4495"/>
    <w:rsid w:val="006D52B8"/>
    <w:rsid w:val="006D666A"/>
    <w:rsid w:val="006D6C63"/>
    <w:rsid w:val="006D6EAD"/>
    <w:rsid w:val="006D6FA2"/>
    <w:rsid w:val="006E071C"/>
    <w:rsid w:val="006E0BD0"/>
    <w:rsid w:val="006E0D6B"/>
    <w:rsid w:val="006E3619"/>
    <w:rsid w:val="006E4147"/>
    <w:rsid w:val="006E4C5D"/>
    <w:rsid w:val="006E60DD"/>
    <w:rsid w:val="006E64AE"/>
    <w:rsid w:val="006F0798"/>
    <w:rsid w:val="006F1389"/>
    <w:rsid w:val="006F15CF"/>
    <w:rsid w:val="006F1CEE"/>
    <w:rsid w:val="006F2002"/>
    <w:rsid w:val="006F24D7"/>
    <w:rsid w:val="006F2B7E"/>
    <w:rsid w:val="006F37C7"/>
    <w:rsid w:val="006F46A6"/>
    <w:rsid w:val="006F49FE"/>
    <w:rsid w:val="006F50E2"/>
    <w:rsid w:val="006F5179"/>
    <w:rsid w:val="006F5574"/>
    <w:rsid w:val="006F560C"/>
    <w:rsid w:val="006F582D"/>
    <w:rsid w:val="006F59F4"/>
    <w:rsid w:val="006F692A"/>
    <w:rsid w:val="006F6BD2"/>
    <w:rsid w:val="006F79FA"/>
    <w:rsid w:val="006F7C82"/>
    <w:rsid w:val="0070165C"/>
    <w:rsid w:val="00701DEB"/>
    <w:rsid w:val="00702BD0"/>
    <w:rsid w:val="007036FB"/>
    <w:rsid w:val="007037A0"/>
    <w:rsid w:val="007038E4"/>
    <w:rsid w:val="0070495C"/>
    <w:rsid w:val="00707039"/>
    <w:rsid w:val="00707C10"/>
    <w:rsid w:val="0071286F"/>
    <w:rsid w:val="00714358"/>
    <w:rsid w:val="007146B4"/>
    <w:rsid w:val="007148FF"/>
    <w:rsid w:val="007153CD"/>
    <w:rsid w:val="007154D5"/>
    <w:rsid w:val="007175EF"/>
    <w:rsid w:val="00717D2B"/>
    <w:rsid w:val="00720B7A"/>
    <w:rsid w:val="007213F1"/>
    <w:rsid w:val="00721429"/>
    <w:rsid w:val="00721BBA"/>
    <w:rsid w:val="00721C7E"/>
    <w:rsid w:val="0072343C"/>
    <w:rsid w:val="00723593"/>
    <w:rsid w:val="00723C19"/>
    <w:rsid w:val="00723C28"/>
    <w:rsid w:val="00723C37"/>
    <w:rsid w:val="00725827"/>
    <w:rsid w:val="00726A3E"/>
    <w:rsid w:val="00730137"/>
    <w:rsid w:val="00730750"/>
    <w:rsid w:val="0073183F"/>
    <w:rsid w:val="00731A60"/>
    <w:rsid w:val="00732E9A"/>
    <w:rsid w:val="00732EBD"/>
    <w:rsid w:val="007332A0"/>
    <w:rsid w:val="00733E59"/>
    <w:rsid w:val="00734348"/>
    <w:rsid w:val="0073440F"/>
    <w:rsid w:val="007348D6"/>
    <w:rsid w:val="00735BD9"/>
    <w:rsid w:val="007371B5"/>
    <w:rsid w:val="00737216"/>
    <w:rsid w:val="007376AC"/>
    <w:rsid w:val="00740A60"/>
    <w:rsid w:val="00740E29"/>
    <w:rsid w:val="0074114A"/>
    <w:rsid w:val="00742F28"/>
    <w:rsid w:val="00744893"/>
    <w:rsid w:val="00745386"/>
    <w:rsid w:val="00745AC0"/>
    <w:rsid w:val="00745F9D"/>
    <w:rsid w:val="0074677E"/>
    <w:rsid w:val="00746A4F"/>
    <w:rsid w:val="00746A91"/>
    <w:rsid w:val="00746AD9"/>
    <w:rsid w:val="00746BB0"/>
    <w:rsid w:val="00750F2C"/>
    <w:rsid w:val="00751C5F"/>
    <w:rsid w:val="00751FCA"/>
    <w:rsid w:val="00752B09"/>
    <w:rsid w:val="007536FB"/>
    <w:rsid w:val="007539D0"/>
    <w:rsid w:val="00753E99"/>
    <w:rsid w:val="00754112"/>
    <w:rsid w:val="0075483D"/>
    <w:rsid w:val="00754B27"/>
    <w:rsid w:val="00755689"/>
    <w:rsid w:val="00755F39"/>
    <w:rsid w:val="00756117"/>
    <w:rsid w:val="00757518"/>
    <w:rsid w:val="007579EA"/>
    <w:rsid w:val="00757DA3"/>
    <w:rsid w:val="00757DC6"/>
    <w:rsid w:val="00760F99"/>
    <w:rsid w:val="00761220"/>
    <w:rsid w:val="00762AE5"/>
    <w:rsid w:val="0076317F"/>
    <w:rsid w:val="00763480"/>
    <w:rsid w:val="00763733"/>
    <w:rsid w:val="0076389E"/>
    <w:rsid w:val="00764A08"/>
    <w:rsid w:val="007657B4"/>
    <w:rsid w:val="007658FC"/>
    <w:rsid w:val="00766321"/>
    <w:rsid w:val="00767977"/>
    <w:rsid w:val="00767DE7"/>
    <w:rsid w:val="007703B9"/>
    <w:rsid w:val="00770725"/>
    <w:rsid w:val="00770CA6"/>
    <w:rsid w:val="007715A9"/>
    <w:rsid w:val="00771E88"/>
    <w:rsid w:val="0077362A"/>
    <w:rsid w:val="007744B5"/>
    <w:rsid w:val="00774700"/>
    <w:rsid w:val="00776B87"/>
    <w:rsid w:val="00777474"/>
    <w:rsid w:val="00777776"/>
    <w:rsid w:val="007805D1"/>
    <w:rsid w:val="007807CA"/>
    <w:rsid w:val="00780CFD"/>
    <w:rsid w:val="007811C0"/>
    <w:rsid w:val="00782F6D"/>
    <w:rsid w:val="007838D8"/>
    <w:rsid w:val="007839DC"/>
    <w:rsid w:val="00783CFC"/>
    <w:rsid w:val="00783D33"/>
    <w:rsid w:val="00783F20"/>
    <w:rsid w:val="007843FA"/>
    <w:rsid w:val="00784635"/>
    <w:rsid w:val="007847EB"/>
    <w:rsid w:val="00784A6A"/>
    <w:rsid w:val="00784BDC"/>
    <w:rsid w:val="0078514B"/>
    <w:rsid w:val="00785791"/>
    <w:rsid w:val="00785AB3"/>
    <w:rsid w:val="007866FA"/>
    <w:rsid w:val="00787836"/>
    <w:rsid w:val="007879F4"/>
    <w:rsid w:val="0079065F"/>
    <w:rsid w:val="00790D92"/>
    <w:rsid w:val="00792A18"/>
    <w:rsid w:val="00792B01"/>
    <w:rsid w:val="00792CCE"/>
    <w:rsid w:val="00792E49"/>
    <w:rsid w:val="007939E0"/>
    <w:rsid w:val="00793AE4"/>
    <w:rsid w:val="007948CE"/>
    <w:rsid w:val="00794B69"/>
    <w:rsid w:val="00794B75"/>
    <w:rsid w:val="00795180"/>
    <w:rsid w:val="007951BC"/>
    <w:rsid w:val="00795A6B"/>
    <w:rsid w:val="0079678E"/>
    <w:rsid w:val="007967CD"/>
    <w:rsid w:val="007A0520"/>
    <w:rsid w:val="007A0E6D"/>
    <w:rsid w:val="007A1512"/>
    <w:rsid w:val="007A2C33"/>
    <w:rsid w:val="007A2F47"/>
    <w:rsid w:val="007A3685"/>
    <w:rsid w:val="007A3B56"/>
    <w:rsid w:val="007A3DDA"/>
    <w:rsid w:val="007A4C4D"/>
    <w:rsid w:val="007A5F8C"/>
    <w:rsid w:val="007A642A"/>
    <w:rsid w:val="007A6D6F"/>
    <w:rsid w:val="007A6F13"/>
    <w:rsid w:val="007A78D6"/>
    <w:rsid w:val="007A7A3A"/>
    <w:rsid w:val="007A7CB1"/>
    <w:rsid w:val="007B091B"/>
    <w:rsid w:val="007B15CB"/>
    <w:rsid w:val="007B166D"/>
    <w:rsid w:val="007B18BF"/>
    <w:rsid w:val="007B1C76"/>
    <w:rsid w:val="007B1CEE"/>
    <w:rsid w:val="007B297D"/>
    <w:rsid w:val="007B394F"/>
    <w:rsid w:val="007B3C65"/>
    <w:rsid w:val="007B4AFA"/>
    <w:rsid w:val="007B4C5D"/>
    <w:rsid w:val="007B4F83"/>
    <w:rsid w:val="007B5643"/>
    <w:rsid w:val="007B564E"/>
    <w:rsid w:val="007B5DD0"/>
    <w:rsid w:val="007B5FB2"/>
    <w:rsid w:val="007B69B7"/>
    <w:rsid w:val="007B6AF5"/>
    <w:rsid w:val="007B6EB4"/>
    <w:rsid w:val="007C0014"/>
    <w:rsid w:val="007C01DA"/>
    <w:rsid w:val="007C24F3"/>
    <w:rsid w:val="007C2D1E"/>
    <w:rsid w:val="007C2E1F"/>
    <w:rsid w:val="007C30A7"/>
    <w:rsid w:val="007C3F8A"/>
    <w:rsid w:val="007C5822"/>
    <w:rsid w:val="007C6390"/>
    <w:rsid w:val="007C6A6E"/>
    <w:rsid w:val="007D080F"/>
    <w:rsid w:val="007D0A11"/>
    <w:rsid w:val="007D0FEE"/>
    <w:rsid w:val="007D2894"/>
    <w:rsid w:val="007D2C4F"/>
    <w:rsid w:val="007D2D3D"/>
    <w:rsid w:val="007D34DB"/>
    <w:rsid w:val="007D3540"/>
    <w:rsid w:val="007D4D06"/>
    <w:rsid w:val="007D5074"/>
    <w:rsid w:val="007D50E9"/>
    <w:rsid w:val="007D5A0B"/>
    <w:rsid w:val="007D7498"/>
    <w:rsid w:val="007D77B7"/>
    <w:rsid w:val="007D78EC"/>
    <w:rsid w:val="007E011C"/>
    <w:rsid w:val="007E0CE7"/>
    <w:rsid w:val="007E150C"/>
    <w:rsid w:val="007E16E7"/>
    <w:rsid w:val="007E23A4"/>
    <w:rsid w:val="007E2FCE"/>
    <w:rsid w:val="007E3769"/>
    <w:rsid w:val="007E511D"/>
    <w:rsid w:val="007E53A7"/>
    <w:rsid w:val="007E56DE"/>
    <w:rsid w:val="007E5BD2"/>
    <w:rsid w:val="007E5F82"/>
    <w:rsid w:val="007E6E53"/>
    <w:rsid w:val="007E7737"/>
    <w:rsid w:val="007E7F3D"/>
    <w:rsid w:val="007F07AF"/>
    <w:rsid w:val="007F08F4"/>
    <w:rsid w:val="007F0ED0"/>
    <w:rsid w:val="007F1010"/>
    <w:rsid w:val="007F168F"/>
    <w:rsid w:val="007F1AED"/>
    <w:rsid w:val="007F257D"/>
    <w:rsid w:val="007F3570"/>
    <w:rsid w:val="007F3689"/>
    <w:rsid w:val="007F4808"/>
    <w:rsid w:val="007F506D"/>
    <w:rsid w:val="007F61AF"/>
    <w:rsid w:val="007F6C34"/>
    <w:rsid w:val="007F6EFC"/>
    <w:rsid w:val="007F7024"/>
    <w:rsid w:val="007F7054"/>
    <w:rsid w:val="007F7D6E"/>
    <w:rsid w:val="0080069A"/>
    <w:rsid w:val="00801257"/>
    <w:rsid w:val="0080131A"/>
    <w:rsid w:val="00801EF1"/>
    <w:rsid w:val="008021F4"/>
    <w:rsid w:val="00803CE4"/>
    <w:rsid w:val="00805494"/>
    <w:rsid w:val="00805631"/>
    <w:rsid w:val="00805A54"/>
    <w:rsid w:val="00810E73"/>
    <w:rsid w:val="0081202A"/>
    <w:rsid w:val="00812969"/>
    <w:rsid w:val="00812E96"/>
    <w:rsid w:val="00813E39"/>
    <w:rsid w:val="0081404E"/>
    <w:rsid w:val="008142E2"/>
    <w:rsid w:val="008150AE"/>
    <w:rsid w:val="008204B6"/>
    <w:rsid w:val="008207CC"/>
    <w:rsid w:val="008211AA"/>
    <w:rsid w:val="00821457"/>
    <w:rsid w:val="00823522"/>
    <w:rsid w:val="0082478E"/>
    <w:rsid w:val="00824AC4"/>
    <w:rsid w:val="00824B21"/>
    <w:rsid w:val="00824CCB"/>
    <w:rsid w:val="008261A8"/>
    <w:rsid w:val="008261CB"/>
    <w:rsid w:val="008264E9"/>
    <w:rsid w:val="008275F7"/>
    <w:rsid w:val="0082778D"/>
    <w:rsid w:val="00827BAF"/>
    <w:rsid w:val="008307B6"/>
    <w:rsid w:val="00831EF4"/>
    <w:rsid w:val="00832904"/>
    <w:rsid w:val="00833694"/>
    <w:rsid w:val="008345CA"/>
    <w:rsid w:val="0083549D"/>
    <w:rsid w:val="008367C1"/>
    <w:rsid w:val="00836934"/>
    <w:rsid w:val="00836C8D"/>
    <w:rsid w:val="008373AA"/>
    <w:rsid w:val="0083743C"/>
    <w:rsid w:val="00837A4F"/>
    <w:rsid w:val="00837C6C"/>
    <w:rsid w:val="00840B00"/>
    <w:rsid w:val="00841152"/>
    <w:rsid w:val="008411D0"/>
    <w:rsid w:val="008413B3"/>
    <w:rsid w:val="00841D81"/>
    <w:rsid w:val="008429E3"/>
    <w:rsid w:val="00843263"/>
    <w:rsid w:val="0084386A"/>
    <w:rsid w:val="00844073"/>
    <w:rsid w:val="00844571"/>
    <w:rsid w:val="0084460D"/>
    <w:rsid w:val="00844936"/>
    <w:rsid w:val="00844AD4"/>
    <w:rsid w:val="00844C29"/>
    <w:rsid w:val="00844DDC"/>
    <w:rsid w:val="00846342"/>
    <w:rsid w:val="0084695F"/>
    <w:rsid w:val="008473E6"/>
    <w:rsid w:val="0085100E"/>
    <w:rsid w:val="00851C9C"/>
    <w:rsid w:val="008523A9"/>
    <w:rsid w:val="0085279F"/>
    <w:rsid w:val="008529FF"/>
    <w:rsid w:val="008533EF"/>
    <w:rsid w:val="008537BD"/>
    <w:rsid w:val="00853D75"/>
    <w:rsid w:val="00856374"/>
    <w:rsid w:val="008571BA"/>
    <w:rsid w:val="00860063"/>
    <w:rsid w:val="0086091E"/>
    <w:rsid w:val="00861098"/>
    <w:rsid w:val="0086136A"/>
    <w:rsid w:val="00862007"/>
    <w:rsid w:val="0086577C"/>
    <w:rsid w:val="00867017"/>
    <w:rsid w:val="00867531"/>
    <w:rsid w:val="008678BA"/>
    <w:rsid w:val="00870408"/>
    <w:rsid w:val="00870918"/>
    <w:rsid w:val="00870AF5"/>
    <w:rsid w:val="00870FBC"/>
    <w:rsid w:val="00871D76"/>
    <w:rsid w:val="00871EB9"/>
    <w:rsid w:val="00873717"/>
    <w:rsid w:val="008737DA"/>
    <w:rsid w:val="008739E7"/>
    <w:rsid w:val="00873F28"/>
    <w:rsid w:val="008749C3"/>
    <w:rsid w:val="0087522B"/>
    <w:rsid w:val="00875932"/>
    <w:rsid w:val="00876139"/>
    <w:rsid w:val="00876705"/>
    <w:rsid w:val="0087734B"/>
    <w:rsid w:val="0087799F"/>
    <w:rsid w:val="00877F41"/>
    <w:rsid w:val="008821A7"/>
    <w:rsid w:val="0088395C"/>
    <w:rsid w:val="00883A1F"/>
    <w:rsid w:val="00884181"/>
    <w:rsid w:val="00884BC2"/>
    <w:rsid w:val="00884E8D"/>
    <w:rsid w:val="00884F91"/>
    <w:rsid w:val="0088539E"/>
    <w:rsid w:val="00885454"/>
    <w:rsid w:val="008867B9"/>
    <w:rsid w:val="008870FB"/>
    <w:rsid w:val="00887D1B"/>
    <w:rsid w:val="008903E4"/>
    <w:rsid w:val="00890455"/>
    <w:rsid w:val="00891319"/>
    <w:rsid w:val="00891492"/>
    <w:rsid w:val="00891AE3"/>
    <w:rsid w:val="00891BC9"/>
    <w:rsid w:val="008924B7"/>
    <w:rsid w:val="00892734"/>
    <w:rsid w:val="00892DC6"/>
    <w:rsid w:val="008935F5"/>
    <w:rsid w:val="0089381F"/>
    <w:rsid w:val="00893B7D"/>
    <w:rsid w:val="00893DF0"/>
    <w:rsid w:val="0089422E"/>
    <w:rsid w:val="008949CA"/>
    <w:rsid w:val="008952FA"/>
    <w:rsid w:val="008955CD"/>
    <w:rsid w:val="00895FB4"/>
    <w:rsid w:val="008A0DA6"/>
    <w:rsid w:val="008A14BE"/>
    <w:rsid w:val="008A1C51"/>
    <w:rsid w:val="008A1EDB"/>
    <w:rsid w:val="008A1F96"/>
    <w:rsid w:val="008A245C"/>
    <w:rsid w:val="008A28DF"/>
    <w:rsid w:val="008A2BF9"/>
    <w:rsid w:val="008A306E"/>
    <w:rsid w:val="008A4066"/>
    <w:rsid w:val="008A4765"/>
    <w:rsid w:val="008A53D8"/>
    <w:rsid w:val="008A58EF"/>
    <w:rsid w:val="008A60D0"/>
    <w:rsid w:val="008A6C48"/>
    <w:rsid w:val="008A6EAE"/>
    <w:rsid w:val="008A70F1"/>
    <w:rsid w:val="008A7E0B"/>
    <w:rsid w:val="008A7E5E"/>
    <w:rsid w:val="008B01B6"/>
    <w:rsid w:val="008B081C"/>
    <w:rsid w:val="008B0A6F"/>
    <w:rsid w:val="008B1036"/>
    <w:rsid w:val="008B16FF"/>
    <w:rsid w:val="008B1BF1"/>
    <w:rsid w:val="008B1D28"/>
    <w:rsid w:val="008B2337"/>
    <w:rsid w:val="008B2A8C"/>
    <w:rsid w:val="008B3BCC"/>
    <w:rsid w:val="008B43D0"/>
    <w:rsid w:val="008B44E3"/>
    <w:rsid w:val="008B5222"/>
    <w:rsid w:val="008B543E"/>
    <w:rsid w:val="008B5785"/>
    <w:rsid w:val="008B5C57"/>
    <w:rsid w:val="008B5F0D"/>
    <w:rsid w:val="008B60F2"/>
    <w:rsid w:val="008B7BC4"/>
    <w:rsid w:val="008C0E16"/>
    <w:rsid w:val="008C16D0"/>
    <w:rsid w:val="008C1890"/>
    <w:rsid w:val="008C198F"/>
    <w:rsid w:val="008C1A0F"/>
    <w:rsid w:val="008C35D2"/>
    <w:rsid w:val="008C38D2"/>
    <w:rsid w:val="008C3CCF"/>
    <w:rsid w:val="008C4436"/>
    <w:rsid w:val="008C4917"/>
    <w:rsid w:val="008C5120"/>
    <w:rsid w:val="008C5D58"/>
    <w:rsid w:val="008C6473"/>
    <w:rsid w:val="008C6A49"/>
    <w:rsid w:val="008C6E39"/>
    <w:rsid w:val="008C6E74"/>
    <w:rsid w:val="008C6EEC"/>
    <w:rsid w:val="008C78BA"/>
    <w:rsid w:val="008C7FE7"/>
    <w:rsid w:val="008D076C"/>
    <w:rsid w:val="008D157B"/>
    <w:rsid w:val="008D18C3"/>
    <w:rsid w:val="008D1AA0"/>
    <w:rsid w:val="008D1C71"/>
    <w:rsid w:val="008D1D25"/>
    <w:rsid w:val="008D2B4E"/>
    <w:rsid w:val="008D2DAC"/>
    <w:rsid w:val="008D3A82"/>
    <w:rsid w:val="008D3AA9"/>
    <w:rsid w:val="008D3DA7"/>
    <w:rsid w:val="008D44D6"/>
    <w:rsid w:val="008D570F"/>
    <w:rsid w:val="008D5B83"/>
    <w:rsid w:val="008D5C36"/>
    <w:rsid w:val="008D62DD"/>
    <w:rsid w:val="008D7485"/>
    <w:rsid w:val="008E0377"/>
    <w:rsid w:val="008E1876"/>
    <w:rsid w:val="008E1DC1"/>
    <w:rsid w:val="008E1E9E"/>
    <w:rsid w:val="008E1ED5"/>
    <w:rsid w:val="008E2919"/>
    <w:rsid w:val="008E4031"/>
    <w:rsid w:val="008E48A6"/>
    <w:rsid w:val="008E4F56"/>
    <w:rsid w:val="008E5E4C"/>
    <w:rsid w:val="008E6369"/>
    <w:rsid w:val="008E66D9"/>
    <w:rsid w:val="008E6DB2"/>
    <w:rsid w:val="008E7EAA"/>
    <w:rsid w:val="008F1637"/>
    <w:rsid w:val="008F17AD"/>
    <w:rsid w:val="008F1C8A"/>
    <w:rsid w:val="008F1E67"/>
    <w:rsid w:val="008F27D7"/>
    <w:rsid w:val="008F36D1"/>
    <w:rsid w:val="008F4174"/>
    <w:rsid w:val="008F56FF"/>
    <w:rsid w:val="008F6D3A"/>
    <w:rsid w:val="008F763E"/>
    <w:rsid w:val="00901CE3"/>
    <w:rsid w:val="009027C4"/>
    <w:rsid w:val="009029C7"/>
    <w:rsid w:val="00902D42"/>
    <w:rsid w:val="009034C5"/>
    <w:rsid w:val="00903D0F"/>
    <w:rsid w:val="00904654"/>
    <w:rsid w:val="00904689"/>
    <w:rsid w:val="0090528F"/>
    <w:rsid w:val="0090689B"/>
    <w:rsid w:val="00907C6C"/>
    <w:rsid w:val="00907DD6"/>
    <w:rsid w:val="00910895"/>
    <w:rsid w:val="00910978"/>
    <w:rsid w:val="00910F65"/>
    <w:rsid w:val="00911A3E"/>
    <w:rsid w:val="00912825"/>
    <w:rsid w:val="00912D2C"/>
    <w:rsid w:val="009131A2"/>
    <w:rsid w:val="00914F46"/>
    <w:rsid w:val="00915228"/>
    <w:rsid w:val="00915324"/>
    <w:rsid w:val="00915597"/>
    <w:rsid w:val="009157A3"/>
    <w:rsid w:val="00915BC6"/>
    <w:rsid w:val="00916751"/>
    <w:rsid w:val="00916F31"/>
    <w:rsid w:val="0091740A"/>
    <w:rsid w:val="00920655"/>
    <w:rsid w:val="00920B57"/>
    <w:rsid w:val="00922E89"/>
    <w:rsid w:val="0092357C"/>
    <w:rsid w:val="00924A94"/>
    <w:rsid w:val="009257F1"/>
    <w:rsid w:val="00926696"/>
    <w:rsid w:val="00927D28"/>
    <w:rsid w:val="00927F5C"/>
    <w:rsid w:val="009302A4"/>
    <w:rsid w:val="009303F2"/>
    <w:rsid w:val="00931D82"/>
    <w:rsid w:val="00931DB1"/>
    <w:rsid w:val="00931E7F"/>
    <w:rsid w:val="00933A11"/>
    <w:rsid w:val="009351DA"/>
    <w:rsid w:val="00935676"/>
    <w:rsid w:val="009358FD"/>
    <w:rsid w:val="00937682"/>
    <w:rsid w:val="00937FA0"/>
    <w:rsid w:val="00940093"/>
    <w:rsid w:val="00940C89"/>
    <w:rsid w:val="0094135B"/>
    <w:rsid w:val="009413F0"/>
    <w:rsid w:val="00941A8B"/>
    <w:rsid w:val="00941E22"/>
    <w:rsid w:val="0094299F"/>
    <w:rsid w:val="00942BBE"/>
    <w:rsid w:val="009440F0"/>
    <w:rsid w:val="00944284"/>
    <w:rsid w:val="00945071"/>
    <w:rsid w:val="00945C87"/>
    <w:rsid w:val="00950031"/>
    <w:rsid w:val="00950475"/>
    <w:rsid w:val="00951A4A"/>
    <w:rsid w:val="00952A08"/>
    <w:rsid w:val="0095339C"/>
    <w:rsid w:val="00954EC0"/>
    <w:rsid w:val="00954F53"/>
    <w:rsid w:val="00955661"/>
    <w:rsid w:val="00960165"/>
    <w:rsid w:val="0096036A"/>
    <w:rsid w:val="00960730"/>
    <w:rsid w:val="00961087"/>
    <w:rsid w:val="0096212C"/>
    <w:rsid w:val="00964303"/>
    <w:rsid w:val="0096602F"/>
    <w:rsid w:val="00967AFB"/>
    <w:rsid w:val="00967CF4"/>
    <w:rsid w:val="00970420"/>
    <w:rsid w:val="00970461"/>
    <w:rsid w:val="0097072A"/>
    <w:rsid w:val="00971073"/>
    <w:rsid w:val="00971CFE"/>
    <w:rsid w:val="00972F30"/>
    <w:rsid w:val="00973015"/>
    <w:rsid w:val="009735BF"/>
    <w:rsid w:val="0097385B"/>
    <w:rsid w:val="00973945"/>
    <w:rsid w:val="00973B66"/>
    <w:rsid w:val="009746EE"/>
    <w:rsid w:val="00974A4C"/>
    <w:rsid w:val="00974F72"/>
    <w:rsid w:val="00976121"/>
    <w:rsid w:val="00976E82"/>
    <w:rsid w:val="00977025"/>
    <w:rsid w:val="009777FF"/>
    <w:rsid w:val="00977DE7"/>
    <w:rsid w:val="00977F20"/>
    <w:rsid w:val="00981211"/>
    <w:rsid w:val="009819E9"/>
    <w:rsid w:val="00982464"/>
    <w:rsid w:val="009825F1"/>
    <w:rsid w:val="00982912"/>
    <w:rsid w:val="00982E05"/>
    <w:rsid w:val="00985944"/>
    <w:rsid w:val="009859B6"/>
    <w:rsid w:val="009859DC"/>
    <w:rsid w:val="00986538"/>
    <w:rsid w:val="009865F3"/>
    <w:rsid w:val="00986AB4"/>
    <w:rsid w:val="00986ECF"/>
    <w:rsid w:val="00987699"/>
    <w:rsid w:val="009877B6"/>
    <w:rsid w:val="009903CA"/>
    <w:rsid w:val="009907C7"/>
    <w:rsid w:val="009908C9"/>
    <w:rsid w:val="00990D27"/>
    <w:rsid w:val="00991053"/>
    <w:rsid w:val="00991090"/>
    <w:rsid w:val="00991254"/>
    <w:rsid w:val="00991407"/>
    <w:rsid w:val="0099345C"/>
    <w:rsid w:val="00994082"/>
    <w:rsid w:val="009947B3"/>
    <w:rsid w:val="009957C5"/>
    <w:rsid w:val="00995E82"/>
    <w:rsid w:val="009974C6"/>
    <w:rsid w:val="00997DC4"/>
    <w:rsid w:val="009A024B"/>
    <w:rsid w:val="009A0C91"/>
    <w:rsid w:val="009A0E46"/>
    <w:rsid w:val="009A0EBF"/>
    <w:rsid w:val="009A24F8"/>
    <w:rsid w:val="009A24FF"/>
    <w:rsid w:val="009A259E"/>
    <w:rsid w:val="009A2BF6"/>
    <w:rsid w:val="009A331A"/>
    <w:rsid w:val="009A368A"/>
    <w:rsid w:val="009A40D8"/>
    <w:rsid w:val="009A49B7"/>
    <w:rsid w:val="009B0655"/>
    <w:rsid w:val="009B15BB"/>
    <w:rsid w:val="009B1B1B"/>
    <w:rsid w:val="009B1C75"/>
    <w:rsid w:val="009B1D12"/>
    <w:rsid w:val="009B1FB1"/>
    <w:rsid w:val="009B2AC0"/>
    <w:rsid w:val="009B3E25"/>
    <w:rsid w:val="009B40C9"/>
    <w:rsid w:val="009B42B9"/>
    <w:rsid w:val="009B486E"/>
    <w:rsid w:val="009B5FE4"/>
    <w:rsid w:val="009B6FAA"/>
    <w:rsid w:val="009B711D"/>
    <w:rsid w:val="009B7B53"/>
    <w:rsid w:val="009B7FE8"/>
    <w:rsid w:val="009C1821"/>
    <w:rsid w:val="009C2769"/>
    <w:rsid w:val="009C3482"/>
    <w:rsid w:val="009C3527"/>
    <w:rsid w:val="009C452F"/>
    <w:rsid w:val="009C4A48"/>
    <w:rsid w:val="009C4B67"/>
    <w:rsid w:val="009C4F3A"/>
    <w:rsid w:val="009C4F5E"/>
    <w:rsid w:val="009C5C0A"/>
    <w:rsid w:val="009C6EA7"/>
    <w:rsid w:val="009C72C9"/>
    <w:rsid w:val="009C77E1"/>
    <w:rsid w:val="009C7A65"/>
    <w:rsid w:val="009D0C3D"/>
    <w:rsid w:val="009D0CB8"/>
    <w:rsid w:val="009D1C19"/>
    <w:rsid w:val="009D3660"/>
    <w:rsid w:val="009D3AB6"/>
    <w:rsid w:val="009D40FF"/>
    <w:rsid w:val="009D61EC"/>
    <w:rsid w:val="009D6AAF"/>
    <w:rsid w:val="009D730B"/>
    <w:rsid w:val="009D765C"/>
    <w:rsid w:val="009D7F5E"/>
    <w:rsid w:val="009E0672"/>
    <w:rsid w:val="009E09B2"/>
    <w:rsid w:val="009E0BAA"/>
    <w:rsid w:val="009E1116"/>
    <w:rsid w:val="009E13A3"/>
    <w:rsid w:val="009E186D"/>
    <w:rsid w:val="009E1A1F"/>
    <w:rsid w:val="009E2700"/>
    <w:rsid w:val="009E2C75"/>
    <w:rsid w:val="009E36C6"/>
    <w:rsid w:val="009E3F17"/>
    <w:rsid w:val="009E478A"/>
    <w:rsid w:val="009E558C"/>
    <w:rsid w:val="009E5D56"/>
    <w:rsid w:val="009E5EA2"/>
    <w:rsid w:val="009E6A15"/>
    <w:rsid w:val="009E72CC"/>
    <w:rsid w:val="009E7A9F"/>
    <w:rsid w:val="009F00B9"/>
    <w:rsid w:val="009F0439"/>
    <w:rsid w:val="009F0CF7"/>
    <w:rsid w:val="009F1A97"/>
    <w:rsid w:val="009F26AF"/>
    <w:rsid w:val="009F2F5C"/>
    <w:rsid w:val="009F4FB0"/>
    <w:rsid w:val="009F73FB"/>
    <w:rsid w:val="009F748B"/>
    <w:rsid w:val="00A00908"/>
    <w:rsid w:val="00A012FA"/>
    <w:rsid w:val="00A01745"/>
    <w:rsid w:val="00A0218A"/>
    <w:rsid w:val="00A04801"/>
    <w:rsid w:val="00A06088"/>
    <w:rsid w:val="00A06535"/>
    <w:rsid w:val="00A07C3A"/>
    <w:rsid w:val="00A10BCE"/>
    <w:rsid w:val="00A11787"/>
    <w:rsid w:val="00A11A0B"/>
    <w:rsid w:val="00A124BD"/>
    <w:rsid w:val="00A12561"/>
    <w:rsid w:val="00A12745"/>
    <w:rsid w:val="00A12CAA"/>
    <w:rsid w:val="00A145DB"/>
    <w:rsid w:val="00A14925"/>
    <w:rsid w:val="00A1558D"/>
    <w:rsid w:val="00A15659"/>
    <w:rsid w:val="00A168A8"/>
    <w:rsid w:val="00A17604"/>
    <w:rsid w:val="00A17746"/>
    <w:rsid w:val="00A2071E"/>
    <w:rsid w:val="00A21710"/>
    <w:rsid w:val="00A21F2C"/>
    <w:rsid w:val="00A23157"/>
    <w:rsid w:val="00A23825"/>
    <w:rsid w:val="00A239BF"/>
    <w:rsid w:val="00A23E9B"/>
    <w:rsid w:val="00A24195"/>
    <w:rsid w:val="00A24270"/>
    <w:rsid w:val="00A24286"/>
    <w:rsid w:val="00A251FE"/>
    <w:rsid w:val="00A2530E"/>
    <w:rsid w:val="00A25CC8"/>
    <w:rsid w:val="00A2624E"/>
    <w:rsid w:val="00A26BA2"/>
    <w:rsid w:val="00A26CA0"/>
    <w:rsid w:val="00A27AE5"/>
    <w:rsid w:val="00A27FEB"/>
    <w:rsid w:val="00A304EC"/>
    <w:rsid w:val="00A30630"/>
    <w:rsid w:val="00A31095"/>
    <w:rsid w:val="00A3160D"/>
    <w:rsid w:val="00A32A8E"/>
    <w:rsid w:val="00A32DA2"/>
    <w:rsid w:val="00A32DC3"/>
    <w:rsid w:val="00A3317F"/>
    <w:rsid w:val="00A3353F"/>
    <w:rsid w:val="00A3394B"/>
    <w:rsid w:val="00A356C7"/>
    <w:rsid w:val="00A35A9C"/>
    <w:rsid w:val="00A36F09"/>
    <w:rsid w:val="00A37686"/>
    <w:rsid w:val="00A37897"/>
    <w:rsid w:val="00A37975"/>
    <w:rsid w:val="00A40244"/>
    <w:rsid w:val="00A40729"/>
    <w:rsid w:val="00A40A2F"/>
    <w:rsid w:val="00A420FF"/>
    <w:rsid w:val="00A43174"/>
    <w:rsid w:val="00A44BA1"/>
    <w:rsid w:val="00A4511E"/>
    <w:rsid w:val="00A45278"/>
    <w:rsid w:val="00A45D40"/>
    <w:rsid w:val="00A500A9"/>
    <w:rsid w:val="00A50DC4"/>
    <w:rsid w:val="00A513D1"/>
    <w:rsid w:val="00A515ED"/>
    <w:rsid w:val="00A5201F"/>
    <w:rsid w:val="00A52657"/>
    <w:rsid w:val="00A5275B"/>
    <w:rsid w:val="00A52C76"/>
    <w:rsid w:val="00A54BD1"/>
    <w:rsid w:val="00A558CA"/>
    <w:rsid w:val="00A566FC"/>
    <w:rsid w:val="00A56E98"/>
    <w:rsid w:val="00A57497"/>
    <w:rsid w:val="00A60AEF"/>
    <w:rsid w:val="00A628F8"/>
    <w:rsid w:val="00A62D6A"/>
    <w:rsid w:val="00A641DB"/>
    <w:rsid w:val="00A6474F"/>
    <w:rsid w:val="00A64F22"/>
    <w:rsid w:val="00A65316"/>
    <w:rsid w:val="00A65F7D"/>
    <w:rsid w:val="00A662F1"/>
    <w:rsid w:val="00A663C8"/>
    <w:rsid w:val="00A6685C"/>
    <w:rsid w:val="00A66D47"/>
    <w:rsid w:val="00A67E07"/>
    <w:rsid w:val="00A70BC1"/>
    <w:rsid w:val="00A70FBB"/>
    <w:rsid w:val="00A7158B"/>
    <w:rsid w:val="00A71BFF"/>
    <w:rsid w:val="00A71FD5"/>
    <w:rsid w:val="00A721E5"/>
    <w:rsid w:val="00A72EFE"/>
    <w:rsid w:val="00A72F5F"/>
    <w:rsid w:val="00A73B87"/>
    <w:rsid w:val="00A74020"/>
    <w:rsid w:val="00A7471E"/>
    <w:rsid w:val="00A757D8"/>
    <w:rsid w:val="00A76143"/>
    <w:rsid w:val="00A762D2"/>
    <w:rsid w:val="00A808DB"/>
    <w:rsid w:val="00A80F05"/>
    <w:rsid w:val="00A8124B"/>
    <w:rsid w:val="00A82A13"/>
    <w:rsid w:val="00A82F77"/>
    <w:rsid w:val="00A83573"/>
    <w:rsid w:val="00A83B38"/>
    <w:rsid w:val="00A8406D"/>
    <w:rsid w:val="00A8470A"/>
    <w:rsid w:val="00A85C91"/>
    <w:rsid w:val="00A85DBB"/>
    <w:rsid w:val="00A8673E"/>
    <w:rsid w:val="00A86897"/>
    <w:rsid w:val="00A86A66"/>
    <w:rsid w:val="00A86E03"/>
    <w:rsid w:val="00A904BF"/>
    <w:rsid w:val="00A90B79"/>
    <w:rsid w:val="00A9165F"/>
    <w:rsid w:val="00A92796"/>
    <w:rsid w:val="00A92DBA"/>
    <w:rsid w:val="00A92DFF"/>
    <w:rsid w:val="00A94DE4"/>
    <w:rsid w:val="00A96208"/>
    <w:rsid w:val="00A96790"/>
    <w:rsid w:val="00A968BF"/>
    <w:rsid w:val="00A96DBE"/>
    <w:rsid w:val="00A974FE"/>
    <w:rsid w:val="00A97A06"/>
    <w:rsid w:val="00A97A6F"/>
    <w:rsid w:val="00A97F7B"/>
    <w:rsid w:val="00AA01B6"/>
    <w:rsid w:val="00AA0423"/>
    <w:rsid w:val="00AA0988"/>
    <w:rsid w:val="00AA0DD6"/>
    <w:rsid w:val="00AA14DA"/>
    <w:rsid w:val="00AA1842"/>
    <w:rsid w:val="00AA18E5"/>
    <w:rsid w:val="00AA204C"/>
    <w:rsid w:val="00AA232E"/>
    <w:rsid w:val="00AA2C85"/>
    <w:rsid w:val="00AA30A7"/>
    <w:rsid w:val="00AA3622"/>
    <w:rsid w:val="00AA3C9B"/>
    <w:rsid w:val="00AA4289"/>
    <w:rsid w:val="00AA4466"/>
    <w:rsid w:val="00AA59B8"/>
    <w:rsid w:val="00AA732C"/>
    <w:rsid w:val="00AA766F"/>
    <w:rsid w:val="00AB01D4"/>
    <w:rsid w:val="00AB1733"/>
    <w:rsid w:val="00AB2813"/>
    <w:rsid w:val="00AB2E0F"/>
    <w:rsid w:val="00AB2F0E"/>
    <w:rsid w:val="00AB35D7"/>
    <w:rsid w:val="00AB55A4"/>
    <w:rsid w:val="00AB64E0"/>
    <w:rsid w:val="00AB67CA"/>
    <w:rsid w:val="00AB786A"/>
    <w:rsid w:val="00AB7949"/>
    <w:rsid w:val="00AC0E59"/>
    <w:rsid w:val="00AC0FEC"/>
    <w:rsid w:val="00AC1C8A"/>
    <w:rsid w:val="00AC2B9E"/>
    <w:rsid w:val="00AC2F27"/>
    <w:rsid w:val="00AC3300"/>
    <w:rsid w:val="00AC3499"/>
    <w:rsid w:val="00AC3610"/>
    <w:rsid w:val="00AC3936"/>
    <w:rsid w:val="00AC4FCF"/>
    <w:rsid w:val="00AC577F"/>
    <w:rsid w:val="00AC5CC0"/>
    <w:rsid w:val="00AC5E9A"/>
    <w:rsid w:val="00AC61D3"/>
    <w:rsid w:val="00AC6301"/>
    <w:rsid w:val="00AC71AC"/>
    <w:rsid w:val="00AD0094"/>
    <w:rsid w:val="00AD1DBF"/>
    <w:rsid w:val="00AD1F75"/>
    <w:rsid w:val="00AD254F"/>
    <w:rsid w:val="00AD2B2B"/>
    <w:rsid w:val="00AD2E5B"/>
    <w:rsid w:val="00AD4FFA"/>
    <w:rsid w:val="00AD6182"/>
    <w:rsid w:val="00AD6EBF"/>
    <w:rsid w:val="00AD6F54"/>
    <w:rsid w:val="00AD7318"/>
    <w:rsid w:val="00AD7F78"/>
    <w:rsid w:val="00AE04C0"/>
    <w:rsid w:val="00AE0EE3"/>
    <w:rsid w:val="00AE19DC"/>
    <w:rsid w:val="00AE1E18"/>
    <w:rsid w:val="00AE1E37"/>
    <w:rsid w:val="00AE20F7"/>
    <w:rsid w:val="00AE265A"/>
    <w:rsid w:val="00AE27B9"/>
    <w:rsid w:val="00AE336B"/>
    <w:rsid w:val="00AE433F"/>
    <w:rsid w:val="00AE4FBD"/>
    <w:rsid w:val="00AE53F0"/>
    <w:rsid w:val="00AE6170"/>
    <w:rsid w:val="00AE6A2D"/>
    <w:rsid w:val="00AE6EC5"/>
    <w:rsid w:val="00AE7C58"/>
    <w:rsid w:val="00AF0344"/>
    <w:rsid w:val="00AF0666"/>
    <w:rsid w:val="00AF21D5"/>
    <w:rsid w:val="00AF22B6"/>
    <w:rsid w:val="00AF2D23"/>
    <w:rsid w:val="00AF2D49"/>
    <w:rsid w:val="00AF307D"/>
    <w:rsid w:val="00AF324E"/>
    <w:rsid w:val="00AF33CE"/>
    <w:rsid w:val="00AF343E"/>
    <w:rsid w:val="00AF37EA"/>
    <w:rsid w:val="00AF3B36"/>
    <w:rsid w:val="00AF3D2F"/>
    <w:rsid w:val="00AF3E71"/>
    <w:rsid w:val="00AF45CD"/>
    <w:rsid w:val="00AF4602"/>
    <w:rsid w:val="00AF4D10"/>
    <w:rsid w:val="00AF5649"/>
    <w:rsid w:val="00AF57C9"/>
    <w:rsid w:val="00AF60A1"/>
    <w:rsid w:val="00AF60D4"/>
    <w:rsid w:val="00AF61C5"/>
    <w:rsid w:val="00AF6ABA"/>
    <w:rsid w:val="00AF6C6A"/>
    <w:rsid w:val="00B0030E"/>
    <w:rsid w:val="00B00989"/>
    <w:rsid w:val="00B00E9B"/>
    <w:rsid w:val="00B030A6"/>
    <w:rsid w:val="00B03A2B"/>
    <w:rsid w:val="00B042C8"/>
    <w:rsid w:val="00B047B2"/>
    <w:rsid w:val="00B051EC"/>
    <w:rsid w:val="00B05717"/>
    <w:rsid w:val="00B058C2"/>
    <w:rsid w:val="00B05A22"/>
    <w:rsid w:val="00B05ECE"/>
    <w:rsid w:val="00B0689C"/>
    <w:rsid w:val="00B06AAD"/>
    <w:rsid w:val="00B0778A"/>
    <w:rsid w:val="00B077EB"/>
    <w:rsid w:val="00B10629"/>
    <w:rsid w:val="00B10BB5"/>
    <w:rsid w:val="00B10BFB"/>
    <w:rsid w:val="00B1104E"/>
    <w:rsid w:val="00B11BBB"/>
    <w:rsid w:val="00B11C07"/>
    <w:rsid w:val="00B124A0"/>
    <w:rsid w:val="00B12526"/>
    <w:rsid w:val="00B138FA"/>
    <w:rsid w:val="00B13E3F"/>
    <w:rsid w:val="00B13E63"/>
    <w:rsid w:val="00B14580"/>
    <w:rsid w:val="00B146B3"/>
    <w:rsid w:val="00B147C1"/>
    <w:rsid w:val="00B154CF"/>
    <w:rsid w:val="00B20106"/>
    <w:rsid w:val="00B201A5"/>
    <w:rsid w:val="00B20BD5"/>
    <w:rsid w:val="00B21703"/>
    <w:rsid w:val="00B21937"/>
    <w:rsid w:val="00B21CEA"/>
    <w:rsid w:val="00B2210B"/>
    <w:rsid w:val="00B23BF0"/>
    <w:rsid w:val="00B24302"/>
    <w:rsid w:val="00B24838"/>
    <w:rsid w:val="00B24B5F"/>
    <w:rsid w:val="00B26977"/>
    <w:rsid w:val="00B2769E"/>
    <w:rsid w:val="00B315FF"/>
    <w:rsid w:val="00B3193B"/>
    <w:rsid w:val="00B32011"/>
    <w:rsid w:val="00B33231"/>
    <w:rsid w:val="00B338EB"/>
    <w:rsid w:val="00B35096"/>
    <w:rsid w:val="00B3566F"/>
    <w:rsid w:val="00B36F67"/>
    <w:rsid w:val="00B3792F"/>
    <w:rsid w:val="00B404CB"/>
    <w:rsid w:val="00B4086E"/>
    <w:rsid w:val="00B42D95"/>
    <w:rsid w:val="00B42DFF"/>
    <w:rsid w:val="00B43284"/>
    <w:rsid w:val="00B43957"/>
    <w:rsid w:val="00B44C05"/>
    <w:rsid w:val="00B44D3F"/>
    <w:rsid w:val="00B454CC"/>
    <w:rsid w:val="00B45DF2"/>
    <w:rsid w:val="00B50633"/>
    <w:rsid w:val="00B510AE"/>
    <w:rsid w:val="00B514F9"/>
    <w:rsid w:val="00B524F8"/>
    <w:rsid w:val="00B53466"/>
    <w:rsid w:val="00B53D8A"/>
    <w:rsid w:val="00B53EAE"/>
    <w:rsid w:val="00B5580D"/>
    <w:rsid w:val="00B5599E"/>
    <w:rsid w:val="00B56B65"/>
    <w:rsid w:val="00B56EAE"/>
    <w:rsid w:val="00B60496"/>
    <w:rsid w:val="00B60B2E"/>
    <w:rsid w:val="00B619BE"/>
    <w:rsid w:val="00B61BCA"/>
    <w:rsid w:val="00B6212A"/>
    <w:rsid w:val="00B622D4"/>
    <w:rsid w:val="00B623E3"/>
    <w:rsid w:val="00B62431"/>
    <w:rsid w:val="00B62B8A"/>
    <w:rsid w:val="00B62BA4"/>
    <w:rsid w:val="00B62FAC"/>
    <w:rsid w:val="00B630E1"/>
    <w:rsid w:val="00B63279"/>
    <w:rsid w:val="00B6385D"/>
    <w:rsid w:val="00B63CC9"/>
    <w:rsid w:val="00B64071"/>
    <w:rsid w:val="00B6419A"/>
    <w:rsid w:val="00B64397"/>
    <w:rsid w:val="00B64FA4"/>
    <w:rsid w:val="00B65699"/>
    <w:rsid w:val="00B6569F"/>
    <w:rsid w:val="00B65CE1"/>
    <w:rsid w:val="00B65EDE"/>
    <w:rsid w:val="00B66517"/>
    <w:rsid w:val="00B6684D"/>
    <w:rsid w:val="00B66F5C"/>
    <w:rsid w:val="00B66FA8"/>
    <w:rsid w:val="00B7033D"/>
    <w:rsid w:val="00B70C9E"/>
    <w:rsid w:val="00B71C4A"/>
    <w:rsid w:val="00B725F0"/>
    <w:rsid w:val="00B731CF"/>
    <w:rsid w:val="00B7335F"/>
    <w:rsid w:val="00B7361E"/>
    <w:rsid w:val="00B736AA"/>
    <w:rsid w:val="00B73C47"/>
    <w:rsid w:val="00B76E7C"/>
    <w:rsid w:val="00B7785B"/>
    <w:rsid w:val="00B80BE1"/>
    <w:rsid w:val="00B8137A"/>
    <w:rsid w:val="00B81847"/>
    <w:rsid w:val="00B81928"/>
    <w:rsid w:val="00B81F19"/>
    <w:rsid w:val="00B8203C"/>
    <w:rsid w:val="00B82D69"/>
    <w:rsid w:val="00B82EB8"/>
    <w:rsid w:val="00B834ED"/>
    <w:rsid w:val="00B835DE"/>
    <w:rsid w:val="00B838E9"/>
    <w:rsid w:val="00B83F31"/>
    <w:rsid w:val="00B84533"/>
    <w:rsid w:val="00B8484C"/>
    <w:rsid w:val="00B84AB4"/>
    <w:rsid w:val="00B85135"/>
    <w:rsid w:val="00B86020"/>
    <w:rsid w:val="00B867FF"/>
    <w:rsid w:val="00B8698C"/>
    <w:rsid w:val="00B87402"/>
    <w:rsid w:val="00B87DAA"/>
    <w:rsid w:val="00B91A2E"/>
    <w:rsid w:val="00B92129"/>
    <w:rsid w:val="00B92B51"/>
    <w:rsid w:val="00B9373D"/>
    <w:rsid w:val="00B9386C"/>
    <w:rsid w:val="00B93D25"/>
    <w:rsid w:val="00B93F07"/>
    <w:rsid w:val="00B940BD"/>
    <w:rsid w:val="00B94322"/>
    <w:rsid w:val="00B94E4A"/>
    <w:rsid w:val="00BA04FD"/>
    <w:rsid w:val="00BA2C34"/>
    <w:rsid w:val="00BA31ED"/>
    <w:rsid w:val="00BA367C"/>
    <w:rsid w:val="00BA39AD"/>
    <w:rsid w:val="00BA3C9B"/>
    <w:rsid w:val="00BA4F90"/>
    <w:rsid w:val="00BA4FEB"/>
    <w:rsid w:val="00BA5314"/>
    <w:rsid w:val="00BA599D"/>
    <w:rsid w:val="00BA5F99"/>
    <w:rsid w:val="00BA615F"/>
    <w:rsid w:val="00BA7132"/>
    <w:rsid w:val="00BA7883"/>
    <w:rsid w:val="00BB02D7"/>
    <w:rsid w:val="00BB050D"/>
    <w:rsid w:val="00BB0A53"/>
    <w:rsid w:val="00BB1218"/>
    <w:rsid w:val="00BB1852"/>
    <w:rsid w:val="00BB21B2"/>
    <w:rsid w:val="00BB390C"/>
    <w:rsid w:val="00BB3BB3"/>
    <w:rsid w:val="00BB3D7D"/>
    <w:rsid w:val="00BB426A"/>
    <w:rsid w:val="00BB5190"/>
    <w:rsid w:val="00BB5F6A"/>
    <w:rsid w:val="00BB6776"/>
    <w:rsid w:val="00BB7409"/>
    <w:rsid w:val="00BB761B"/>
    <w:rsid w:val="00BC0E17"/>
    <w:rsid w:val="00BC1309"/>
    <w:rsid w:val="00BC2568"/>
    <w:rsid w:val="00BC28ED"/>
    <w:rsid w:val="00BC32D4"/>
    <w:rsid w:val="00BC37AC"/>
    <w:rsid w:val="00BC3940"/>
    <w:rsid w:val="00BC53D2"/>
    <w:rsid w:val="00BC5BD5"/>
    <w:rsid w:val="00BC72A1"/>
    <w:rsid w:val="00BD0663"/>
    <w:rsid w:val="00BD1774"/>
    <w:rsid w:val="00BD2F1D"/>
    <w:rsid w:val="00BD36C6"/>
    <w:rsid w:val="00BD387A"/>
    <w:rsid w:val="00BD3CC0"/>
    <w:rsid w:val="00BD5E99"/>
    <w:rsid w:val="00BD6644"/>
    <w:rsid w:val="00BD6EDB"/>
    <w:rsid w:val="00BD7CA1"/>
    <w:rsid w:val="00BD7D86"/>
    <w:rsid w:val="00BE031C"/>
    <w:rsid w:val="00BE21E9"/>
    <w:rsid w:val="00BE28CA"/>
    <w:rsid w:val="00BE5379"/>
    <w:rsid w:val="00BE5382"/>
    <w:rsid w:val="00BE5987"/>
    <w:rsid w:val="00BE611A"/>
    <w:rsid w:val="00BE7027"/>
    <w:rsid w:val="00BE725B"/>
    <w:rsid w:val="00BE7C22"/>
    <w:rsid w:val="00BF0279"/>
    <w:rsid w:val="00BF0994"/>
    <w:rsid w:val="00BF197E"/>
    <w:rsid w:val="00BF3E4C"/>
    <w:rsid w:val="00BF6D48"/>
    <w:rsid w:val="00BF6E15"/>
    <w:rsid w:val="00BF6F85"/>
    <w:rsid w:val="00BF71B5"/>
    <w:rsid w:val="00BF7934"/>
    <w:rsid w:val="00C0131C"/>
    <w:rsid w:val="00C0292F"/>
    <w:rsid w:val="00C0333F"/>
    <w:rsid w:val="00C04A7A"/>
    <w:rsid w:val="00C05280"/>
    <w:rsid w:val="00C067E6"/>
    <w:rsid w:val="00C06BB9"/>
    <w:rsid w:val="00C06E5D"/>
    <w:rsid w:val="00C06E6B"/>
    <w:rsid w:val="00C10843"/>
    <w:rsid w:val="00C11247"/>
    <w:rsid w:val="00C116AB"/>
    <w:rsid w:val="00C126A4"/>
    <w:rsid w:val="00C153F5"/>
    <w:rsid w:val="00C175BB"/>
    <w:rsid w:val="00C20086"/>
    <w:rsid w:val="00C227AF"/>
    <w:rsid w:val="00C24B92"/>
    <w:rsid w:val="00C24CE4"/>
    <w:rsid w:val="00C24E56"/>
    <w:rsid w:val="00C25034"/>
    <w:rsid w:val="00C2546F"/>
    <w:rsid w:val="00C2775D"/>
    <w:rsid w:val="00C30975"/>
    <w:rsid w:val="00C30C05"/>
    <w:rsid w:val="00C317F0"/>
    <w:rsid w:val="00C31FAF"/>
    <w:rsid w:val="00C3210D"/>
    <w:rsid w:val="00C32AEB"/>
    <w:rsid w:val="00C32F14"/>
    <w:rsid w:val="00C32FB6"/>
    <w:rsid w:val="00C334F6"/>
    <w:rsid w:val="00C33A61"/>
    <w:rsid w:val="00C33B57"/>
    <w:rsid w:val="00C33DD6"/>
    <w:rsid w:val="00C34712"/>
    <w:rsid w:val="00C34A09"/>
    <w:rsid w:val="00C34EB4"/>
    <w:rsid w:val="00C3523C"/>
    <w:rsid w:val="00C353C6"/>
    <w:rsid w:val="00C36EE8"/>
    <w:rsid w:val="00C373F0"/>
    <w:rsid w:val="00C3770E"/>
    <w:rsid w:val="00C37FB3"/>
    <w:rsid w:val="00C40092"/>
    <w:rsid w:val="00C4028C"/>
    <w:rsid w:val="00C4081B"/>
    <w:rsid w:val="00C420FC"/>
    <w:rsid w:val="00C4345A"/>
    <w:rsid w:val="00C43EDA"/>
    <w:rsid w:val="00C44927"/>
    <w:rsid w:val="00C4588F"/>
    <w:rsid w:val="00C458C3"/>
    <w:rsid w:val="00C459FA"/>
    <w:rsid w:val="00C45FC6"/>
    <w:rsid w:val="00C473B5"/>
    <w:rsid w:val="00C47B05"/>
    <w:rsid w:val="00C50BAC"/>
    <w:rsid w:val="00C50DE6"/>
    <w:rsid w:val="00C51C14"/>
    <w:rsid w:val="00C52C78"/>
    <w:rsid w:val="00C53099"/>
    <w:rsid w:val="00C53D08"/>
    <w:rsid w:val="00C54683"/>
    <w:rsid w:val="00C5487F"/>
    <w:rsid w:val="00C554F6"/>
    <w:rsid w:val="00C56F0B"/>
    <w:rsid w:val="00C5713E"/>
    <w:rsid w:val="00C57559"/>
    <w:rsid w:val="00C5756A"/>
    <w:rsid w:val="00C61568"/>
    <w:rsid w:val="00C617B5"/>
    <w:rsid w:val="00C61A32"/>
    <w:rsid w:val="00C61B3B"/>
    <w:rsid w:val="00C61EDC"/>
    <w:rsid w:val="00C6204C"/>
    <w:rsid w:val="00C62B3B"/>
    <w:rsid w:val="00C62BD8"/>
    <w:rsid w:val="00C6325A"/>
    <w:rsid w:val="00C63B39"/>
    <w:rsid w:val="00C64BA8"/>
    <w:rsid w:val="00C64E2F"/>
    <w:rsid w:val="00C6572A"/>
    <w:rsid w:val="00C65EE3"/>
    <w:rsid w:val="00C66DEF"/>
    <w:rsid w:val="00C66FEA"/>
    <w:rsid w:val="00C67144"/>
    <w:rsid w:val="00C67AD8"/>
    <w:rsid w:val="00C67E48"/>
    <w:rsid w:val="00C70279"/>
    <w:rsid w:val="00C709A8"/>
    <w:rsid w:val="00C70FAF"/>
    <w:rsid w:val="00C71C6C"/>
    <w:rsid w:val="00C71E55"/>
    <w:rsid w:val="00C71FBC"/>
    <w:rsid w:val="00C72B95"/>
    <w:rsid w:val="00C73105"/>
    <w:rsid w:val="00C73F5F"/>
    <w:rsid w:val="00C74702"/>
    <w:rsid w:val="00C7534F"/>
    <w:rsid w:val="00C759CB"/>
    <w:rsid w:val="00C76478"/>
    <w:rsid w:val="00C765A3"/>
    <w:rsid w:val="00C77520"/>
    <w:rsid w:val="00C7765A"/>
    <w:rsid w:val="00C8047C"/>
    <w:rsid w:val="00C805A0"/>
    <w:rsid w:val="00C808EF"/>
    <w:rsid w:val="00C80D4D"/>
    <w:rsid w:val="00C82154"/>
    <w:rsid w:val="00C82240"/>
    <w:rsid w:val="00C837BC"/>
    <w:rsid w:val="00C83C87"/>
    <w:rsid w:val="00C83D00"/>
    <w:rsid w:val="00C83DF3"/>
    <w:rsid w:val="00C8408C"/>
    <w:rsid w:val="00C84CD3"/>
    <w:rsid w:val="00C84E6F"/>
    <w:rsid w:val="00C84F7B"/>
    <w:rsid w:val="00C8504E"/>
    <w:rsid w:val="00C85C68"/>
    <w:rsid w:val="00C86445"/>
    <w:rsid w:val="00C86B87"/>
    <w:rsid w:val="00C86D96"/>
    <w:rsid w:val="00C870B2"/>
    <w:rsid w:val="00C877FC"/>
    <w:rsid w:val="00C87D0A"/>
    <w:rsid w:val="00C9004F"/>
    <w:rsid w:val="00C90E66"/>
    <w:rsid w:val="00C91208"/>
    <w:rsid w:val="00C919C3"/>
    <w:rsid w:val="00C91C61"/>
    <w:rsid w:val="00C922F4"/>
    <w:rsid w:val="00C92D3D"/>
    <w:rsid w:val="00C93389"/>
    <w:rsid w:val="00C9430F"/>
    <w:rsid w:val="00C959BD"/>
    <w:rsid w:val="00C95BA4"/>
    <w:rsid w:val="00C95C36"/>
    <w:rsid w:val="00C95E26"/>
    <w:rsid w:val="00C96020"/>
    <w:rsid w:val="00C96A3A"/>
    <w:rsid w:val="00C96CC6"/>
    <w:rsid w:val="00C97158"/>
    <w:rsid w:val="00C975D2"/>
    <w:rsid w:val="00C9765F"/>
    <w:rsid w:val="00C976F8"/>
    <w:rsid w:val="00CA01C2"/>
    <w:rsid w:val="00CA10C5"/>
    <w:rsid w:val="00CA1274"/>
    <w:rsid w:val="00CA1889"/>
    <w:rsid w:val="00CA1D7A"/>
    <w:rsid w:val="00CA2D9E"/>
    <w:rsid w:val="00CA46BB"/>
    <w:rsid w:val="00CA4AE4"/>
    <w:rsid w:val="00CA4B96"/>
    <w:rsid w:val="00CA5BD9"/>
    <w:rsid w:val="00CA6197"/>
    <w:rsid w:val="00CA778F"/>
    <w:rsid w:val="00CB1AF3"/>
    <w:rsid w:val="00CB26FA"/>
    <w:rsid w:val="00CB30E0"/>
    <w:rsid w:val="00CB550D"/>
    <w:rsid w:val="00CB5A71"/>
    <w:rsid w:val="00CB5C90"/>
    <w:rsid w:val="00CB62BA"/>
    <w:rsid w:val="00CB67F9"/>
    <w:rsid w:val="00CB6A3C"/>
    <w:rsid w:val="00CC1D63"/>
    <w:rsid w:val="00CC20DC"/>
    <w:rsid w:val="00CC427F"/>
    <w:rsid w:val="00CC43E3"/>
    <w:rsid w:val="00CC45F3"/>
    <w:rsid w:val="00CC4D14"/>
    <w:rsid w:val="00CC4F73"/>
    <w:rsid w:val="00CC5383"/>
    <w:rsid w:val="00CC5700"/>
    <w:rsid w:val="00CC5D44"/>
    <w:rsid w:val="00CC67EB"/>
    <w:rsid w:val="00CC724B"/>
    <w:rsid w:val="00CC74CB"/>
    <w:rsid w:val="00CC7A1B"/>
    <w:rsid w:val="00CC7A8E"/>
    <w:rsid w:val="00CD065F"/>
    <w:rsid w:val="00CD1829"/>
    <w:rsid w:val="00CD19F4"/>
    <w:rsid w:val="00CD1AA0"/>
    <w:rsid w:val="00CD1E6E"/>
    <w:rsid w:val="00CD2077"/>
    <w:rsid w:val="00CD23C7"/>
    <w:rsid w:val="00CD2C37"/>
    <w:rsid w:val="00CD3943"/>
    <w:rsid w:val="00CD4141"/>
    <w:rsid w:val="00CD48DE"/>
    <w:rsid w:val="00CD4A7F"/>
    <w:rsid w:val="00CD4E72"/>
    <w:rsid w:val="00CD564B"/>
    <w:rsid w:val="00CD75B2"/>
    <w:rsid w:val="00CD79F5"/>
    <w:rsid w:val="00CD7D6F"/>
    <w:rsid w:val="00CE0280"/>
    <w:rsid w:val="00CE140F"/>
    <w:rsid w:val="00CE1489"/>
    <w:rsid w:val="00CE22E5"/>
    <w:rsid w:val="00CE2351"/>
    <w:rsid w:val="00CE2611"/>
    <w:rsid w:val="00CE2BD3"/>
    <w:rsid w:val="00CE2EC6"/>
    <w:rsid w:val="00CE3382"/>
    <w:rsid w:val="00CE4448"/>
    <w:rsid w:val="00CF0C39"/>
    <w:rsid w:val="00CF0CD4"/>
    <w:rsid w:val="00CF1CEF"/>
    <w:rsid w:val="00CF26EF"/>
    <w:rsid w:val="00CF47C2"/>
    <w:rsid w:val="00CF60FF"/>
    <w:rsid w:val="00CF638D"/>
    <w:rsid w:val="00CF65B9"/>
    <w:rsid w:val="00CF6981"/>
    <w:rsid w:val="00CF7052"/>
    <w:rsid w:val="00CF7B13"/>
    <w:rsid w:val="00D001D4"/>
    <w:rsid w:val="00D015AD"/>
    <w:rsid w:val="00D018D0"/>
    <w:rsid w:val="00D01A04"/>
    <w:rsid w:val="00D01E66"/>
    <w:rsid w:val="00D04062"/>
    <w:rsid w:val="00D0412D"/>
    <w:rsid w:val="00D04520"/>
    <w:rsid w:val="00D04590"/>
    <w:rsid w:val="00D0465E"/>
    <w:rsid w:val="00D04694"/>
    <w:rsid w:val="00D04DEA"/>
    <w:rsid w:val="00D05B32"/>
    <w:rsid w:val="00D05F62"/>
    <w:rsid w:val="00D06591"/>
    <w:rsid w:val="00D06958"/>
    <w:rsid w:val="00D072FA"/>
    <w:rsid w:val="00D07B68"/>
    <w:rsid w:val="00D13D1D"/>
    <w:rsid w:val="00D13F82"/>
    <w:rsid w:val="00D14C22"/>
    <w:rsid w:val="00D16026"/>
    <w:rsid w:val="00D16F23"/>
    <w:rsid w:val="00D16FC7"/>
    <w:rsid w:val="00D17D3C"/>
    <w:rsid w:val="00D2008C"/>
    <w:rsid w:val="00D202E9"/>
    <w:rsid w:val="00D204E5"/>
    <w:rsid w:val="00D20B22"/>
    <w:rsid w:val="00D22C36"/>
    <w:rsid w:val="00D23309"/>
    <w:rsid w:val="00D23642"/>
    <w:rsid w:val="00D23BFC"/>
    <w:rsid w:val="00D24D9F"/>
    <w:rsid w:val="00D25C31"/>
    <w:rsid w:val="00D25EBE"/>
    <w:rsid w:val="00D270BE"/>
    <w:rsid w:val="00D2770D"/>
    <w:rsid w:val="00D3042D"/>
    <w:rsid w:val="00D30B18"/>
    <w:rsid w:val="00D30F75"/>
    <w:rsid w:val="00D31FB9"/>
    <w:rsid w:val="00D32475"/>
    <w:rsid w:val="00D33366"/>
    <w:rsid w:val="00D333DE"/>
    <w:rsid w:val="00D33ADA"/>
    <w:rsid w:val="00D33D9C"/>
    <w:rsid w:val="00D34CBC"/>
    <w:rsid w:val="00D35AAC"/>
    <w:rsid w:val="00D35B3B"/>
    <w:rsid w:val="00D370F9"/>
    <w:rsid w:val="00D4072B"/>
    <w:rsid w:val="00D41097"/>
    <w:rsid w:val="00D4120E"/>
    <w:rsid w:val="00D412BE"/>
    <w:rsid w:val="00D41CA1"/>
    <w:rsid w:val="00D41DA6"/>
    <w:rsid w:val="00D41DB2"/>
    <w:rsid w:val="00D42035"/>
    <w:rsid w:val="00D422AE"/>
    <w:rsid w:val="00D42BA6"/>
    <w:rsid w:val="00D44821"/>
    <w:rsid w:val="00D4642C"/>
    <w:rsid w:val="00D50142"/>
    <w:rsid w:val="00D50A46"/>
    <w:rsid w:val="00D50D55"/>
    <w:rsid w:val="00D51720"/>
    <w:rsid w:val="00D51D7D"/>
    <w:rsid w:val="00D51D80"/>
    <w:rsid w:val="00D5351E"/>
    <w:rsid w:val="00D5391C"/>
    <w:rsid w:val="00D55139"/>
    <w:rsid w:val="00D555B3"/>
    <w:rsid w:val="00D55F6E"/>
    <w:rsid w:val="00D561FF"/>
    <w:rsid w:val="00D567F4"/>
    <w:rsid w:val="00D57337"/>
    <w:rsid w:val="00D57479"/>
    <w:rsid w:val="00D57B01"/>
    <w:rsid w:val="00D60F10"/>
    <w:rsid w:val="00D60F62"/>
    <w:rsid w:val="00D61548"/>
    <w:rsid w:val="00D61E8D"/>
    <w:rsid w:val="00D61FC9"/>
    <w:rsid w:val="00D62365"/>
    <w:rsid w:val="00D6250B"/>
    <w:rsid w:val="00D6290C"/>
    <w:rsid w:val="00D635F2"/>
    <w:rsid w:val="00D637FD"/>
    <w:rsid w:val="00D63ED2"/>
    <w:rsid w:val="00D64782"/>
    <w:rsid w:val="00D656A9"/>
    <w:rsid w:val="00D65D75"/>
    <w:rsid w:val="00D661AF"/>
    <w:rsid w:val="00D665EC"/>
    <w:rsid w:val="00D67274"/>
    <w:rsid w:val="00D67EAA"/>
    <w:rsid w:val="00D706BA"/>
    <w:rsid w:val="00D70896"/>
    <w:rsid w:val="00D709CB"/>
    <w:rsid w:val="00D718EE"/>
    <w:rsid w:val="00D719FC"/>
    <w:rsid w:val="00D72254"/>
    <w:rsid w:val="00D72855"/>
    <w:rsid w:val="00D735C1"/>
    <w:rsid w:val="00D738C4"/>
    <w:rsid w:val="00D74C33"/>
    <w:rsid w:val="00D75F04"/>
    <w:rsid w:val="00D81AA5"/>
    <w:rsid w:val="00D81FF8"/>
    <w:rsid w:val="00D82490"/>
    <w:rsid w:val="00D831F1"/>
    <w:rsid w:val="00D84FEF"/>
    <w:rsid w:val="00D855FF"/>
    <w:rsid w:val="00D85CF2"/>
    <w:rsid w:val="00D86E85"/>
    <w:rsid w:val="00D872A2"/>
    <w:rsid w:val="00D87369"/>
    <w:rsid w:val="00D90EB8"/>
    <w:rsid w:val="00D919AC"/>
    <w:rsid w:val="00D91C5A"/>
    <w:rsid w:val="00D92174"/>
    <w:rsid w:val="00D928C4"/>
    <w:rsid w:val="00D92E7C"/>
    <w:rsid w:val="00D937DD"/>
    <w:rsid w:val="00D945F9"/>
    <w:rsid w:val="00D95553"/>
    <w:rsid w:val="00D95A3B"/>
    <w:rsid w:val="00D95BF6"/>
    <w:rsid w:val="00D9614C"/>
    <w:rsid w:val="00D963BD"/>
    <w:rsid w:val="00D96E8E"/>
    <w:rsid w:val="00D97859"/>
    <w:rsid w:val="00DA0640"/>
    <w:rsid w:val="00DA2001"/>
    <w:rsid w:val="00DA204C"/>
    <w:rsid w:val="00DA2DA9"/>
    <w:rsid w:val="00DA31B3"/>
    <w:rsid w:val="00DA392B"/>
    <w:rsid w:val="00DA3F87"/>
    <w:rsid w:val="00DA40BF"/>
    <w:rsid w:val="00DA417A"/>
    <w:rsid w:val="00DA439E"/>
    <w:rsid w:val="00DA4ED2"/>
    <w:rsid w:val="00DA5215"/>
    <w:rsid w:val="00DA5EC3"/>
    <w:rsid w:val="00DA6057"/>
    <w:rsid w:val="00DA6B1C"/>
    <w:rsid w:val="00DA6E50"/>
    <w:rsid w:val="00DB2367"/>
    <w:rsid w:val="00DB2575"/>
    <w:rsid w:val="00DB2847"/>
    <w:rsid w:val="00DB331E"/>
    <w:rsid w:val="00DB4C5B"/>
    <w:rsid w:val="00DB4FF5"/>
    <w:rsid w:val="00DB5D15"/>
    <w:rsid w:val="00DB6052"/>
    <w:rsid w:val="00DB665A"/>
    <w:rsid w:val="00DB6AE2"/>
    <w:rsid w:val="00DB6C4E"/>
    <w:rsid w:val="00DB712E"/>
    <w:rsid w:val="00DB7846"/>
    <w:rsid w:val="00DB7B65"/>
    <w:rsid w:val="00DB7FA6"/>
    <w:rsid w:val="00DC0B4F"/>
    <w:rsid w:val="00DC1521"/>
    <w:rsid w:val="00DC161B"/>
    <w:rsid w:val="00DC1EDA"/>
    <w:rsid w:val="00DC238C"/>
    <w:rsid w:val="00DC28DA"/>
    <w:rsid w:val="00DC321E"/>
    <w:rsid w:val="00DC3322"/>
    <w:rsid w:val="00DC33F6"/>
    <w:rsid w:val="00DC3C40"/>
    <w:rsid w:val="00DC3F09"/>
    <w:rsid w:val="00DC5F43"/>
    <w:rsid w:val="00DC6897"/>
    <w:rsid w:val="00DC6B13"/>
    <w:rsid w:val="00DC71E1"/>
    <w:rsid w:val="00DC769A"/>
    <w:rsid w:val="00DC7961"/>
    <w:rsid w:val="00DD08BB"/>
    <w:rsid w:val="00DD1EF5"/>
    <w:rsid w:val="00DD2120"/>
    <w:rsid w:val="00DD25B9"/>
    <w:rsid w:val="00DD2A57"/>
    <w:rsid w:val="00DD33BE"/>
    <w:rsid w:val="00DD42A1"/>
    <w:rsid w:val="00DD47DE"/>
    <w:rsid w:val="00DD4BD6"/>
    <w:rsid w:val="00DD4DFF"/>
    <w:rsid w:val="00DD5AB7"/>
    <w:rsid w:val="00DD6CF1"/>
    <w:rsid w:val="00DD6DB1"/>
    <w:rsid w:val="00DD72CF"/>
    <w:rsid w:val="00DD7E18"/>
    <w:rsid w:val="00DE00C8"/>
    <w:rsid w:val="00DE03A4"/>
    <w:rsid w:val="00DE03E2"/>
    <w:rsid w:val="00DE0B39"/>
    <w:rsid w:val="00DE1407"/>
    <w:rsid w:val="00DE1A26"/>
    <w:rsid w:val="00DE1DBD"/>
    <w:rsid w:val="00DE2570"/>
    <w:rsid w:val="00DE2591"/>
    <w:rsid w:val="00DE2CC0"/>
    <w:rsid w:val="00DE44C5"/>
    <w:rsid w:val="00DE52D4"/>
    <w:rsid w:val="00DE5E2A"/>
    <w:rsid w:val="00DE6C55"/>
    <w:rsid w:val="00DE6C62"/>
    <w:rsid w:val="00DE730B"/>
    <w:rsid w:val="00DE74F7"/>
    <w:rsid w:val="00DE7CB6"/>
    <w:rsid w:val="00DF013E"/>
    <w:rsid w:val="00DF0399"/>
    <w:rsid w:val="00DF0D21"/>
    <w:rsid w:val="00DF0EE9"/>
    <w:rsid w:val="00DF0F4C"/>
    <w:rsid w:val="00DF1189"/>
    <w:rsid w:val="00DF1301"/>
    <w:rsid w:val="00DF2D1C"/>
    <w:rsid w:val="00DF3D13"/>
    <w:rsid w:val="00DF403F"/>
    <w:rsid w:val="00DF4E46"/>
    <w:rsid w:val="00DF51EC"/>
    <w:rsid w:val="00DF66F6"/>
    <w:rsid w:val="00DF6F00"/>
    <w:rsid w:val="00DF724F"/>
    <w:rsid w:val="00E001C8"/>
    <w:rsid w:val="00E012BB"/>
    <w:rsid w:val="00E0324C"/>
    <w:rsid w:val="00E03FF0"/>
    <w:rsid w:val="00E047CF"/>
    <w:rsid w:val="00E0498B"/>
    <w:rsid w:val="00E05517"/>
    <w:rsid w:val="00E0598F"/>
    <w:rsid w:val="00E060D1"/>
    <w:rsid w:val="00E069AB"/>
    <w:rsid w:val="00E07664"/>
    <w:rsid w:val="00E07E1C"/>
    <w:rsid w:val="00E07FC3"/>
    <w:rsid w:val="00E117A9"/>
    <w:rsid w:val="00E11922"/>
    <w:rsid w:val="00E11B32"/>
    <w:rsid w:val="00E1246F"/>
    <w:rsid w:val="00E1290F"/>
    <w:rsid w:val="00E1343B"/>
    <w:rsid w:val="00E139CC"/>
    <w:rsid w:val="00E16F00"/>
    <w:rsid w:val="00E17B54"/>
    <w:rsid w:val="00E17FB7"/>
    <w:rsid w:val="00E21023"/>
    <w:rsid w:val="00E216FA"/>
    <w:rsid w:val="00E2178D"/>
    <w:rsid w:val="00E22627"/>
    <w:rsid w:val="00E22A08"/>
    <w:rsid w:val="00E23127"/>
    <w:rsid w:val="00E237F8"/>
    <w:rsid w:val="00E23E21"/>
    <w:rsid w:val="00E24202"/>
    <w:rsid w:val="00E24EEE"/>
    <w:rsid w:val="00E24F3E"/>
    <w:rsid w:val="00E26304"/>
    <w:rsid w:val="00E26B97"/>
    <w:rsid w:val="00E270FC"/>
    <w:rsid w:val="00E275EE"/>
    <w:rsid w:val="00E30704"/>
    <w:rsid w:val="00E30F94"/>
    <w:rsid w:val="00E31063"/>
    <w:rsid w:val="00E323A4"/>
    <w:rsid w:val="00E3552C"/>
    <w:rsid w:val="00E362C4"/>
    <w:rsid w:val="00E364B6"/>
    <w:rsid w:val="00E36A53"/>
    <w:rsid w:val="00E36E87"/>
    <w:rsid w:val="00E3753E"/>
    <w:rsid w:val="00E4038F"/>
    <w:rsid w:val="00E410BF"/>
    <w:rsid w:val="00E412B9"/>
    <w:rsid w:val="00E42464"/>
    <w:rsid w:val="00E42BFA"/>
    <w:rsid w:val="00E42D9D"/>
    <w:rsid w:val="00E44E3D"/>
    <w:rsid w:val="00E45F95"/>
    <w:rsid w:val="00E4637E"/>
    <w:rsid w:val="00E4760A"/>
    <w:rsid w:val="00E476A1"/>
    <w:rsid w:val="00E479F7"/>
    <w:rsid w:val="00E50496"/>
    <w:rsid w:val="00E50E9D"/>
    <w:rsid w:val="00E51D63"/>
    <w:rsid w:val="00E51FF1"/>
    <w:rsid w:val="00E52F87"/>
    <w:rsid w:val="00E5477D"/>
    <w:rsid w:val="00E551A7"/>
    <w:rsid w:val="00E5553D"/>
    <w:rsid w:val="00E55F42"/>
    <w:rsid w:val="00E56DC0"/>
    <w:rsid w:val="00E57582"/>
    <w:rsid w:val="00E60155"/>
    <w:rsid w:val="00E636A7"/>
    <w:rsid w:val="00E636EF"/>
    <w:rsid w:val="00E63D99"/>
    <w:rsid w:val="00E63EA9"/>
    <w:rsid w:val="00E645A0"/>
    <w:rsid w:val="00E65756"/>
    <w:rsid w:val="00E65A59"/>
    <w:rsid w:val="00E65D0D"/>
    <w:rsid w:val="00E66F96"/>
    <w:rsid w:val="00E67569"/>
    <w:rsid w:val="00E67626"/>
    <w:rsid w:val="00E67770"/>
    <w:rsid w:val="00E70770"/>
    <w:rsid w:val="00E71AED"/>
    <w:rsid w:val="00E7217C"/>
    <w:rsid w:val="00E72222"/>
    <w:rsid w:val="00E734B6"/>
    <w:rsid w:val="00E7369F"/>
    <w:rsid w:val="00E737B3"/>
    <w:rsid w:val="00E73E69"/>
    <w:rsid w:val="00E73F17"/>
    <w:rsid w:val="00E74B8B"/>
    <w:rsid w:val="00E7587C"/>
    <w:rsid w:val="00E75940"/>
    <w:rsid w:val="00E75F59"/>
    <w:rsid w:val="00E76698"/>
    <w:rsid w:val="00E76861"/>
    <w:rsid w:val="00E76B7B"/>
    <w:rsid w:val="00E77012"/>
    <w:rsid w:val="00E77B65"/>
    <w:rsid w:val="00E80191"/>
    <w:rsid w:val="00E80DCF"/>
    <w:rsid w:val="00E81AB1"/>
    <w:rsid w:val="00E81BA5"/>
    <w:rsid w:val="00E81DF0"/>
    <w:rsid w:val="00E8295C"/>
    <w:rsid w:val="00E83D0D"/>
    <w:rsid w:val="00E8528C"/>
    <w:rsid w:val="00E85711"/>
    <w:rsid w:val="00E85A55"/>
    <w:rsid w:val="00E86837"/>
    <w:rsid w:val="00E86D5A"/>
    <w:rsid w:val="00E87775"/>
    <w:rsid w:val="00E877A7"/>
    <w:rsid w:val="00E879D5"/>
    <w:rsid w:val="00E9023B"/>
    <w:rsid w:val="00E914A9"/>
    <w:rsid w:val="00E91528"/>
    <w:rsid w:val="00E91A57"/>
    <w:rsid w:val="00E91F1A"/>
    <w:rsid w:val="00E92890"/>
    <w:rsid w:val="00E92D98"/>
    <w:rsid w:val="00E930E7"/>
    <w:rsid w:val="00E9423A"/>
    <w:rsid w:val="00E942F6"/>
    <w:rsid w:val="00E94F52"/>
    <w:rsid w:val="00E9585B"/>
    <w:rsid w:val="00E959FC"/>
    <w:rsid w:val="00E971DF"/>
    <w:rsid w:val="00E973E7"/>
    <w:rsid w:val="00E9770A"/>
    <w:rsid w:val="00E97AF0"/>
    <w:rsid w:val="00EA070F"/>
    <w:rsid w:val="00EA0D5A"/>
    <w:rsid w:val="00EA1C52"/>
    <w:rsid w:val="00EA1EBD"/>
    <w:rsid w:val="00EA1F22"/>
    <w:rsid w:val="00EA2F0D"/>
    <w:rsid w:val="00EA3CEC"/>
    <w:rsid w:val="00EA3EE5"/>
    <w:rsid w:val="00EA5BDE"/>
    <w:rsid w:val="00EA5DF4"/>
    <w:rsid w:val="00EA62D5"/>
    <w:rsid w:val="00EA7241"/>
    <w:rsid w:val="00EA764B"/>
    <w:rsid w:val="00EA784A"/>
    <w:rsid w:val="00EB01C2"/>
    <w:rsid w:val="00EB0229"/>
    <w:rsid w:val="00EB0310"/>
    <w:rsid w:val="00EB0BDC"/>
    <w:rsid w:val="00EB11A3"/>
    <w:rsid w:val="00EB1C29"/>
    <w:rsid w:val="00EB1F69"/>
    <w:rsid w:val="00EB26FF"/>
    <w:rsid w:val="00EB35E4"/>
    <w:rsid w:val="00EB4A82"/>
    <w:rsid w:val="00EB525F"/>
    <w:rsid w:val="00EB5348"/>
    <w:rsid w:val="00EB5BE5"/>
    <w:rsid w:val="00EB65C9"/>
    <w:rsid w:val="00EB716A"/>
    <w:rsid w:val="00EB7376"/>
    <w:rsid w:val="00EB77C8"/>
    <w:rsid w:val="00EB7C81"/>
    <w:rsid w:val="00EC006D"/>
    <w:rsid w:val="00EC0088"/>
    <w:rsid w:val="00EC126B"/>
    <w:rsid w:val="00EC1541"/>
    <w:rsid w:val="00EC1E88"/>
    <w:rsid w:val="00EC22FC"/>
    <w:rsid w:val="00EC2B98"/>
    <w:rsid w:val="00EC324D"/>
    <w:rsid w:val="00EC468E"/>
    <w:rsid w:val="00EC5137"/>
    <w:rsid w:val="00EC60A7"/>
    <w:rsid w:val="00EC6660"/>
    <w:rsid w:val="00EC6F4E"/>
    <w:rsid w:val="00EC796F"/>
    <w:rsid w:val="00ED1A33"/>
    <w:rsid w:val="00ED2822"/>
    <w:rsid w:val="00ED2D93"/>
    <w:rsid w:val="00ED2EA9"/>
    <w:rsid w:val="00ED3099"/>
    <w:rsid w:val="00ED35F4"/>
    <w:rsid w:val="00ED3754"/>
    <w:rsid w:val="00ED3D00"/>
    <w:rsid w:val="00ED5806"/>
    <w:rsid w:val="00EE00D5"/>
    <w:rsid w:val="00EE0D20"/>
    <w:rsid w:val="00EE1C5C"/>
    <w:rsid w:val="00EE2196"/>
    <w:rsid w:val="00EE40DE"/>
    <w:rsid w:val="00EE4FEF"/>
    <w:rsid w:val="00EE64F4"/>
    <w:rsid w:val="00EE76B4"/>
    <w:rsid w:val="00EE7CC0"/>
    <w:rsid w:val="00EF03CA"/>
    <w:rsid w:val="00EF0613"/>
    <w:rsid w:val="00EF06BA"/>
    <w:rsid w:val="00EF10BF"/>
    <w:rsid w:val="00EF2105"/>
    <w:rsid w:val="00EF214F"/>
    <w:rsid w:val="00EF2363"/>
    <w:rsid w:val="00EF2667"/>
    <w:rsid w:val="00EF2B8D"/>
    <w:rsid w:val="00EF3E1C"/>
    <w:rsid w:val="00EF534B"/>
    <w:rsid w:val="00EF5641"/>
    <w:rsid w:val="00EF60C8"/>
    <w:rsid w:val="00EF621A"/>
    <w:rsid w:val="00EF646D"/>
    <w:rsid w:val="00EF6847"/>
    <w:rsid w:val="00EF6D79"/>
    <w:rsid w:val="00EF751E"/>
    <w:rsid w:val="00F004D6"/>
    <w:rsid w:val="00F00AA2"/>
    <w:rsid w:val="00F020C1"/>
    <w:rsid w:val="00F021AB"/>
    <w:rsid w:val="00F03B2F"/>
    <w:rsid w:val="00F03F11"/>
    <w:rsid w:val="00F0403B"/>
    <w:rsid w:val="00F04F1E"/>
    <w:rsid w:val="00F05A76"/>
    <w:rsid w:val="00F05CD9"/>
    <w:rsid w:val="00F060EC"/>
    <w:rsid w:val="00F06279"/>
    <w:rsid w:val="00F06CC0"/>
    <w:rsid w:val="00F07171"/>
    <w:rsid w:val="00F073C7"/>
    <w:rsid w:val="00F07868"/>
    <w:rsid w:val="00F07D69"/>
    <w:rsid w:val="00F107A1"/>
    <w:rsid w:val="00F10AB4"/>
    <w:rsid w:val="00F10F67"/>
    <w:rsid w:val="00F11082"/>
    <w:rsid w:val="00F116E8"/>
    <w:rsid w:val="00F124AE"/>
    <w:rsid w:val="00F128DC"/>
    <w:rsid w:val="00F12BBE"/>
    <w:rsid w:val="00F13C85"/>
    <w:rsid w:val="00F14366"/>
    <w:rsid w:val="00F14DD5"/>
    <w:rsid w:val="00F15A3A"/>
    <w:rsid w:val="00F15DF4"/>
    <w:rsid w:val="00F1620D"/>
    <w:rsid w:val="00F168BB"/>
    <w:rsid w:val="00F1695F"/>
    <w:rsid w:val="00F2025B"/>
    <w:rsid w:val="00F20472"/>
    <w:rsid w:val="00F206E4"/>
    <w:rsid w:val="00F20C81"/>
    <w:rsid w:val="00F20CBD"/>
    <w:rsid w:val="00F2195F"/>
    <w:rsid w:val="00F2506F"/>
    <w:rsid w:val="00F251BC"/>
    <w:rsid w:val="00F253AC"/>
    <w:rsid w:val="00F253DA"/>
    <w:rsid w:val="00F255DB"/>
    <w:rsid w:val="00F25C32"/>
    <w:rsid w:val="00F25E05"/>
    <w:rsid w:val="00F27FB5"/>
    <w:rsid w:val="00F32067"/>
    <w:rsid w:val="00F32A3F"/>
    <w:rsid w:val="00F32DBA"/>
    <w:rsid w:val="00F33403"/>
    <w:rsid w:val="00F3349E"/>
    <w:rsid w:val="00F33C90"/>
    <w:rsid w:val="00F33F71"/>
    <w:rsid w:val="00F3534B"/>
    <w:rsid w:val="00F355B4"/>
    <w:rsid w:val="00F355FF"/>
    <w:rsid w:val="00F35819"/>
    <w:rsid w:val="00F3625A"/>
    <w:rsid w:val="00F3630D"/>
    <w:rsid w:val="00F36371"/>
    <w:rsid w:val="00F36642"/>
    <w:rsid w:val="00F37488"/>
    <w:rsid w:val="00F40786"/>
    <w:rsid w:val="00F430CA"/>
    <w:rsid w:val="00F431B8"/>
    <w:rsid w:val="00F44889"/>
    <w:rsid w:val="00F45291"/>
    <w:rsid w:val="00F45711"/>
    <w:rsid w:val="00F4788F"/>
    <w:rsid w:val="00F50B62"/>
    <w:rsid w:val="00F50C53"/>
    <w:rsid w:val="00F50EC1"/>
    <w:rsid w:val="00F51126"/>
    <w:rsid w:val="00F528A7"/>
    <w:rsid w:val="00F52FFE"/>
    <w:rsid w:val="00F54165"/>
    <w:rsid w:val="00F5463E"/>
    <w:rsid w:val="00F54B6C"/>
    <w:rsid w:val="00F54B87"/>
    <w:rsid w:val="00F55658"/>
    <w:rsid w:val="00F56191"/>
    <w:rsid w:val="00F56673"/>
    <w:rsid w:val="00F56D4F"/>
    <w:rsid w:val="00F60494"/>
    <w:rsid w:val="00F60518"/>
    <w:rsid w:val="00F60E0E"/>
    <w:rsid w:val="00F62040"/>
    <w:rsid w:val="00F627D6"/>
    <w:rsid w:val="00F629E1"/>
    <w:rsid w:val="00F63FE1"/>
    <w:rsid w:val="00F640E7"/>
    <w:rsid w:val="00F64F27"/>
    <w:rsid w:val="00F65B5E"/>
    <w:rsid w:val="00F661A0"/>
    <w:rsid w:val="00F66DA6"/>
    <w:rsid w:val="00F66DBD"/>
    <w:rsid w:val="00F701A8"/>
    <w:rsid w:val="00F70C17"/>
    <w:rsid w:val="00F70F04"/>
    <w:rsid w:val="00F714B7"/>
    <w:rsid w:val="00F73E66"/>
    <w:rsid w:val="00F7489A"/>
    <w:rsid w:val="00F7659F"/>
    <w:rsid w:val="00F76662"/>
    <w:rsid w:val="00F76769"/>
    <w:rsid w:val="00F7764B"/>
    <w:rsid w:val="00F778D4"/>
    <w:rsid w:val="00F8155F"/>
    <w:rsid w:val="00F81C98"/>
    <w:rsid w:val="00F81CEC"/>
    <w:rsid w:val="00F81F3E"/>
    <w:rsid w:val="00F84359"/>
    <w:rsid w:val="00F84F57"/>
    <w:rsid w:val="00F85383"/>
    <w:rsid w:val="00F87AFD"/>
    <w:rsid w:val="00F87E0B"/>
    <w:rsid w:val="00F87F9F"/>
    <w:rsid w:val="00F900A6"/>
    <w:rsid w:val="00F911E6"/>
    <w:rsid w:val="00F91587"/>
    <w:rsid w:val="00F92C59"/>
    <w:rsid w:val="00F92EAD"/>
    <w:rsid w:val="00F931EB"/>
    <w:rsid w:val="00F9345F"/>
    <w:rsid w:val="00F95281"/>
    <w:rsid w:val="00F9562D"/>
    <w:rsid w:val="00F9597F"/>
    <w:rsid w:val="00F96C00"/>
    <w:rsid w:val="00F97560"/>
    <w:rsid w:val="00FA08B1"/>
    <w:rsid w:val="00FA0B5B"/>
    <w:rsid w:val="00FA142C"/>
    <w:rsid w:val="00FA1BC0"/>
    <w:rsid w:val="00FA20C6"/>
    <w:rsid w:val="00FA26C8"/>
    <w:rsid w:val="00FA2BF5"/>
    <w:rsid w:val="00FA30AC"/>
    <w:rsid w:val="00FA4260"/>
    <w:rsid w:val="00FA599C"/>
    <w:rsid w:val="00FA5AB9"/>
    <w:rsid w:val="00FA5B22"/>
    <w:rsid w:val="00FA6557"/>
    <w:rsid w:val="00FB00F3"/>
    <w:rsid w:val="00FB020A"/>
    <w:rsid w:val="00FB1924"/>
    <w:rsid w:val="00FB1B08"/>
    <w:rsid w:val="00FB1BFA"/>
    <w:rsid w:val="00FB1F45"/>
    <w:rsid w:val="00FB2635"/>
    <w:rsid w:val="00FB29ED"/>
    <w:rsid w:val="00FB2B38"/>
    <w:rsid w:val="00FB30B3"/>
    <w:rsid w:val="00FB410A"/>
    <w:rsid w:val="00FB41C1"/>
    <w:rsid w:val="00FB4CD3"/>
    <w:rsid w:val="00FB6800"/>
    <w:rsid w:val="00FB6B47"/>
    <w:rsid w:val="00FB6D17"/>
    <w:rsid w:val="00FC0B14"/>
    <w:rsid w:val="00FC0CCC"/>
    <w:rsid w:val="00FC0D2D"/>
    <w:rsid w:val="00FC1A0F"/>
    <w:rsid w:val="00FC1C07"/>
    <w:rsid w:val="00FC2170"/>
    <w:rsid w:val="00FC2227"/>
    <w:rsid w:val="00FC2E48"/>
    <w:rsid w:val="00FC35CB"/>
    <w:rsid w:val="00FC3D90"/>
    <w:rsid w:val="00FC56AF"/>
    <w:rsid w:val="00FC609A"/>
    <w:rsid w:val="00FC60C9"/>
    <w:rsid w:val="00FC6314"/>
    <w:rsid w:val="00FC725F"/>
    <w:rsid w:val="00FC7328"/>
    <w:rsid w:val="00FC7852"/>
    <w:rsid w:val="00FC7AAA"/>
    <w:rsid w:val="00FC7F2A"/>
    <w:rsid w:val="00FD031E"/>
    <w:rsid w:val="00FD0E17"/>
    <w:rsid w:val="00FD1845"/>
    <w:rsid w:val="00FD19E7"/>
    <w:rsid w:val="00FD228C"/>
    <w:rsid w:val="00FD244F"/>
    <w:rsid w:val="00FD307E"/>
    <w:rsid w:val="00FD4633"/>
    <w:rsid w:val="00FD4963"/>
    <w:rsid w:val="00FD50D4"/>
    <w:rsid w:val="00FD5AB3"/>
    <w:rsid w:val="00FD5CB9"/>
    <w:rsid w:val="00FD5F44"/>
    <w:rsid w:val="00FD67DF"/>
    <w:rsid w:val="00FD699B"/>
    <w:rsid w:val="00FD7141"/>
    <w:rsid w:val="00FE005E"/>
    <w:rsid w:val="00FE01CE"/>
    <w:rsid w:val="00FE06D2"/>
    <w:rsid w:val="00FE1E2E"/>
    <w:rsid w:val="00FE27FF"/>
    <w:rsid w:val="00FE2FD5"/>
    <w:rsid w:val="00FE330C"/>
    <w:rsid w:val="00FE3A31"/>
    <w:rsid w:val="00FE4601"/>
    <w:rsid w:val="00FE49F2"/>
    <w:rsid w:val="00FE4CF2"/>
    <w:rsid w:val="00FE7064"/>
    <w:rsid w:val="00FE789F"/>
    <w:rsid w:val="00FE790A"/>
    <w:rsid w:val="00FF07D7"/>
    <w:rsid w:val="00FF1E9F"/>
    <w:rsid w:val="00FF32B9"/>
    <w:rsid w:val="00FF41E9"/>
    <w:rsid w:val="00FF5A02"/>
    <w:rsid w:val="00FF603B"/>
    <w:rsid w:val="00FF6875"/>
    <w:rsid w:val="00FF72B0"/>
    <w:rsid w:val="00FF7782"/>
    <w:rsid w:val="00FF7EE1"/>
    <w:rsid w:val="540A7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99"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qFormat/>
    <w:locked/>
    <w:uiPriority w:val="0"/>
    <w:pPr>
      <w:adjustRightInd w:val="0"/>
      <w:snapToGrid w:val="0"/>
      <w:spacing w:beforeLines="50" w:afterLines="50"/>
      <w:ind w:firstLine="643" w:firstLineChars="200"/>
      <w:outlineLvl w:val="1"/>
    </w:pPr>
    <w:rPr>
      <w:rFonts w:ascii="楷体" w:hAnsi="楷体" w:eastAsia="楷体"/>
      <w:b/>
      <w:kern w:val="0"/>
      <w:sz w:val="32"/>
      <w:szCs w:val="32"/>
    </w:rPr>
  </w:style>
  <w:style w:type="character" w:default="1" w:styleId="14">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qFormat/>
    <w:uiPriority w:val="99"/>
    <w:rPr>
      <w:rFonts w:ascii="Calibri Light" w:hAnsi="Calibri Light" w:eastAsia="黑体"/>
      <w:sz w:val="20"/>
      <w:szCs w:val="20"/>
    </w:rPr>
  </w:style>
  <w:style w:type="paragraph" w:styleId="4">
    <w:name w:val="annotation text"/>
    <w:basedOn w:val="1"/>
    <w:link w:val="24"/>
    <w:semiHidden/>
    <w:uiPriority w:val="99"/>
    <w:pPr>
      <w:jc w:val="left"/>
    </w:pPr>
  </w:style>
  <w:style w:type="paragraph" w:styleId="5">
    <w:name w:val="Balloon Text"/>
    <w:basedOn w:val="1"/>
    <w:link w:val="20"/>
    <w:semiHidden/>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7"/>
    <w:semiHidden/>
    <w:uiPriority w:val="99"/>
    <w:pPr>
      <w:snapToGrid w:val="0"/>
      <w:jc w:val="left"/>
    </w:pPr>
    <w:rPr>
      <w:kern w:val="0"/>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6"/>
    <w:semiHidden/>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3">
    <w:name w:val="Light Grid Accent 5"/>
    <w:basedOn w:val="11"/>
    <w:uiPriority w:val="99"/>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pPr>
      <w:rPr>
        <w:rFonts w:ascii="Times New Roman" w:hAnsi="Times New Roman" w:eastAsia="宋体" w:cs="Times New Roman"/>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Times New Roman" w:hAnsi="Times New Roman" w:eastAsia="宋体"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15">
    <w:name w:val="annotation reference"/>
    <w:semiHidden/>
    <w:uiPriority w:val="99"/>
    <w:rPr>
      <w:rFonts w:cs="Times New Roman"/>
      <w:sz w:val="21"/>
      <w:szCs w:val="21"/>
    </w:rPr>
  </w:style>
  <w:style w:type="character" w:styleId="16">
    <w:name w:val="footnote reference"/>
    <w:semiHidden/>
    <w:uiPriority w:val="99"/>
    <w:rPr>
      <w:rFonts w:cs="Times New Roman"/>
      <w:vertAlign w:val="superscript"/>
    </w:rPr>
  </w:style>
  <w:style w:type="character" w:customStyle="1" w:styleId="17">
    <w:name w:val="页眉 Char"/>
    <w:link w:val="7"/>
    <w:locked/>
    <w:uiPriority w:val="99"/>
    <w:rPr>
      <w:rFonts w:cs="Times New Roman"/>
      <w:sz w:val="18"/>
      <w:szCs w:val="18"/>
    </w:rPr>
  </w:style>
  <w:style w:type="paragraph" w:styleId="18">
    <w:name w:val="List Paragraph"/>
    <w:basedOn w:val="1"/>
    <w:qFormat/>
    <w:uiPriority w:val="34"/>
    <w:pPr>
      <w:ind w:firstLine="420" w:firstLineChars="200"/>
    </w:pPr>
  </w:style>
  <w:style w:type="character" w:customStyle="1" w:styleId="19">
    <w:name w:val="页脚 Char"/>
    <w:link w:val="6"/>
    <w:locked/>
    <w:uiPriority w:val="99"/>
    <w:rPr>
      <w:rFonts w:cs="Times New Roman"/>
      <w:sz w:val="18"/>
      <w:szCs w:val="18"/>
    </w:rPr>
  </w:style>
  <w:style w:type="character" w:customStyle="1" w:styleId="20">
    <w:name w:val="批注框文本 Char"/>
    <w:link w:val="5"/>
    <w:semiHidden/>
    <w:locked/>
    <w:uiPriority w:val="99"/>
    <w:rPr>
      <w:rFonts w:ascii="Calibri" w:hAnsi="Calibri" w:eastAsia="宋体" w:cs="Times New Roman"/>
      <w:sz w:val="18"/>
      <w:szCs w:val="18"/>
    </w:rPr>
  </w:style>
  <w:style w:type="table" w:customStyle="1" w:styleId="21">
    <w:name w:val="浅色底纹 - 强调文字颜色 11"/>
    <w:uiPriority w:val="99"/>
    <w:rPr>
      <w:color w:val="365F91"/>
    </w:rPr>
    <w:tblPr>
      <w:tblBorders>
        <w:top w:val="single" w:color="4F81BD" w:sz="8" w:space="0"/>
        <w:bottom w:val="single" w:color="4F81BD" w:sz="8" w:space="0"/>
      </w:tblBorders>
      <w:tblLayout w:type="fixed"/>
      <w:tblCellMar>
        <w:top w:w="0" w:type="dxa"/>
        <w:left w:w="108" w:type="dxa"/>
        <w:bottom w:w="0" w:type="dxa"/>
        <w:right w:w="108" w:type="dxa"/>
      </w:tblCellMar>
    </w:tblPr>
  </w:style>
  <w:style w:type="table" w:customStyle="1" w:styleId="22">
    <w:name w:val="网格型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
    <w:name w:val="中等深浅底纹 11"/>
    <w:uiPriority w:val="99"/>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style>
  <w:style w:type="character" w:customStyle="1" w:styleId="24">
    <w:name w:val="批注文字 Char"/>
    <w:link w:val="4"/>
    <w:semiHidden/>
    <w:locked/>
    <w:uiPriority w:val="99"/>
    <w:rPr>
      <w:rFonts w:cs="Times New Roman"/>
    </w:rPr>
  </w:style>
  <w:style w:type="paragraph" w:customStyle="1" w:styleId="25">
    <w:name w:val="Revision"/>
    <w:hidden/>
    <w:semiHidden/>
    <w:uiPriority w:val="99"/>
    <w:rPr>
      <w:rFonts w:ascii="Calibri" w:hAnsi="Calibri" w:eastAsia="宋体" w:cs="Times New Roman"/>
      <w:kern w:val="2"/>
      <w:sz w:val="21"/>
      <w:szCs w:val="22"/>
      <w:lang w:val="en-US" w:eastAsia="zh-CN" w:bidi="ar-SA"/>
    </w:rPr>
  </w:style>
  <w:style w:type="character" w:customStyle="1" w:styleId="26">
    <w:name w:val="批注主题 Char"/>
    <w:link w:val="10"/>
    <w:semiHidden/>
    <w:locked/>
    <w:uiPriority w:val="99"/>
    <w:rPr>
      <w:rFonts w:cs="Times New Roman"/>
      <w:b/>
      <w:bCs/>
    </w:rPr>
  </w:style>
  <w:style w:type="character" w:customStyle="1" w:styleId="27">
    <w:name w:val="脚注文本 Char"/>
    <w:link w:val="8"/>
    <w:semiHidden/>
    <w:uiPriority w:val="99"/>
    <w:rPr>
      <w:sz w:val="18"/>
      <w:szCs w:val="18"/>
    </w:rPr>
  </w:style>
  <w:style w:type="character" w:customStyle="1" w:styleId="28">
    <w:name w:val="标题 2 Char"/>
    <w:link w:val="2"/>
    <w:uiPriority w:val="0"/>
    <w:rPr>
      <w:rFonts w:ascii="楷体" w:hAnsi="楷体" w:eastAsia="楷体"/>
      <w:b/>
      <w:sz w:val="32"/>
      <w:szCs w:val="32"/>
    </w:rPr>
  </w:style>
  <w:style w:type="table" w:customStyle="1" w:styleId="29">
    <w:name w:val="网格型21"/>
    <w:basedOn w:val="11"/>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0">
    <w:name w:val="网格型2"/>
    <w:basedOn w:val="11"/>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D54CE-62E4-42C5-A809-5C261B3F821B}">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2506</Words>
  <Characters>14290</Characters>
  <Lines>119</Lines>
  <Paragraphs>33</Paragraphs>
  <TotalTime>31</TotalTime>
  <ScaleCrop>false</ScaleCrop>
  <LinksUpToDate>false</LinksUpToDate>
  <CharactersWithSpaces>16763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2019-12-04T09:21:00Z</dcterms:created>
  <dc:creator>lenovo</dc:creator>
  <cp:lastModifiedBy>陈麒宇</cp:lastModifiedBy>
  <cp:lastPrinted>2019-12-04T09:38:00Z</cp:lastPrinted>
  <dcterms:modified xsi:type="dcterms:W3CDTF">2022-04-27T11:33:35Z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