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《光明区城市更新和土地整备“十四五”规划（征求意见稿）》</w:t>
      </w:r>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社会</w:t>
      </w:r>
      <w:r>
        <w:rPr>
          <w:rFonts w:hint="eastAsia" w:asciiTheme="majorEastAsia" w:hAnsiTheme="majorEastAsia" w:eastAsiaTheme="majorEastAsia" w:cstheme="majorEastAsia"/>
          <w:sz w:val="44"/>
          <w:szCs w:val="44"/>
        </w:rPr>
        <w:t>公众意见征集</w:t>
      </w:r>
      <w:r>
        <w:rPr>
          <w:rFonts w:hint="eastAsia" w:asciiTheme="majorEastAsia" w:hAnsiTheme="majorEastAsia" w:eastAsiaTheme="majorEastAsia" w:cstheme="majorEastAsia"/>
          <w:sz w:val="44"/>
          <w:szCs w:val="44"/>
          <w:lang w:eastAsia="zh-CN"/>
        </w:rPr>
        <w:t>及采纳情况</w:t>
      </w:r>
      <w:r>
        <w:rPr>
          <w:rFonts w:hint="eastAsia" w:asciiTheme="majorEastAsia" w:hAnsiTheme="majorEastAsia" w:eastAsiaTheme="majorEastAsia" w:cstheme="majorEastAsia"/>
          <w:sz w:val="44"/>
          <w:szCs w:val="44"/>
        </w:rPr>
        <w:t>表</w:t>
      </w:r>
    </w:p>
    <w:p>
      <w:pPr>
        <w:spacing w:line="560" w:lineRule="exact"/>
        <w:jc w:val="center"/>
        <w:rPr>
          <w:rFonts w:ascii="方正小标宋简体" w:eastAsia="方正小标宋简体"/>
          <w:sz w:val="44"/>
          <w:szCs w:val="44"/>
        </w:rPr>
      </w:pPr>
    </w:p>
    <w:tbl>
      <w:tblPr>
        <w:tblStyle w:val="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1951"/>
        <w:gridCol w:w="2006"/>
        <w:gridCol w:w="4318"/>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7" w:type="dxa"/>
            <w:noWrap w:val="0"/>
            <w:vAlign w:val="center"/>
          </w:tcPr>
          <w:p>
            <w:pPr>
              <w:spacing w:line="360" w:lineRule="exact"/>
              <w:jc w:val="left"/>
              <w:rPr>
                <w:rFonts w:ascii="仿宋_GB2312" w:eastAsia="仿宋_GB2312"/>
                <w:sz w:val="28"/>
                <w:szCs w:val="28"/>
              </w:rPr>
            </w:pPr>
            <w:r>
              <w:rPr>
                <w:rFonts w:hint="eastAsia" w:ascii="仿宋_GB2312" w:eastAsia="仿宋_GB2312"/>
                <w:sz w:val="28"/>
                <w:szCs w:val="28"/>
              </w:rPr>
              <w:t>序号</w:t>
            </w:r>
          </w:p>
        </w:tc>
        <w:tc>
          <w:tcPr>
            <w:tcW w:w="1951" w:type="dxa"/>
            <w:noWrap w:val="0"/>
            <w:vAlign w:val="center"/>
          </w:tcPr>
          <w:p>
            <w:pPr>
              <w:spacing w:line="360" w:lineRule="exact"/>
              <w:ind w:left="280" w:hanging="280" w:hangingChars="100"/>
              <w:jc w:val="left"/>
              <w:rPr>
                <w:rFonts w:ascii="仿宋_GB2312" w:eastAsia="仿宋_GB2312"/>
                <w:sz w:val="28"/>
                <w:szCs w:val="28"/>
              </w:rPr>
            </w:pPr>
            <w:r>
              <w:rPr>
                <w:rFonts w:hint="eastAsia" w:ascii="仿宋_GB2312" w:eastAsia="仿宋_GB2312"/>
                <w:sz w:val="28"/>
                <w:szCs w:val="28"/>
              </w:rPr>
              <w:t>反馈人姓</w:t>
            </w:r>
            <w:r>
              <w:rPr>
                <w:rFonts w:hint="eastAsia" w:ascii="仿宋_GB2312" w:eastAsia="仿宋_GB2312"/>
                <w:sz w:val="28"/>
                <w:szCs w:val="28"/>
                <w:lang w:eastAsia="zh-CN"/>
              </w:rPr>
              <w:t>名</w:t>
            </w:r>
            <w:r>
              <w:rPr>
                <w:rFonts w:hint="eastAsia" w:ascii="仿宋_GB2312" w:eastAsia="仿宋_GB2312"/>
                <w:sz w:val="28"/>
                <w:szCs w:val="28"/>
              </w:rPr>
              <w:t>（单位）</w:t>
            </w:r>
          </w:p>
        </w:tc>
        <w:tc>
          <w:tcPr>
            <w:tcW w:w="2006" w:type="dxa"/>
            <w:noWrap w:val="0"/>
            <w:vAlign w:val="center"/>
          </w:tcPr>
          <w:p>
            <w:pPr>
              <w:spacing w:line="360" w:lineRule="exact"/>
              <w:ind w:firstLine="280" w:firstLineChars="100"/>
              <w:jc w:val="left"/>
              <w:rPr>
                <w:rFonts w:hint="eastAsia" w:ascii="仿宋_GB2312" w:eastAsia="仿宋_GB2312"/>
                <w:sz w:val="28"/>
                <w:szCs w:val="28"/>
              </w:rPr>
            </w:pPr>
          </w:p>
          <w:p>
            <w:pPr>
              <w:spacing w:line="360" w:lineRule="exact"/>
              <w:ind w:firstLine="280" w:firstLineChars="100"/>
              <w:jc w:val="left"/>
              <w:rPr>
                <w:rFonts w:ascii="仿宋_GB2312" w:eastAsia="仿宋_GB2312"/>
                <w:sz w:val="28"/>
                <w:szCs w:val="28"/>
              </w:rPr>
            </w:pPr>
            <w:r>
              <w:rPr>
                <w:rFonts w:hint="eastAsia" w:ascii="仿宋_GB2312" w:eastAsia="仿宋_GB2312"/>
                <w:sz w:val="28"/>
                <w:szCs w:val="28"/>
              </w:rPr>
              <w:t>反馈方式</w:t>
            </w:r>
          </w:p>
          <w:p>
            <w:pPr>
              <w:spacing w:line="360" w:lineRule="exact"/>
              <w:jc w:val="left"/>
              <w:rPr>
                <w:rFonts w:ascii="仿宋_GB2312" w:eastAsia="仿宋_GB2312"/>
                <w:sz w:val="28"/>
                <w:szCs w:val="28"/>
              </w:rPr>
            </w:pPr>
          </w:p>
        </w:tc>
        <w:tc>
          <w:tcPr>
            <w:tcW w:w="4318" w:type="dxa"/>
            <w:noWrap w:val="0"/>
            <w:vAlign w:val="center"/>
          </w:tcPr>
          <w:p>
            <w:pPr>
              <w:spacing w:line="360" w:lineRule="exact"/>
              <w:ind w:firstLine="1400" w:firstLineChars="500"/>
              <w:jc w:val="left"/>
              <w:rPr>
                <w:rFonts w:ascii="仿宋_GB2312" w:eastAsia="仿宋_GB2312"/>
                <w:sz w:val="28"/>
                <w:szCs w:val="28"/>
              </w:rPr>
            </w:pPr>
            <w:r>
              <w:rPr>
                <w:rFonts w:hint="eastAsia" w:ascii="仿宋_GB2312" w:eastAsia="仿宋_GB2312"/>
                <w:sz w:val="28"/>
                <w:szCs w:val="28"/>
              </w:rPr>
              <w:t>反馈意见</w:t>
            </w:r>
          </w:p>
        </w:tc>
        <w:tc>
          <w:tcPr>
            <w:tcW w:w="4962" w:type="dxa"/>
            <w:noWrap w:val="0"/>
            <w:vAlign w:val="center"/>
          </w:tcPr>
          <w:p>
            <w:pPr>
              <w:spacing w:line="36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4" w:hRule="atLeast"/>
        </w:trPr>
        <w:tc>
          <w:tcPr>
            <w:tcW w:w="937" w:type="dxa"/>
            <w:noWrap w:val="0"/>
            <w:vAlign w:val="center"/>
          </w:tcPr>
          <w:p>
            <w:pPr>
              <w:spacing w:line="300" w:lineRule="exact"/>
              <w:ind w:firstLine="240" w:firstLineChars="100"/>
              <w:jc w:val="both"/>
              <w:rPr>
                <w:rFonts w:ascii="仿宋_GB2312" w:eastAsia="仿宋_GB2312"/>
                <w:sz w:val="24"/>
                <w:szCs w:val="24"/>
              </w:rPr>
            </w:pPr>
            <w:r>
              <w:rPr>
                <w:rFonts w:hint="eastAsia" w:ascii="仿宋_GB2312" w:eastAsia="仿宋_GB2312"/>
                <w:sz w:val="24"/>
                <w:szCs w:val="24"/>
              </w:rPr>
              <w:t>1</w:t>
            </w:r>
          </w:p>
        </w:tc>
        <w:tc>
          <w:tcPr>
            <w:tcW w:w="1951" w:type="dxa"/>
            <w:noWrap w:val="0"/>
            <w:vAlign w:val="center"/>
          </w:tcPr>
          <w:p>
            <w:pPr>
              <w:spacing w:line="300" w:lineRule="exact"/>
              <w:ind w:firstLine="240" w:firstLineChars="100"/>
              <w:jc w:val="center"/>
              <w:rPr>
                <w:rFonts w:hint="default" w:ascii="仿宋_GB2312" w:eastAsia="仿宋_GB2312"/>
                <w:sz w:val="24"/>
                <w:szCs w:val="24"/>
                <w:lang w:val="en-US"/>
              </w:rPr>
            </w:pPr>
            <w:r>
              <w:rPr>
                <w:rFonts w:hint="eastAsia" w:ascii="仿宋_GB2312" w:eastAsia="仿宋_GB2312"/>
                <w:sz w:val="24"/>
                <w:szCs w:val="24"/>
                <w:lang w:val="en-US" w:eastAsia="zh-CN"/>
              </w:rPr>
              <w:t>深圳市宝云纸业有限公司</w:t>
            </w:r>
          </w:p>
        </w:tc>
        <w:tc>
          <w:tcPr>
            <w:tcW w:w="2006" w:type="dxa"/>
            <w:noWrap w:val="0"/>
            <w:vAlign w:val="center"/>
          </w:tcPr>
          <w:p>
            <w:pPr>
              <w:spacing w:line="300" w:lineRule="exact"/>
              <w:ind w:firstLine="480" w:firstLineChars="200"/>
              <w:jc w:val="both"/>
              <w:rPr>
                <w:rFonts w:hint="eastAsia" w:ascii="仿宋_GB2312" w:eastAsia="仿宋_GB2312"/>
                <w:sz w:val="24"/>
                <w:szCs w:val="24"/>
                <w:lang w:eastAsia="zh-CN"/>
              </w:rPr>
            </w:pPr>
          </w:p>
          <w:p>
            <w:pPr>
              <w:spacing w:line="300" w:lineRule="exact"/>
              <w:ind w:firstLine="240" w:firstLineChars="100"/>
              <w:jc w:val="both"/>
              <w:rPr>
                <w:rFonts w:hint="eastAsia" w:ascii="仿宋_GB2312" w:eastAsia="仿宋_GB2312"/>
                <w:sz w:val="24"/>
                <w:szCs w:val="24"/>
                <w:lang w:eastAsia="zh-CN"/>
              </w:rPr>
            </w:pPr>
            <w:r>
              <w:rPr>
                <w:rFonts w:hint="eastAsia" w:ascii="仿宋_GB2312" w:eastAsia="仿宋_GB2312"/>
                <w:sz w:val="24"/>
                <w:szCs w:val="24"/>
                <w:lang w:eastAsia="zh-CN"/>
              </w:rPr>
              <w:t>电子邮件</w:t>
            </w:r>
          </w:p>
          <w:p>
            <w:pPr>
              <w:spacing w:line="300" w:lineRule="exact"/>
              <w:jc w:val="both"/>
              <w:rPr>
                <w:rFonts w:ascii="仿宋_GB2312" w:eastAsia="仿宋_GB2312"/>
                <w:sz w:val="24"/>
                <w:szCs w:val="24"/>
              </w:rPr>
            </w:pPr>
          </w:p>
        </w:tc>
        <w:tc>
          <w:tcPr>
            <w:tcW w:w="4318" w:type="dxa"/>
            <w:noWrap w:val="0"/>
            <w:vAlign w:val="center"/>
          </w:tcPr>
          <w:p>
            <w:pPr>
              <w:widowControl/>
              <w:ind w:firstLine="480" w:firstLineChars="200"/>
              <w:jc w:val="both"/>
              <w:rPr>
                <w:rFonts w:hint="eastAsia" w:ascii="仿宋_GB2312" w:eastAsia="仿宋_GB2312"/>
                <w:sz w:val="24"/>
                <w:szCs w:val="24"/>
                <w:lang w:eastAsia="zh-CN"/>
              </w:rPr>
            </w:pPr>
            <w:r>
              <w:rPr>
                <w:rFonts w:hint="eastAsia" w:ascii="仿宋_GB2312" w:eastAsia="仿宋_GB2312"/>
                <w:sz w:val="24"/>
                <w:szCs w:val="24"/>
                <w:lang w:eastAsia="zh-CN"/>
              </w:rPr>
              <w:t>《深圳市光明区凤凰街道甲子塘宝云纸厂城市更新单元规划》项目正处于单元规划研究阶段，项目范围内设置的公共服务设施希望本次“十四五”规划结合实际情况进一步深化研究论证，明确公服设施类型及规模，以便我司项目后续推进引为参考依据。</w:t>
            </w:r>
          </w:p>
        </w:tc>
        <w:tc>
          <w:tcPr>
            <w:tcW w:w="4962" w:type="dxa"/>
            <w:noWrap w:val="0"/>
            <w:vAlign w:val="center"/>
          </w:tcPr>
          <w:p>
            <w:pPr>
              <w:spacing w:line="300" w:lineRule="exact"/>
              <w:ind w:firstLine="480" w:firstLineChars="200"/>
              <w:jc w:val="both"/>
              <w:rPr>
                <w:rFonts w:hint="eastAsia" w:ascii="仿宋_GB2312" w:eastAsia="仿宋_GB2312"/>
                <w:sz w:val="24"/>
                <w:szCs w:val="24"/>
                <w:lang w:eastAsia="zh-CN"/>
              </w:rPr>
            </w:pPr>
            <w:r>
              <w:rPr>
                <w:rFonts w:hint="eastAsia" w:ascii="仿宋_GB2312" w:eastAsia="仿宋_GB2312"/>
                <w:sz w:val="24"/>
                <w:szCs w:val="24"/>
                <w:lang w:val="en-US" w:eastAsia="zh-CN"/>
              </w:rPr>
              <w:t>解释。《光明区城市更新和土地整备“十四五”规划》是指导光明区城市更新和土地整备五年工作的纲领性文件与行动指南，具体</w:t>
            </w:r>
            <w:bookmarkStart w:id="0" w:name="_GoBack"/>
            <w:bookmarkEnd w:id="0"/>
            <w:r>
              <w:rPr>
                <w:rFonts w:hint="eastAsia" w:ascii="仿宋_GB2312" w:eastAsia="仿宋_GB2312"/>
                <w:sz w:val="24"/>
                <w:szCs w:val="24"/>
                <w:lang w:val="en-US" w:eastAsia="zh-CN"/>
              </w:rPr>
              <w:t>项目配建的</w:t>
            </w:r>
            <w:r>
              <w:rPr>
                <w:rFonts w:hint="eastAsia" w:ascii="仿宋_GB2312" w:eastAsia="仿宋_GB2312"/>
                <w:sz w:val="24"/>
                <w:szCs w:val="24"/>
                <w:lang w:eastAsia="zh-CN"/>
              </w:rPr>
              <w:t>公服设施类型及规模建议在专项规划阶段结合片区法定图则等上层次规划进行明确。</w:t>
            </w:r>
          </w:p>
        </w:tc>
      </w:tr>
    </w:tbl>
    <w:p>
      <w:pPr>
        <w:spacing w:line="560" w:lineRule="exact"/>
        <w:rPr>
          <w:rFonts w:hint="eastAsia"/>
        </w:rPr>
      </w:pPr>
      <w:r>
        <w:rPr>
          <w:rFonts w:hint="eastAsia" w:ascii="仿宋_GB2312" w:eastAsia="仿宋_GB2312"/>
          <w:sz w:val="28"/>
          <w:szCs w:val="28"/>
        </w:rPr>
        <w:t>注：无其他反馈意见。</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57618"/>
    <w:rsid w:val="141C2CF3"/>
    <w:rsid w:val="18234FAB"/>
    <w:rsid w:val="18B57618"/>
    <w:rsid w:val="369532EC"/>
    <w:rsid w:val="413E52F5"/>
    <w:rsid w:val="4453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2021-05-28T02:12:00Z</dcterms:created>
  <dc:creator>陈静</dc:creator>
  <cp:lastModifiedBy>刘俊林</cp:lastModifiedBy>
  <dcterms:modified xsi:type="dcterms:W3CDTF">2022-05-09T09:16:55Z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