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项目采购需求文件</w:t>
      </w:r>
    </w:p>
    <w:p>
      <w:pPr>
        <w:pageBreakBefore w:val="0"/>
        <w:kinsoku/>
        <w:wordWrap/>
        <w:overflowPunct/>
        <w:topLinePunct w:val="0"/>
        <w:autoSpaceDE/>
        <w:autoSpaceDN/>
        <w:bidi w:val="0"/>
        <w:spacing w:line="560" w:lineRule="exact"/>
        <w:jc w:val="center"/>
        <w:textAlignment w:val="auto"/>
        <w:rPr>
          <w:rFonts w:ascii="黑体" w:eastAsia="黑体"/>
          <w:sz w:val="44"/>
          <w:szCs w:val="44"/>
          <w:highlight w:val="none"/>
        </w:rPr>
      </w:pPr>
    </w:p>
    <w:p>
      <w:pPr>
        <w:pageBreakBefore w:val="0"/>
        <w:kinsoku/>
        <w:wordWrap/>
        <w:overflowPunct/>
        <w:topLinePunct w:val="0"/>
        <w:autoSpaceDE/>
        <w:autoSpaceDN/>
        <w:bidi w:val="0"/>
        <w:spacing w:line="560" w:lineRule="exact"/>
        <w:jc w:val="center"/>
        <w:textAlignment w:val="auto"/>
        <w:rPr>
          <w:rFonts w:ascii="黑体" w:eastAsia="黑体"/>
          <w:sz w:val="36"/>
          <w:szCs w:val="36"/>
          <w:highlight w:val="none"/>
        </w:rPr>
      </w:pPr>
      <w:r>
        <w:rPr>
          <w:rFonts w:hint="eastAsia" w:ascii="黑体" w:eastAsia="黑体"/>
          <w:sz w:val="36"/>
          <w:szCs w:val="36"/>
          <w:highlight w:val="none"/>
        </w:rPr>
        <w:t>目  录</w:t>
      </w:r>
    </w:p>
    <w:p>
      <w:pPr>
        <w:pageBreakBefore w:val="0"/>
        <w:kinsoku/>
        <w:wordWrap/>
        <w:overflowPunct/>
        <w:topLinePunct w:val="0"/>
        <w:autoSpaceDE/>
        <w:autoSpaceDN/>
        <w:bidi w:val="0"/>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第一章：竞选邀请</w:t>
      </w:r>
    </w:p>
    <w:p>
      <w:pPr>
        <w:pageBreakBefore w:val="0"/>
        <w:kinsoku/>
        <w:wordWrap/>
        <w:overflowPunct/>
        <w:topLinePunct w:val="0"/>
        <w:autoSpaceDE/>
        <w:autoSpaceDN/>
        <w:bidi w:val="0"/>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第二章：采购项目要求</w:t>
      </w:r>
    </w:p>
    <w:p>
      <w:pPr>
        <w:pageBreakBefore w:val="0"/>
        <w:kinsoku/>
        <w:wordWrap/>
        <w:overflowPunct/>
        <w:topLinePunct w:val="0"/>
        <w:autoSpaceDE/>
        <w:autoSpaceDN/>
        <w:bidi w:val="0"/>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 xml:space="preserve">        第一部分   项目说明</w:t>
      </w:r>
    </w:p>
    <w:p>
      <w:pPr>
        <w:pageBreakBefore w:val="0"/>
        <w:kinsoku/>
        <w:wordWrap/>
        <w:overflowPunct/>
        <w:topLinePunct w:val="0"/>
        <w:autoSpaceDE/>
        <w:autoSpaceDN/>
        <w:bidi w:val="0"/>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 xml:space="preserve">        第二部分   项目评分</w:t>
      </w:r>
    </w:p>
    <w:p>
      <w:pPr>
        <w:pageBreakBefore w:val="0"/>
        <w:kinsoku/>
        <w:wordWrap/>
        <w:overflowPunct/>
        <w:topLinePunct w:val="0"/>
        <w:autoSpaceDE/>
        <w:autoSpaceDN/>
        <w:bidi w:val="0"/>
        <w:spacing w:line="560" w:lineRule="exact"/>
        <w:ind w:firstLine="1280" w:firstLineChars="400"/>
        <w:textAlignment w:val="auto"/>
        <w:rPr>
          <w:rFonts w:ascii="仿宋_GB2312" w:eastAsia="仿宋_GB2312"/>
          <w:sz w:val="32"/>
          <w:szCs w:val="32"/>
          <w:highlight w:val="none"/>
        </w:rPr>
      </w:pPr>
      <w:r>
        <w:rPr>
          <w:rFonts w:hint="eastAsia" w:ascii="仿宋_GB2312" w:eastAsia="仿宋_GB2312"/>
          <w:sz w:val="32"/>
          <w:szCs w:val="32"/>
          <w:highlight w:val="none"/>
        </w:rPr>
        <w:t>第三部分   供应商资格要求</w:t>
      </w:r>
    </w:p>
    <w:p>
      <w:pPr>
        <w:pageBreakBefore w:val="0"/>
        <w:kinsoku/>
        <w:wordWrap/>
        <w:overflowPunct/>
        <w:topLinePunct w:val="0"/>
        <w:autoSpaceDE/>
        <w:autoSpaceDN/>
        <w:bidi w:val="0"/>
        <w:spacing w:line="560" w:lineRule="exact"/>
        <w:ind w:firstLine="1280" w:firstLineChars="400"/>
        <w:textAlignment w:val="auto"/>
        <w:rPr>
          <w:rFonts w:ascii="仿宋_GB2312" w:eastAsia="仿宋_GB2312"/>
          <w:sz w:val="32"/>
          <w:szCs w:val="32"/>
          <w:highlight w:val="none"/>
        </w:rPr>
      </w:pPr>
      <w:r>
        <w:rPr>
          <w:rFonts w:hint="eastAsia" w:ascii="仿宋_GB2312" w:eastAsia="仿宋_GB2312"/>
          <w:sz w:val="32"/>
          <w:szCs w:val="32"/>
          <w:highlight w:val="none"/>
        </w:rPr>
        <w:t>第四部分   采购需求文件的构成及递交</w:t>
      </w:r>
    </w:p>
    <w:p>
      <w:pPr>
        <w:pageBreakBefore w:val="0"/>
        <w:kinsoku/>
        <w:wordWrap/>
        <w:overflowPunct/>
        <w:topLinePunct w:val="0"/>
        <w:autoSpaceDE/>
        <w:autoSpaceDN/>
        <w:bidi w:val="0"/>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第三章：附件</w:t>
      </w:r>
    </w:p>
    <w:p>
      <w:pPr>
        <w:pageBreakBefore w:val="0"/>
        <w:kinsoku/>
        <w:wordWrap/>
        <w:overflowPunct/>
        <w:topLinePunct w:val="0"/>
        <w:autoSpaceDE/>
        <w:autoSpaceDN/>
        <w:bidi w:val="0"/>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 xml:space="preserve">        1.响应一览表</w:t>
      </w:r>
    </w:p>
    <w:p>
      <w:pPr>
        <w:pageBreakBefore w:val="0"/>
        <w:kinsoku/>
        <w:wordWrap/>
        <w:overflowPunct/>
        <w:topLinePunct w:val="0"/>
        <w:autoSpaceDE/>
        <w:autoSpaceDN/>
        <w:bidi w:val="0"/>
        <w:spacing w:line="560" w:lineRule="exact"/>
        <w:ind w:firstLine="1280" w:firstLineChars="400"/>
        <w:textAlignment w:val="auto"/>
        <w:rPr>
          <w:rFonts w:ascii="仿宋_GB2312" w:eastAsia="仿宋_GB2312"/>
          <w:sz w:val="32"/>
          <w:szCs w:val="32"/>
          <w:highlight w:val="none"/>
        </w:rPr>
      </w:pPr>
      <w:r>
        <w:rPr>
          <w:rFonts w:hint="eastAsia" w:ascii="仿宋_GB2312" w:eastAsia="仿宋_GB2312"/>
          <w:sz w:val="32"/>
          <w:szCs w:val="32"/>
          <w:highlight w:val="none"/>
        </w:rPr>
        <w:t>2.政府采购履约情况评价表</w:t>
      </w:r>
    </w:p>
    <w:p>
      <w:pPr>
        <w:pageBreakBefore w:val="0"/>
        <w:kinsoku/>
        <w:wordWrap/>
        <w:overflowPunct/>
        <w:topLinePunct w:val="0"/>
        <w:autoSpaceDE/>
        <w:autoSpaceDN/>
        <w:bidi w:val="0"/>
        <w:spacing w:line="560" w:lineRule="exact"/>
        <w:textAlignment w:val="auto"/>
        <w:rPr>
          <w:rFonts w:ascii="仿宋_GB2312" w:eastAsia="仿宋_GB2312"/>
          <w:sz w:val="32"/>
          <w:szCs w:val="32"/>
          <w:highlight w:val="none"/>
        </w:rPr>
      </w:pPr>
    </w:p>
    <w:p>
      <w:pPr>
        <w:pageBreakBefore w:val="0"/>
        <w:widowControl/>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p>
    <w:p>
      <w:pPr>
        <w:pageBreakBefore w:val="0"/>
        <w:widowControl/>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p>
    <w:p>
      <w:pPr>
        <w:pageBreakBefore w:val="0"/>
        <w:widowControl/>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p>
    <w:p>
      <w:pPr>
        <w:pageBreakBefore w:val="0"/>
        <w:widowControl/>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p>
    <w:p>
      <w:pPr>
        <w:pageBreakBefore w:val="0"/>
        <w:widowControl/>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p>
    <w:p>
      <w:pPr>
        <w:pageBreakBefore w:val="0"/>
        <w:widowControl/>
        <w:kinsoku/>
        <w:wordWrap/>
        <w:overflowPunct/>
        <w:topLinePunct w:val="0"/>
        <w:autoSpaceDE/>
        <w:autoSpaceDN/>
        <w:bidi w:val="0"/>
        <w:spacing w:line="560" w:lineRule="exact"/>
        <w:jc w:val="both"/>
        <w:textAlignment w:val="auto"/>
        <w:rPr>
          <w:rFonts w:ascii="黑体" w:hAnsi="黑体" w:eastAsia="黑体" w:cs="黑体"/>
          <w:sz w:val="36"/>
          <w:szCs w:val="36"/>
          <w:highlight w:val="none"/>
        </w:rPr>
      </w:pPr>
    </w:p>
    <w:p>
      <w:pPr>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黑体"/>
          <w:sz w:val="36"/>
          <w:szCs w:val="36"/>
          <w:highlight w:val="none"/>
        </w:rPr>
      </w:pPr>
      <w:r>
        <w:rPr>
          <w:rFonts w:hint="eastAsia" w:ascii="黑体" w:hAnsi="黑体" w:eastAsia="黑体" w:cs="黑体"/>
          <w:sz w:val="36"/>
          <w:szCs w:val="36"/>
          <w:highlight w:val="none"/>
        </w:rPr>
        <w:t>第一章  竞选邀请</w:t>
      </w:r>
    </w:p>
    <w:p>
      <w:pPr>
        <w:pageBreakBefore w:val="0"/>
        <w:kinsoku/>
        <w:wordWrap/>
        <w:overflowPunct/>
        <w:topLinePunct w:val="0"/>
        <w:autoSpaceDE/>
        <w:autoSpaceDN/>
        <w:bidi w:val="0"/>
        <w:adjustRightInd/>
        <w:snapToGrid/>
        <w:spacing w:line="560" w:lineRule="exact"/>
        <w:textAlignment w:val="auto"/>
        <w:rPr>
          <w:rFonts w:ascii="仿宋_GB2312" w:eastAsia="仿宋_GB2312"/>
          <w:sz w:val="32"/>
          <w:szCs w:val="32"/>
          <w:highlight w:val="none"/>
          <w:u w:val="single"/>
        </w:rPr>
      </w:pP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rPr>
        <w:t>一、采购项目名称：</w:t>
      </w:r>
      <w:r>
        <w:rPr>
          <w:rFonts w:hint="eastAsia" w:ascii="仿宋_GB2312" w:hAnsi="仿宋_GB2312" w:eastAsia="仿宋_GB2312" w:cs="仿宋_GB2312"/>
          <w:sz w:val="32"/>
          <w:szCs w:val="32"/>
          <w:highlight w:val="none"/>
          <w:lang w:eastAsia="zh-CN"/>
        </w:rPr>
        <w:t>“光明十景”宣传策划服务项目</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二、警示条款：</w:t>
      </w:r>
      <w:r>
        <w:rPr>
          <w:rFonts w:hint="eastAsia" w:ascii="仿宋_GB2312" w:hAnsi="仿宋_GB2312" w:eastAsia="仿宋_GB2312" w:cs="仿宋_GB2312"/>
          <w:sz w:val="32"/>
          <w:szCs w:val="32"/>
          <w:highlight w:val="none"/>
        </w:rPr>
        <w:t>光明区文化广电旅游体育局有权对所有投标供应商就本项目招标文件要求提供的相关证明材料（原件）进行审查。供应商提供虚假资料被查实的，则可能面临被取消本项目中标资格、列入不良行为记录名单且三年内禁止参与本单位采购活动的风险。</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none"/>
        </w:rPr>
        <w:t>三、答疑事项：</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日18时</w:t>
      </w:r>
      <w:r>
        <w:rPr>
          <w:rFonts w:hint="eastAsia" w:ascii="仿宋_GB2312" w:hAnsi="仿宋_GB2312" w:eastAsia="仿宋_GB2312" w:cs="仿宋_GB2312"/>
          <w:sz w:val="32"/>
          <w:szCs w:val="32"/>
          <w:lang w:val="en-US" w:eastAsia="zh-CN"/>
        </w:rPr>
        <w:t>00分（北京时间）</w:t>
      </w:r>
      <w:r>
        <w:rPr>
          <w:rFonts w:hint="eastAsia" w:ascii="仿宋_GB2312" w:hAnsi="仿宋_GB2312" w:eastAsia="仿宋_GB2312" w:cs="仿宋_GB2312"/>
          <w:sz w:val="32"/>
          <w:szCs w:val="32"/>
        </w:rPr>
        <w:t>前凡有任何疑问的，请径向我单位咨询，逾期不予受理。</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、采购时间：</w:t>
      </w:r>
      <w:r>
        <w:rPr>
          <w:rFonts w:hint="eastAsia" w:ascii="仿宋_GB2312" w:hAnsi="仿宋_GB2312" w:eastAsia="仿宋_GB2312" w:cs="仿宋_GB2312"/>
          <w:sz w:val="32"/>
          <w:szCs w:val="32"/>
        </w:rPr>
        <w:t>所有投标文件纸质版应于202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日18时00分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之前提交6份到我单位，同时提供电子版或扫描版材料发送到（wgltcyk@szgm.gov.cn）。</w:t>
      </w:r>
    </w:p>
    <w:p>
      <w:pPr>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五、组织评审：</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如需参加评审，时间、地点另行</w:t>
      </w:r>
      <w:r>
        <w:rPr>
          <w:rFonts w:ascii="仿宋_GB2312" w:hAnsi="仿宋_GB2312" w:eastAsia="仿宋_GB2312" w:cs="仿宋_GB2312"/>
          <w:sz w:val="32"/>
          <w:szCs w:val="32"/>
          <w:highlight w:val="none"/>
        </w:rPr>
        <w:t>通知</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六、采购结果公示：</w:t>
      </w:r>
      <w:r>
        <w:rPr>
          <w:rFonts w:hint="eastAsia" w:ascii="仿宋_GB2312" w:hAnsi="仿宋_GB2312" w:eastAsia="仿宋_GB2312" w:cs="仿宋_GB2312"/>
          <w:sz w:val="32"/>
          <w:szCs w:val="32"/>
          <w:highlight w:val="none"/>
        </w:rPr>
        <w:t>确定后将在光明区政府在线网站公示</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highlight w:val="none"/>
        </w:rPr>
        <w:t>七、免责声明：</w:t>
      </w:r>
      <w:r>
        <w:rPr>
          <w:rFonts w:hint="eastAsia" w:ascii="仿宋_GB2312" w:hAnsi="仿宋_GB2312" w:eastAsia="仿宋_GB2312" w:cs="仿宋_GB2312"/>
          <w:sz w:val="32"/>
          <w:szCs w:val="32"/>
        </w:rPr>
        <w:t>在采购过程或合同执行过程中，若因新型冠状病毒疫情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自然灾害、社会异常事件</w:t>
      </w:r>
      <w:r>
        <w:rPr>
          <w:rFonts w:hint="eastAsia" w:ascii="仿宋_GB2312" w:hAnsi="仿宋_GB2312" w:eastAsia="仿宋_GB2312" w:cs="仿宋_GB2312"/>
          <w:sz w:val="32"/>
          <w:szCs w:val="32"/>
        </w:rPr>
        <w:t>等不可抗力因素，导致</w:t>
      </w:r>
      <w:r>
        <w:rPr>
          <w:rFonts w:hint="eastAsia" w:ascii="仿宋_GB2312" w:hAnsi="仿宋_GB2312" w:eastAsia="仿宋_GB2312" w:cs="仿宋_GB2312"/>
          <w:sz w:val="32"/>
          <w:szCs w:val="32"/>
          <w:lang w:val="en-US" w:eastAsia="zh-CN"/>
        </w:rPr>
        <w:t>应急演练活动</w:t>
      </w:r>
      <w:r>
        <w:rPr>
          <w:rFonts w:hint="eastAsia" w:ascii="仿宋_GB2312" w:hAnsi="仿宋_GB2312" w:eastAsia="仿宋_GB2312" w:cs="仿宋_GB2312"/>
          <w:sz w:val="32"/>
          <w:szCs w:val="32"/>
        </w:rPr>
        <w:t>延期举办或取消，经甲、乙双方共同协商，可延迟或终止本次采购或合同。</w:t>
      </w:r>
    </w:p>
    <w:p>
      <w:pPr>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八、如有疑问请与我们联系，联系方式：</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详细地址：</w:t>
      </w:r>
      <w:r>
        <w:rPr>
          <w:rFonts w:hint="eastAsia" w:ascii="仿宋_GB2312" w:hAnsi="仿宋_GB2312" w:eastAsia="仿宋_GB2312" w:cs="仿宋_GB2312"/>
          <w:sz w:val="32"/>
          <w:szCs w:val="32"/>
          <w:highlight w:val="none"/>
          <w:lang w:eastAsia="zh-CN"/>
        </w:rPr>
        <w:t>深圳市</w:t>
      </w:r>
      <w:r>
        <w:rPr>
          <w:rFonts w:hint="eastAsia" w:ascii="仿宋_GB2312" w:hAnsi="仿宋_GB2312" w:eastAsia="仿宋_GB2312" w:cs="仿宋_GB2312"/>
          <w:sz w:val="32"/>
          <w:szCs w:val="32"/>
          <w:highlight w:val="none"/>
        </w:rPr>
        <w:t>光明区</w:t>
      </w:r>
      <w:r>
        <w:rPr>
          <w:rFonts w:hint="eastAsia" w:ascii="仿宋_GB2312" w:hAnsi="仿宋_GB2312" w:eastAsia="仿宋_GB2312" w:cs="仿宋_GB2312"/>
          <w:sz w:val="32"/>
          <w:szCs w:val="32"/>
          <w:highlight w:val="none"/>
          <w:lang w:eastAsia="zh-CN"/>
        </w:rPr>
        <w:t>玉塘街道同仁路科润大厦</w:t>
      </w:r>
      <w:r>
        <w:rPr>
          <w:rFonts w:hint="eastAsia" w:ascii="仿宋_GB2312" w:hAnsi="仿宋_GB2312" w:eastAsia="仿宋_GB2312" w:cs="仿宋_GB2312"/>
          <w:sz w:val="32"/>
          <w:szCs w:val="32"/>
          <w:highlight w:val="none"/>
          <w:lang w:val="en-US" w:eastAsia="zh-CN"/>
        </w:rPr>
        <w:t>A座16楼</w:t>
      </w:r>
      <w:r>
        <w:rPr>
          <w:rFonts w:hint="eastAsia" w:ascii="仿宋_GB2312" w:hAnsi="仿宋_GB2312" w:eastAsia="仿宋_GB2312" w:cs="仿宋_GB2312"/>
          <w:sz w:val="32"/>
          <w:szCs w:val="32"/>
          <w:highlight w:val="none"/>
        </w:rPr>
        <w:t> </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咨询电话：</w:t>
      </w:r>
      <w:r>
        <w:rPr>
          <w:rFonts w:hint="eastAsia" w:ascii="仿宋_GB2312" w:hAnsi="仿宋_GB2312" w:eastAsia="仿宋_GB2312" w:cs="仿宋_GB2312"/>
          <w:sz w:val="32"/>
          <w:szCs w:val="32"/>
          <w:highlight w:val="none"/>
          <w:lang w:eastAsia="zh-CN"/>
        </w:rPr>
        <w:t>洪工，</w:t>
      </w:r>
      <w:r>
        <w:rPr>
          <w:rFonts w:hint="eastAsia" w:ascii="仿宋_GB2312" w:hAnsi="仿宋_GB2312" w:eastAsia="仿宋_GB2312" w:cs="仿宋_GB2312"/>
          <w:sz w:val="32"/>
          <w:szCs w:val="32"/>
          <w:highlight w:val="none"/>
          <w:lang w:val="en-US" w:eastAsia="zh-CN"/>
        </w:rPr>
        <w:t>0755-23421776</w:t>
      </w:r>
    </w:p>
    <w:p>
      <w:pPr>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kern w:val="0"/>
          <w:sz w:val="32"/>
          <w:szCs w:val="32"/>
          <w:highlight w:val="none"/>
          <w:lang w:bidi="ar"/>
        </w:rPr>
      </w:pPr>
    </w:p>
    <w:p>
      <w:pPr>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kern w:val="0"/>
          <w:sz w:val="32"/>
          <w:szCs w:val="32"/>
          <w:highlight w:val="none"/>
          <w:lang w:bidi="ar"/>
        </w:rPr>
      </w:pPr>
    </w:p>
    <w:p>
      <w:pPr>
        <w:pageBreakBefore w:val="0"/>
        <w:widowControl/>
        <w:kinsoku/>
        <w:wordWrap/>
        <w:overflowPunct/>
        <w:topLinePunct w:val="0"/>
        <w:autoSpaceDE/>
        <w:autoSpaceDN/>
        <w:bidi w:val="0"/>
        <w:adjustRightInd/>
        <w:snapToGrid/>
        <w:spacing w:line="560" w:lineRule="exact"/>
        <w:ind w:firstLine="640"/>
        <w:jc w:val="right"/>
        <w:textAlignment w:val="auto"/>
        <w:outlineLvl w:val="0"/>
        <w:rPr>
          <w:rFonts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　　光明区文化广电旅游体育局</w:t>
      </w:r>
    </w:p>
    <w:p>
      <w:pPr>
        <w:pageBreakBefore w:val="0"/>
        <w:widowControl/>
        <w:kinsoku/>
        <w:wordWrap/>
        <w:overflowPunct/>
        <w:topLinePunct w:val="0"/>
        <w:autoSpaceDE/>
        <w:autoSpaceDN/>
        <w:bidi w:val="0"/>
        <w:adjustRightInd/>
        <w:snapToGrid/>
        <w:spacing w:line="560" w:lineRule="exact"/>
        <w:ind w:firstLine="5760" w:firstLineChars="1800"/>
        <w:textAlignment w:val="auto"/>
        <w:outlineLvl w:val="0"/>
        <w:rPr>
          <w:rFonts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202</w:t>
      </w:r>
      <w:r>
        <w:rPr>
          <w:rFonts w:hint="eastAsia" w:ascii="仿宋_GB2312" w:hAnsi="仿宋_GB2312" w:eastAsia="仿宋_GB2312" w:cs="仿宋_GB2312"/>
          <w:kern w:val="0"/>
          <w:sz w:val="32"/>
          <w:szCs w:val="32"/>
          <w:highlight w:val="none"/>
          <w:lang w:val="en-US" w:eastAsia="zh-CN" w:bidi="ar"/>
        </w:rPr>
        <w:t>2</w:t>
      </w:r>
      <w:r>
        <w:rPr>
          <w:rFonts w:hint="eastAsia" w:ascii="仿宋_GB2312" w:hAnsi="仿宋_GB2312" w:eastAsia="仿宋_GB2312" w:cs="仿宋_GB2312"/>
          <w:kern w:val="0"/>
          <w:sz w:val="32"/>
          <w:szCs w:val="32"/>
          <w:highlight w:val="none"/>
          <w:lang w:bidi="ar"/>
        </w:rPr>
        <w:t>年</w:t>
      </w:r>
      <w:r>
        <w:rPr>
          <w:rFonts w:hint="eastAsia" w:ascii="仿宋_GB2312" w:hAnsi="仿宋_GB2312" w:eastAsia="仿宋_GB2312" w:cs="仿宋_GB2312"/>
          <w:kern w:val="0"/>
          <w:sz w:val="32"/>
          <w:szCs w:val="32"/>
          <w:highlight w:val="none"/>
          <w:lang w:val="en-US" w:eastAsia="zh-CN" w:bidi="ar"/>
        </w:rPr>
        <w:t>8</w:t>
      </w:r>
      <w:r>
        <w:rPr>
          <w:rFonts w:hint="eastAsia" w:ascii="仿宋_GB2312" w:hAnsi="仿宋_GB2312" w:eastAsia="仿宋_GB2312" w:cs="仿宋_GB2312"/>
          <w:kern w:val="0"/>
          <w:sz w:val="32"/>
          <w:szCs w:val="32"/>
          <w:highlight w:val="none"/>
          <w:lang w:bidi="ar"/>
        </w:rPr>
        <w:t>月</w:t>
      </w:r>
      <w:r>
        <w:rPr>
          <w:rFonts w:hint="eastAsia" w:ascii="仿宋_GB2312" w:hAnsi="仿宋_GB2312" w:eastAsia="仿宋_GB2312" w:cs="仿宋_GB2312"/>
          <w:kern w:val="0"/>
          <w:sz w:val="32"/>
          <w:szCs w:val="32"/>
          <w:highlight w:val="none"/>
          <w:lang w:val="en-US" w:eastAsia="zh-CN" w:bidi="ar"/>
        </w:rPr>
        <w:t>24</w:t>
      </w:r>
      <w:r>
        <w:rPr>
          <w:rFonts w:hint="eastAsia" w:ascii="仿宋_GB2312" w:hAnsi="仿宋_GB2312" w:eastAsia="仿宋_GB2312" w:cs="仿宋_GB2312"/>
          <w:kern w:val="0"/>
          <w:sz w:val="32"/>
          <w:szCs w:val="32"/>
          <w:highlight w:val="none"/>
          <w:lang w:bidi="ar"/>
        </w:rPr>
        <w:t>日</w:t>
      </w:r>
    </w:p>
    <w:p>
      <w:pPr>
        <w:pStyle w:val="2"/>
        <w:pageBreakBefore w:val="0"/>
        <w:kinsoku/>
        <w:wordWrap/>
        <w:overflowPunct/>
        <w:topLinePunct w:val="0"/>
        <w:autoSpaceDE/>
        <w:autoSpaceDN/>
        <w:bidi w:val="0"/>
        <w:adjustRightInd/>
        <w:snapToGrid/>
        <w:spacing w:before="0" w:after="0" w:line="560" w:lineRule="exact"/>
        <w:textAlignment w:val="auto"/>
        <w:rPr>
          <w:highlight w:val="none"/>
        </w:rPr>
      </w:pPr>
    </w:p>
    <w:p>
      <w:pPr>
        <w:pageBreakBefore w:val="0"/>
        <w:kinsoku/>
        <w:wordWrap/>
        <w:overflowPunct/>
        <w:topLinePunct w:val="0"/>
        <w:autoSpaceDE/>
        <w:autoSpaceDN/>
        <w:bidi w:val="0"/>
        <w:spacing w:line="560" w:lineRule="exact"/>
        <w:textAlignment w:val="auto"/>
        <w:rPr>
          <w:highlight w:val="none"/>
        </w:rPr>
      </w:pPr>
    </w:p>
    <w:p>
      <w:pPr>
        <w:pageBreakBefore w:val="0"/>
        <w:kinsoku/>
        <w:wordWrap/>
        <w:overflowPunct/>
        <w:topLinePunct w:val="0"/>
        <w:autoSpaceDE/>
        <w:autoSpaceDN/>
        <w:bidi w:val="0"/>
        <w:spacing w:line="560" w:lineRule="exact"/>
        <w:textAlignment w:val="auto"/>
        <w:rPr>
          <w:highlight w:val="none"/>
        </w:rPr>
        <w:sectPr>
          <w:pgSz w:w="11906" w:h="16838"/>
          <w:pgMar w:top="2098" w:right="1474" w:bottom="1984" w:left="1587" w:header="851" w:footer="992" w:gutter="0"/>
          <w:pgNumType w:fmt="numberInDash"/>
          <w:cols w:space="720" w:num="1"/>
          <w:docGrid w:type="lines" w:linePitch="312" w:charSpace="0"/>
        </w:sectPr>
      </w:pPr>
    </w:p>
    <w:p>
      <w:pPr>
        <w:pageBreakBefore w:val="0"/>
        <w:widowControl/>
        <w:kinsoku/>
        <w:wordWrap/>
        <w:overflowPunct/>
        <w:topLinePunct w:val="0"/>
        <w:autoSpaceDE/>
        <w:autoSpaceDN/>
        <w:bidi w:val="0"/>
        <w:spacing w:line="560" w:lineRule="exact"/>
        <w:jc w:val="both"/>
        <w:textAlignment w:val="auto"/>
        <w:rPr>
          <w:rFonts w:ascii="黑体" w:hAnsi="黑体" w:eastAsia="黑体" w:cs="黑体"/>
          <w:sz w:val="36"/>
          <w:szCs w:val="36"/>
          <w:highlight w:val="none"/>
        </w:rPr>
      </w:pPr>
    </w:p>
    <w:p>
      <w:pPr>
        <w:pageBreakBefore w:val="0"/>
        <w:widowControl/>
        <w:kinsoku/>
        <w:wordWrap/>
        <w:overflowPunct/>
        <w:topLinePunct w:val="0"/>
        <w:autoSpaceDE/>
        <w:autoSpaceDN/>
        <w:bidi w:val="0"/>
        <w:spacing w:line="560" w:lineRule="exact"/>
        <w:jc w:val="center"/>
        <w:textAlignment w:val="auto"/>
        <w:rPr>
          <w:rFonts w:ascii="黑体" w:hAnsi="黑体" w:eastAsia="黑体" w:cs="黑体"/>
          <w:sz w:val="36"/>
          <w:szCs w:val="36"/>
          <w:highlight w:val="none"/>
        </w:rPr>
      </w:pPr>
      <w:r>
        <w:rPr>
          <w:rFonts w:hint="eastAsia" w:ascii="黑体" w:hAnsi="黑体" w:eastAsia="黑体" w:cs="黑体"/>
          <w:sz w:val="36"/>
          <w:szCs w:val="36"/>
          <w:highlight w:val="none"/>
        </w:rPr>
        <w:t>第二章  采购项目要求</w:t>
      </w:r>
    </w:p>
    <w:p>
      <w:pPr>
        <w:pageBreakBefore w:val="0"/>
        <w:widowControl/>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p>
    <w:p>
      <w:pPr>
        <w:pageBreakBefore w:val="0"/>
        <w:kinsoku/>
        <w:wordWrap/>
        <w:overflowPunct/>
        <w:topLinePunct w:val="0"/>
        <w:autoSpaceDE/>
        <w:autoSpaceDN/>
        <w:bidi w:val="0"/>
        <w:spacing w:line="560" w:lineRule="exact"/>
        <w:ind w:firstLine="720" w:firstLineChars="200"/>
        <w:textAlignment w:val="auto"/>
        <w:rPr>
          <w:rFonts w:ascii="仿宋_GB2312" w:eastAsia="仿宋_GB2312"/>
          <w:sz w:val="36"/>
          <w:szCs w:val="36"/>
          <w:highlight w:val="none"/>
        </w:rPr>
      </w:pPr>
      <w:r>
        <w:rPr>
          <w:rFonts w:hint="eastAsia" w:ascii="黑体" w:hAnsi="黑体" w:eastAsia="黑体" w:cs="黑体"/>
          <w:sz w:val="36"/>
          <w:szCs w:val="36"/>
          <w:highlight w:val="none"/>
        </w:rPr>
        <w:t>第一部分  项目说明</w:t>
      </w:r>
    </w:p>
    <w:p>
      <w:pPr>
        <w:pageBreakBefore w:val="0"/>
        <w:kinsoku/>
        <w:wordWrap/>
        <w:overflowPunct/>
        <w:topLinePunct w:val="0"/>
        <w:autoSpaceDE/>
        <w:autoSpaceDN/>
        <w:bidi w:val="0"/>
        <w:spacing w:line="560" w:lineRule="exact"/>
        <w:ind w:firstLine="640" w:firstLineChars="200"/>
        <w:textAlignment w:val="auto"/>
        <w:rPr>
          <w:rFonts w:ascii="黑体" w:hAnsi="黑体" w:eastAsia="黑体" w:cs="仿宋"/>
          <w:color w:val="000000"/>
          <w:sz w:val="32"/>
          <w:szCs w:val="32"/>
          <w:highlight w:val="none"/>
        </w:rPr>
      </w:pPr>
      <w:r>
        <w:rPr>
          <w:rFonts w:hint="eastAsia" w:ascii="黑体" w:hAnsi="黑体" w:eastAsia="黑体" w:cs="黑体"/>
          <w:bCs/>
          <w:sz w:val="32"/>
          <w:szCs w:val="32"/>
          <w:highlight w:val="none"/>
        </w:rPr>
        <w:t>一、</w:t>
      </w:r>
      <w:r>
        <w:rPr>
          <w:rFonts w:hint="eastAsia" w:ascii="黑体" w:hAnsi="黑体" w:eastAsia="黑体" w:cs="仿宋"/>
          <w:color w:val="000000"/>
          <w:sz w:val="32"/>
          <w:szCs w:val="32"/>
          <w:highlight w:val="none"/>
        </w:rPr>
        <w:t>采购项目概况</w:t>
      </w:r>
    </w:p>
    <w:tbl>
      <w:tblPr>
        <w:tblStyle w:val="11"/>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7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项目名称</w:t>
            </w:r>
          </w:p>
        </w:tc>
        <w:tc>
          <w:tcPr>
            <w:tcW w:w="779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sz w:val="32"/>
                <w:szCs w:val="32"/>
                <w:highlight w:val="none"/>
                <w:lang w:eastAsia="zh-CN"/>
              </w:rPr>
              <w:t>“光明十景”宣传策划服务项目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位    置</w:t>
            </w:r>
          </w:p>
        </w:tc>
        <w:tc>
          <w:tcPr>
            <w:tcW w:w="779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时    间</w:t>
            </w:r>
          </w:p>
        </w:tc>
        <w:tc>
          <w:tcPr>
            <w:tcW w:w="779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560" w:lineRule="exact"/>
              <w:textAlignment w:val="auto"/>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采购单位</w:t>
            </w:r>
          </w:p>
        </w:tc>
        <w:tc>
          <w:tcPr>
            <w:tcW w:w="779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深圳市光明区文化广电旅游体育局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控制金额</w:t>
            </w:r>
          </w:p>
        </w:tc>
        <w:tc>
          <w:tcPr>
            <w:tcW w:w="779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45万元（报价高于预算价格以上无效）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完 工 期</w:t>
            </w:r>
          </w:p>
        </w:tc>
        <w:tc>
          <w:tcPr>
            <w:tcW w:w="779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按照深圳市光明区文化广电旅游体育局规定期限内完成相应工作。</w:t>
            </w:r>
          </w:p>
        </w:tc>
      </w:tr>
    </w:tbl>
    <w:p>
      <w:pPr>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仿宋"/>
          <w:color w:val="000000"/>
          <w:sz w:val="32"/>
          <w:szCs w:val="32"/>
          <w:highlight w:val="none"/>
          <w:lang w:eastAsia="zh-CN"/>
        </w:rPr>
      </w:pPr>
      <w:r>
        <w:rPr>
          <w:rFonts w:hint="eastAsia" w:ascii="黑体" w:hAnsi="黑体" w:eastAsia="黑体" w:cs="仿宋"/>
          <w:color w:val="000000"/>
          <w:sz w:val="32"/>
          <w:szCs w:val="32"/>
          <w:highlight w:val="none"/>
          <w:lang w:eastAsia="zh-CN"/>
        </w:rPr>
        <w:t>二、服务要求</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lang w:eastAsia="zh-CN"/>
        </w:rPr>
        <w:t>（一）为扩大活动影响，中标方要在主流互联网社交平台搭建“光明十景”专区或话题，活动专区或话题页面要具备向指定区域或人群定向推送功能</w:t>
      </w:r>
      <w:r>
        <w:rPr>
          <w:rFonts w:hint="eastAsia" w:ascii="仿宋_GB2312" w:hAnsi="仿宋" w:eastAsia="仿宋_GB2312" w:cs="仿宋"/>
          <w:sz w:val="32"/>
          <w:szCs w:val="32"/>
          <w:highlight w:val="none"/>
          <w:lang w:val="en-US" w:eastAsia="zh-CN"/>
        </w:rPr>
        <w:t>；</w:t>
      </w:r>
      <w:r>
        <w:rPr>
          <w:rFonts w:hint="eastAsia" w:ascii="仿宋_GB2312" w:hAnsi="仿宋" w:eastAsia="仿宋_GB2312" w:cs="仿宋"/>
          <w:sz w:val="32"/>
          <w:szCs w:val="32"/>
          <w:highlight w:val="none"/>
          <w:lang w:eastAsia="zh-CN"/>
        </w:rPr>
        <w:t>并通过群众喜闻乐见的形式（如视频征集赛、打卡活动等），刺激全民参与；</w:t>
      </w:r>
    </w:p>
    <w:p>
      <w:pPr>
        <w:pageBreakBefore w:val="0"/>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（二）中标方需邀请不少于3名粉丝数在50-200万的大V，拍摄“光明十景”打卡视频及示范视频；</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eastAsia="zh-CN"/>
        </w:rPr>
        <w:t>（三）</w:t>
      </w:r>
      <w:r>
        <w:rPr>
          <w:rFonts w:hint="eastAsia" w:ascii="仿宋_GB2312" w:hAnsi="仿宋" w:eastAsia="仿宋_GB2312" w:cs="仿宋"/>
          <w:sz w:val="32"/>
          <w:szCs w:val="32"/>
          <w:highlight w:val="none"/>
          <w:lang w:val="en-US" w:eastAsia="zh-CN"/>
        </w:rPr>
        <w:t>中标方需设计制作投票页面，投票页面展现形式由中标方提供参考方案；</w:t>
      </w:r>
    </w:p>
    <w:p>
      <w:pPr>
        <w:pageBreakBefore w:val="0"/>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（四）宣传方案要充分考虑可行性，要能展现近年来光明区在城市建设、经济发展等方面取得的成绩。</w:t>
      </w:r>
    </w:p>
    <w:p>
      <w:pPr>
        <w:pageBreakBefore w:val="0"/>
        <w:kinsoku/>
        <w:wordWrap/>
        <w:overflowPunct/>
        <w:topLinePunct w:val="0"/>
        <w:autoSpaceDE/>
        <w:autoSpaceDN/>
        <w:bidi w:val="0"/>
        <w:spacing w:line="560" w:lineRule="exact"/>
        <w:ind w:firstLine="640" w:firstLineChars="200"/>
        <w:textAlignment w:val="auto"/>
        <w:rPr>
          <w:rFonts w:ascii="黑体" w:hAnsi="黑体" w:eastAsia="黑体" w:cs="仿宋"/>
          <w:color w:val="000000"/>
          <w:sz w:val="32"/>
          <w:szCs w:val="32"/>
          <w:highlight w:val="none"/>
        </w:rPr>
      </w:pPr>
      <w:r>
        <w:rPr>
          <w:rFonts w:hint="eastAsia" w:ascii="黑体" w:hAnsi="黑体" w:eastAsia="黑体" w:cs="仿宋"/>
          <w:color w:val="000000"/>
          <w:sz w:val="32"/>
          <w:szCs w:val="32"/>
          <w:highlight w:val="none"/>
          <w:lang w:eastAsia="zh-CN"/>
        </w:rPr>
        <w:t>三、商务需求</w:t>
      </w:r>
    </w:p>
    <w:p>
      <w:pPr>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一）报价要求：本项目服务费采用包干制，应包括服务成本、法定税费和企业的利润。由投标供应商根据采购文件所提供的资料自行测算响应报价；一经中标，报价总价作为中标供应商与采购人签定的合同金额，合同期限内不做调整。</w:t>
      </w:r>
    </w:p>
    <w:p>
      <w:pPr>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（二）付款方式：双方合同中协商。</w:t>
      </w:r>
    </w:p>
    <w:p>
      <w:pPr>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（三）履约担保金：双方合同中协商。</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（四）违约责任：双方合同中协商。</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 w:eastAsia="仿宋_GB2312" w:cs="仿宋"/>
          <w:sz w:val="32"/>
          <w:szCs w:val="32"/>
          <w:highlight w:val="none"/>
          <w:lang w:eastAsia="zh-CN"/>
        </w:rPr>
        <w:t>（五）</w:t>
      </w:r>
      <w:r>
        <w:rPr>
          <w:rFonts w:hint="eastAsia" w:ascii="仿宋_GB2312" w:hAnsi="仿宋_GB2312" w:eastAsia="仿宋_GB2312" w:cs="仿宋_GB2312"/>
          <w:sz w:val="32"/>
          <w:szCs w:val="32"/>
          <w:highlight w:val="none"/>
        </w:rPr>
        <w:t>中标方</w:t>
      </w:r>
      <w:r>
        <w:rPr>
          <w:rFonts w:hint="eastAsia" w:ascii="仿宋_GB2312" w:hAnsi="仿宋_GB2312" w:eastAsia="仿宋_GB2312" w:cs="仿宋_GB2312"/>
          <w:sz w:val="32"/>
          <w:szCs w:val="32"/>
          <w:highlight w:val="none"/>
          <w:lang w:eastAsia="zh-CN"/>
        </w:rPr>
        <w:t>至少</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套</w:t>
      </w:r>
      <w:r>
        <w:rPr>
          <w:rFonts w:hint="eastAsia" w:ascii="仿宋_GB2312" w:hAnsi="仿宋_GB2312" w:eastAsia="仿宋_GB2312" w:cs="仿宋_GB2312"/>
          <w:sz w:val="32"/>
          <w:szCs w:val="32"/>
          <w:highlight w:val="none"/>
          <w:lang w:eastAsia="zh-CN"/>
        </w:rPr>
        <w:t>宣传</w:t>
      </w:r>
      <w:r>
        <w:rPr>
          <w:rFonts w:hint="eastAsia" w:ascii="仿宋_GB2312" w:hAnsi="仿宋_GB2312" w:eastAsia="仿宋_GB2312" w:cs="仿宋_GB2312"/>
          <w:sz w:val="32"/>
          <w:szCs w:val="32"/>
          <w:highlight w:val="none"/>
        </w:rPr>
        <w:t>方案及相关说明（包括电子版）。</w:t>
      </w:r>
      <w:r>
        <w:rPr>
          <w:rFonts w:hint="eastAsia" w:ascii="仿宋_GB2312" w:hAnsi="仿宋_GB2312" w:eastAsia="仿宋_GB2312" w:cs="仿宋_GB2312"/>
          <w:sz w:val="32"/>
          <w:szCs w:val="32"/>
          <w:highlight w:val="none"/>
          <w:lang w:val="en-US" w:eastAsia="zh-CN"/>
        </w:rPr>
        <w:t>活动</w:t>
      </w:r>
      <w:r>
        <w:rPr>
          <w:rFonts w:hint="eastAsia" w:ascii="仿宋_GB2312" w:hAnsi="仿宋_GB2312" w:eastAsia="仿宋_GB2312" w:cs="仿宋_GB2312"/>
          <w:sz w:val="32"/>
          <w:szCs w:val="32"/>
          <w:highlight w:val="none"/>
        </w:rPr>
        <w:t>方案</w:t>
      </w:r>
      <w:r>
        <w:rPr>
          <w:rFonts w:hint="eastAsia" w:ascii="仿宋_GB2312" w:hAnsi="仿宋_GB2312" w:eastAsia="仿宋_GB2312" w:cs="仿宋_GB2312"/>
          <w:sz w:val="32"/>
          <w:szCs w:val="32"/>
          <w:highlight w:val="none"/>
          <w:lang w:val="en-US" w:eastAsia="zh-CN"/>
        </w:rPr>
        <w:t>需</w:t>
      </w:r>
      <w:r>
        <w:rPr>
          <w:rFonts w:hint="eastAsia" w:ascii="仿宋_GB2312" w:hAnsi="仿宋_GB2312" w:eastAsia="仿宋_GB2312" w:cs="仿宋_GB2312"/>
          <w:sz w:val="32"/>
          <w:szCs w:val="32"/>
          <w:highlight w:val="none"/>
        </w:rPr>
        <w:t>包括</w:t>
      </w:r>
      <w:r>
        <w:rPr>
          <w:rFonts w:hint="eastAsia" w:ascii="仿宋_GB2312" w:hAnsi="仿宋_GB2312" w:eastAsia="仿宋_GB2312" w:cs="仿宋_GB2312"/>
          <w:sz w:val="32"/>
          <w:szCs w:val="32"/>
          <w:highlight w:val="none"/>
          <w:lang w:val="en-US" w:eastAsia="zh-CN"/>
        </w:rPr>
        <w:t>不同阶段工作重点及工作效果。</w:t>
      </w:r>
    </w:p>
    <w:p>
      <w:pPr>
        <w:pageBreakBefore w:val="0"/>
        <w:kinsoku/>
        <w:wordWrap/>
        <w:overflowPunct/>
        <w:topLinePunct w:val="0"/>
        <w:autoSpaceDE/>
        <w:autoSpaceDN/>
        <w:bidi w:val="0"/>
        <w:spacing w:line="560" w:lineRule="exact"/>
        <w:ind w:firstLine="720" w:firstLineChars="200"/>
        <w:textAlignment w:val="auto"/>
        <w:rPr>
          <w:rFonts w:ascii="黑体" w:hAnsi="黑体" w:eastAsia="黑体" w:cs="黑体"/>
          <w:sz w:val="36"/>
          <w:szCs w:val="36"/>
          <w:highlight w:val="none"/>
        </w:rPr>
      </w:pPr>
      <w:r>
        <w:rPr>
          <w:rFonts w:hint="eastAsia" w:ascii="黑体" w:hAnsi="黑体" w:eastAsia="黑体" w:cs="黑体"/>
          <w:sz w:val="36"/>
          <w:szCs w:val="36"/>
          <w:highlight w:val="none"/>
        </w:rPr>
        <w:t>第二部分  项目评分</w:t>
      </w:r>
    </w:p>
    <w:p>
      <w:pPr>
        <w:pageBreakBefore w:val="0"/>
        <w:kinsoku/>
        <w:wordWrap/>
        <w:overflowPunct/>
        <w:topLinePunct w:val="0"/>
        <w:autoSpaceDE/>
        <w:autoSpaceDN/>
        <w:bidi w:val="0"/>
        <w:spacing w:line="560" w:lineRule="exac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一、评审方法</w:t>
      </w:r>
    </w:p>
    <w:p>
      <w:pPr>
        <w:pageBreakBefore w:val="0"/>
        <w:widowControl/>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综合评分法：是指响应文件满足采购需求文件全部实质性要求，且按照评审因素的量化指标评审得分最高的供应商为中选候选供应商的评审方法。</w:t>
      </w:r>
    </w:p>
    <w:p>
      <w:pPr>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仿宋_GB2312" w:cs="黑体"/>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本项目按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方案质量45分、</w:t>
      </w:r>
      <w:r>
        <w:rPr>
          <w:rFonts w:hint="eastAsia" w:ascii="仿宋_GB2312" w:hAnsi="仿宋_GB2312" w:eastAsia="仿宋_GB2312" w:cs="仿宋_GB2312"/>
          <w:color w:val="000000" w:themeColor="text1"/>
          <w:sz w:val="32"/>
          <w:szCs w:val="32"/>
          <w:highlight w:val="none"/>
          <w14:textFill>
            <w14:solidFill>
              <w14:schemeClr w14:val="tx1"/>
            </w14:solidFill>
          </w14:textFill>
        </w:rPr>
        <w:t>响应报价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项目经验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15分、项目团队15分、诚信情况5分五大</w:t>
      </w:r>
      <w:r>
        <w:rPr>
          <w:rFonts w:hint="eastAsia" w:ascii="仿宋_GB2312" w:hAnsi="仿宋_GB2312" w:eastAsia="仿宋_GB2312" w:cs="仿宋_GB2312"/>
          <w:color w:val="000000" w:themeColor="text1"/>
          <w:sz w:val="32"/>
          <w:szCs w:val="32"/>
          <w:highlight w:val="none"/>
          <w14:textFill>
            <w14:solidFill>
              <w14:schemeClr w14:val="tx1"/>
            </w14:solidFill>
          </w14:textFill>
        </w:rPr>
        <w:t>要素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进行综合评分</w:t>
      </w:r>
      <w:r>
        <w:rPr>
          <w:rFonts w:hint="eastAsia" w:ascii="仿宋_GB2312" w:hAnsi="仿宋_GB2312" w:eastAsia="仿宋_GB2312" w:cs="仿宋_GB2312"/>
          <w:color w:val="000000" w:themeColor="text1"/>
          <w:sz w:val="32"/>
          <w:szCs w:val="32"/>
          <w:highlight w:val="none"/>
          <w14:textFill>
            <w14:solidFill>
              <w14:schemeClr w14:val="tx1"/>
            </w14:solidFill>
          </w14:textFill>
        </w:rPr>
        <w:t>，总分100分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ageBreakBefore w:val="0"/>
        <w:kinsoku/>
        <w:wordWrap/>
        <w:overflowPunct/>
        <w:topLinePunct w:val="0"/>
        <w:autoSpaceDE/>
        <w:autoSpaceDN/>
        <w:bidi w:val="0"/>
        <w:spacing w:line="560" w:lineRule="exac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二、价格分计算方法说明</w:t>
      </w:r>
    </w:p>
    <w:p>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采用低价优先法计算，即满足采购需求文件要求且响应价格最低的响应报价为评审基准价，其价格分为满分。</w:t>
      </w:r>
    </w:p>
    <w:p>
      <w:pPr>
        <w:pageBreakBefore w:val="0"/>
        <w:widowControl/>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评审过程中，不得去掉报价中的最高报价和最低报价。</w:t>
      </w:r>
    </w:p>
    <w:p>
      <w:pPr>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黑体"/>
          <w:bCs/>
          <w:sz w:val="32"/>
          <w:szCs w:val="32"/>
          <w:highlight w:val="none"/>
        </w:rPr>
      </w:pPr>
      <w:r>
        <w:rPr>
          <w:rFonts w:hint="eastAsia" w:ascii="仿宋_GB2312" w:hAnsi="仿宋_GB2312" w:eastAsia="仿宋_GB2312" w:cs="仿宋_GB2312"/>
          <w:sz w:val="32"/>
          <w:szCs w:val="32"/>
          <w:highlight w:val="none"/>
        </w:rPr>
        <w:t>注：供应商不得以低于成本的报价竞选，供应商报价低于本项目财政预算15%时，评审委员会有权要求其对成本构成进行说明；如供应商没有附上合理的理由或不按要求提供低价说明，可视为不被接受有风险的报价。</w:t>
      </w:r>
    </w:p>
    <w:p>
      <w:pPr>
        <w:pageBreakBefore w:val="0"/>
        <w:kinsoku/>
        <w:wordWrap/>
        <w:overflowPunct/>
        <w:topLinePunct w:val="0"/>
        <w:autoSpaceDE/>
        <w:autoSpaceDN/>
        <w:bidi w:val="0"/>
        <w:spacing w:line="560" w:lineRule="exact"/>
        <w:ind w:firstLine="640" w:firstLineChars="200"/>
        <w:textAlignment w:val="auto"/>
        <w:rPr>
          <w:rFonts w:hint="eastAsia"/>
          <w:lang w:eastAsia="zh-CN"/>
        </w:rPr>
      </w:pPr>
      <w:r>
        <w:rPr>
          <w:rFonts w:hint="eastAsia" w:ascii="黑体" w:hAnsi="黑体" w:eastAsia="黑体" w:cs="黑体"/>
          <w:bCs/>
          <w:sz w:val="32"/>
          <w:szCs w:val="32"/>
          <w:highlight w:val="none"/>
          <w:lang w:eastAsia="zh-CN"/>
        </w:rPr>
        <w:t>三、</w:t>
      </w:r>
      <w:r>
        <w:rPr>
          <w:rFonts w:hint="eastAsia" w:ascii="黑体" w:hAnsi="黑体" w:eastAsia="黑体" w:cs="黑体"/>
          <w:bCs/>
          <w:sz w:val="32"/>
          <w:szCs w:val="32"/>
          <w:highlight w:val="none"/>
        </w:rPr>
        <w:t>项目评分</w:t>
      </w:r>
      <w:r>
        <w:rPr>
          <w:rFonts w:hint="eastAsia" w:ascii="黑体" w:hAnsi="黑体" w:eastAsia="黑体" w:cs="黑体"/>
          <w:bCs/>
          <w:sz w:val="32"/>
          <w:szCs w:val="32"/>
          <w:highlight w:val="none"/>
          <w:lang w:eastAsia="zh-CN"/>
        </w:rPr>
        <w:t>表</w:t>
      </w:r>
    </w:p>
    <w:tbl>
      <w:tblPr>
        <w:tblStyle w:val="11"/>
        <w:tblW w:w="10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232"/>
        <w:gridCol w:w="7310"/>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1232"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评审内容</w:t>
            </w:r>
          </w:p>
        </w:tc>
        <w:tc>
          <w:tcPr>
            <w:tcW w:w="7310"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评审细则</w:t>
            </w:r>
          </w:p>
        </w:tc>
        <w:tc>
          <w:tcPr>
            <w:tcW w:w="759"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42"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232" w:type="dxa"/>
            <w:tcBorders>
              <w:top w:val="single" w:color="000000" w:sz="4" w:space="0"/>
              <w:left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响应报价</w:t>
            </w:r>
          </w:p>
        </w:tc>
        <w:tc>
          <w:tcPr>
            <w:tcW w:w="731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价格分计算方法：（评标基准价/响应报价）×100×20%（最高不超过20分）</w:t>
            </w:r>
          </w:p>
        </w:tc>
        <w:tc>
          <w:tcPr>
            <w:tcW w:w="7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42"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w:t>
            </w:r>
          </w:p>
        </w:tc>
        <w:tc>
          <w:tcPr>
            <w:tcW w:w="1232" w:type="dxa"/>
            <w:tcBorders>
              <w:top w:val="single" w:color="000000" w:sz="4" w:space="0"/>
              <w:left w:val="nil"/>
              <w:right w:val="single" w:color="000000" w:sz="4" w:space="0"/>
            </w:tcBorders>
            <w:noWrap w:val="0"/>
            <w:vAlign w:val="center"/>
          </w:tcPr>
          <w:p>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诚信情况</w:t>
            </w:r>
          </w:p>
        </w:tc>
        <w:tc>
          <w:tcPr>
            <w:tcW w:w="7310" w:type="dxa"/>
            <w:tcBorders>
              <w:top w:val="single" w:color="000000" w:sz="4" w:space="0"/>
              <w:left w:val="nil"/>
              <w:bottom w:val="single" w:color="000000" w:sz="4" w:space="0"/>
              <w:right w:val="single" w:color="000000" w:sz="4" w:space="0"/>
            </w:tcBorders>
            <w:noWrap w:val="0"/>
            <w:vAlign w:val="center"/>
          </w:tcPr>
          <w:p>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未被列入失信被执行人、重大税收违法案件当事人名单、政府采购严重违法失信行为记录名单。（以信用中国查询截图为准，未按要求提供或提供不清晰导致评审小组无法判断的不得分。）</w:t>
            </w:r>
          </w:p>
        </w:tc>
        <w:tc>
          <w:tcPr>
            <w:tcW w:w="7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w:t>
            </w:r>
          </w:p>
        </w:tc>
        <w:tc>
          <w:tcPr>
            <w:tcW w:w="1232" w:type="dxa"/>
            <w:tcBorders>
              <w:left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项目经验</w:t>
            </w:r>
          </w:p>
        </w:tc>
        <w:tc>
          <w:tcPr>
            <w:tcW w:w="731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自2020年1月1日至本项目开标之日止（以合同签订时间为准），有承接过区级政府部门同类型项目（宣传类、活动类、征集类等）的，每提供一个得3分，最高不超过15分；有承接过市级政府部门同类型项目（宣传类、活动类、征集类等）的，每提供一个得5分，最高不超过15分（以提供的合同复印件为准，未按要求提供或提供不清晰导致</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评审小组</w:t>
            </w:r>
            <w:r>
              <w:rPr>
                <w:rFonts w:hint="eastAsia" w:ascii="仿宋_GB2312" w:hAnsi="仿宋_GB2312" w:eastAsia="仿宋_GB2312" w:cs="仿宋_GB2312"/>
                <w:sz w:val="24"/>
                <w:szCs w:val="24"/>
                <w:lang w:val="en-US" w:eastAsia="zh-CN"/>
              </w:rPr>
              <w:t>无法判断的不得分。）</w:t>
            </w:r>
          </w:p>
        </w:tc>
        <w:tc>
          <w:tcPr>
            <w:tcW w:w="7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84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1232" w:type="dxa"/>
            <w:tcBorders>
              <w:top w:val="single" w:color="000000" w:sz="4" w:space="0"/>
              <w:left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项目团队</w:t>
            </w:r>
          </w:p>
        </w:tc>
        <w:tc>
          <w:tcPr>
            <w:tcW w:w="731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派项目团队成员（含项目负责人）具有新闻学或广告学或网络新媒体或计算机专业的，每提供一人得3分，最高不超过15分。（以提供学历证书或职称证书复印件为准，学历证书还须提供学信网查询截图，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未按要求提供或提供不清晰导致评审小组无法判断的不得分。）</w:t>
            </w:r>
          </w:p>
        </w:tc>
        <w:tc>
          <w:tcPr>
            <w:tcW w:w="7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842"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4"/>
                <w:lang w:val="en-US" w:eastAsia="zh-CN" w:bidi="ar"/>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1232" w:type="dxa"/>
            <w:vMerge w:val="restart"/>
            <w:tcBorders>
              <w:top w:val="single" w:color="000000" w:sz="4" w:space="0"/>
              <w:left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方案</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质量</w:t>
            </w:r>
          </w:p>
        </w:tc>
        <w:tc>
          <w:tcPr>
            <w:tcW w:w="7310" w:type="dxa"/>
            <w:tcBorders>
              <w:top w:val="single" w:color="000000" w:sz="4" w:space="0"/>
              <w:left w:val="nil"/>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_GB2312" w:hAnsi="仿宋_GB2312" w:eastAsia="仿宋_GB2312" w:cs="仿宋_GB2312"/>
                <w:sz w:val="24"/>
                <w:szCs w:val="24"/>
                <w:lang w:val="en-US" w:eastAsia="zh-CN"/>
              </w:rPr>
              <w:t>横向对比投标人所提供方案的全面性，是否对光明区区情有充分认识，是否能结合光明区实际情况，挖掘光明资源禀赋，制定逻辑性强、覆盖面广的活动方案。（优得11-15分，良得6-10分，一般得1-5分）</w:t>
            </w:r>
          </w:p>
        </w:tc>
        <w:tc>
          <w:tcPr>
            <w:tcW w:w="7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842"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6</w:t>
            </w:r>
          </w:p>
        </w:tc>
        <w:tc>
          <w:tcPr>
            <w:tcW w:w="1232" w:type="dxa"/>
            <w:vMerge w:val="continue"/>
            <w:tcBorders>
              <w:left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7310" w:type="dxa"/>
            <w:tcBorders>
              <w:top w:val="single" w:color="000000" w:sz="4" w:space="0"/>
              <w:left w:val="nil"/>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_GB2312" w:hAnsi="仿宋_GB2312" w:eastAsia="仿宋_GB2312" w:cs="仿宋_GB2312"/>
                <w:sz w:val="24"/>
                <w:szCs w:val="24"/>
                <w:lang w:val="en-US" w:eastAsia="zh-CN"/>
              </w:rPr>
              <w:t>横向对比投标人所提供方案的可行性，是否能合理安排活动期间各阶段的工作任务；是否能针对各阶段的工作任务提出可行做法或提案；是否能量化活动预期效果。（优得11-15分，良得6-10分，一般得1-5分）</w:t>
            </w:r>
          </w:p>
        </w:tc>
        <w:tc>
          <w:tcPr>
            <w:tcW w:w="7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842"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7</w:t>
            </w:r>
          </w:p>
        </w:tc>
        <w:tc>
          <w:tcPr>
            <w:tcW w:w="1232" w:type="dxa"/>
            <w:vMerge w:val="continue"/>
            <w:tcBorders>
              <w:left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7310" w:type="dxa"/>
            <w:tcBorders>
              <w:top w:val="single" w:color="000000" w:sz="4" w:space="0"/>
              <w:left w:val="nil"/>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_GB2312" w:hAnsi="仿宋_GB2312" w:eastAsia="仿宋_GB2312" w:cs="仿宋_GB2312"/>
                <w:sz w:val="24"/>
                <w:szCs w:val="24"/>
                <w:lang w:val="en-US" w:eastAsia="zh-CN"/>
              </w:rPr>
              <w:t>横向对比投标人所提供方案的创新性，是否能结合光明区实际情况，对“光明十景”提出创新性概念；是否能开展创新性活动，吸引广大市民群众参加。（优得11-15分，良得6-10分，一般得1-5分）</w:t>
            </w:r>
          </w:p>
        </w:tc>
        <w:tc>
          <w:tcPr>
            <w:tcW w:w="7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3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合    计</w:t>
            </w:r>
          </w:p>
        </w:tc>
        <w:tc>
          <w:tcPr>
            <w:tcW w:w="75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100</w:t>
            </w:r>
          </w:p>
        </w:tc>
      </w:tr>
    </w:tbl>
    <w:p>
      <w:pPr>
        <w:pageBreakBefore w:val="0"/>
        <w:kinsoku/>
        <w:wordWrap/>
        <w:overflowPunct/>
        <w:topLinePunct w:val="0"/>
        <w:autoSpaceDE/>
        <w:autoSpaceDN/>
        <w:bidi w:val="0"/>
        <w:spacing w:line="560" w:lineRule="exact"/>
        <w:ind w:firstLine="720" w:firstLineChars="200"/>
        <w:textAlignment w:val="auto"/>
        <w:rPr>
          <w:rFonts w:hint="eastAsia" w:ascii="黑体" w:hAnsi="黑体" w:eastAsia="黑体" w:cs="黑体"/>
          <w:sz w:val="36"/>
          <w:szCs w:val="36"/>
          <w:highlight w:val="none"/>
        </w:rPr>
      </w:pPr>
    </w:p>
    <w:p>
      <w:pPr>
        <w:pageBreakBefore w:val="0"/>
        <w:kinsoku/>
        <w:wordWrap/>
        <w:overflowPunct/>
        <w:topLinePunct w:val="0"/>
        <w:autoSpaceDE/>
        <w:autoSpaceDN/>
        <w:bidi w:val="0"/>
        <w:spacing w:line="560" w:lineRule="exact"/>
        <w:ind w:firstLine="720" w:firstLineChars="200"/>
        <w:textAlignment w:val="auto"/>
        <w:rPr>
          <w:rFonts w:hint="eastAsia" w:ascii="黑体" w:hAnsi="黑体" w:eastAsia="黑体" w:cs="黑体"/>
          <w:sz w:val="36"/>
          <w:szCs w:val="36"/>
          <w:highlight w:val="none"/>
        </w:rPr>
      </w:pPr>
      <w:r>
        <w:rPr>
          <w:rFonts w:hint="eastAsia" w:ascii="黑体" w:hAnsi="黑体" w:eastAsia="黑体" w:cs="黑体"/>
          <w:sz w:val="36"/>
          <w:szCs w:val="36"/>
          <w:highlight w:val="none"/>
        </w:rPr>
        <w:t>第三部分   供应商资质要求</w:t>
      </w:r>
    </w:p>
    <w:p>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w:t>
      </w:r>
    </w:p>
    <w:p>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（二）投标人需具有互联网社交平台广告代理资质，或具有广告业务或文化活动策划或软件技术开发经营范围；</w:t>
      </w:r>
    </w:p>
    <w:p>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）参与本项目投标前三年内，在经营活动中没有重大违法记录（由供应商在《政府采购投标及履约承诺函》中作出声明）；</w:t>
      </w:r>
    </w:p>
    <w:p>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）参与本项目政府采购活动时不存在被有关部门禁止参与政府采购活动且在有效期内的情况（由供应商在《政府采购投标及履约承诺函》中作出声明）；</w:t>
      </w:r>
    </w:p>
    <w:p>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）未被列入失信被执行人、重大税收违法案件当事人名单、政府采购严重违法失信行为记录名单（由供应商在《政府采购投标及履约承诺函》中作出声明，可用信用中国截图）；</w:t>
      </w:r>
    </w:p>
    <w:p>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）本项目不接受联合体投标，不接受投标人选用进口产品参与投标；不允许分包、转包。</w:t>
      </w:r>
    </w:p>
    <w:p>
      <w:pPr>
        <w:pageBreakBefore w:val="0"/>
        <w:kinsoku/>
        <w:wordWrap/>
        <w:overflowPunct/>
        <w:topLinePunct w:val="0"/>
        <w:autoSpaceDE/>
        <w:autoSpaceDN/>
        <w:bidi w:val="0"/>
        <w:spacing w:line="560" w:lineRule="exact"/>
        <w:ind w:firstLine="720" w:firstLineChars="200"/>
        <w:textAlignment w:val="auto"/>
        <w:rPr>
          <w:rFonts w:hint="eastAsia" w:ascii="黑体" w:hAnsi="黑体" w:eastAsia="黑体" w:cs="黑体"/>
          <w:sz w:val="36"/>
          <w:szCs w:val="36"/>
          <w:highlight w:val="none"/>
        </w:rPr>
      </w:pPr>
    </w:p>
    <w:p>
      <w:pPr>
        <w:pageBreakBefore w:val="0"/>
        <w:kinsoku/>
        <w:wordWrap/>
        <w:overflowPunct/>
        <w:topLinePunct w:val="0"/>
        <w:autoSpaceDE/>
        <w:autoSpaceDN/>
        <w:bidi w:val="0"/>
        <w:spacing w:line="560" w:lineRule="exact"/>
        <w:ind w:firstLine="720" w:firstLineChars="200"/>
        <w:textAlignment w:val="auto"/>
        <w:rPr>
          <w:rFonts w:ascii="黑体" w:hAnsi="黑体" w:eastAsia="黑体" w:cs="黑体"/>
          <w:sz w:val="36"/>
          <w:szCs w:val="36"/>
          <w:highlight w:val="none"/>
        </w:rPr>
      </w:pPr>
      <w:r>
        <w:rPr>
          <w:rFonts w:hint="eastAsia" w:ascii="黑体" w:hAnsi="黑体" w:eastAsia="黑体" w:cs="黑体"/>
          <w:sz w:val="36"/>
          <w:szCs w:val="36"/>
          <w:highlight w:val="none"/>
        </w:rPr>
        <w:t>第四部分   响应文件的构成及递交</w:t>
      </w:r>
    </w:p>
    <w:p>
      <w:pPr>
        <w:pageBreakBefore w:val="0"/>
        <w:kinsoku/>
        <w:wordWrap/>
        <w:overflowPunct/>
        <w:topLinePunct w:val="0"/>
        <w:autoSpaceDE/>
        <w:autoSpaceDN/>
        <w:bidi w:val="0"/>
        <w:spacing w:line="560" w:lineRule="exac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一、响应文件的构成</w:t>
      </w:r>
    </w:p>
    <w:p>
      <w:pPr>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（一）单位营业执照</w:t>
      </w:r>
      <w:r>
        <w:rPr>
          <w:rFonts w:hint="eastAsia" w:ascii="仿宋_GB2312" w:hAnsi="仿宋_GB2312" w:eastAsia="仿宋_GB2312" w:cs="仿宋_GB2312"/>
          <w:sz w:val="32"/>
          <w:szCs w:val="32"/>
          <w:highlight w:val="none"/>
          <w:lang w:eastAsia="zh-CN"/>
        </w:rPr>
        <w:t>复印件</w:t>
      </w:r>
      <w:r>
        <w:rPr>
          <w:rFonts w:hint="eastAsia" w:ascii="仿宋_GB2312" w:hAnsi="仿宋_GB2312" w:eastAsia="仿宋_GB2312" w:cs="仿宋_GB2312"/>
          <w:sz w:val="32"/>
          <w:szCs w:val="32"/>
          <w:highlight w:val="none"/>
        </w:rPr>
        <w:t>（加盖公章，原件备查）；</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（二）报价</w:t>
      </w:r>
      <w:r>
        <w:rPr>
          <w:rFonts w:hint="eastAsia" w:ascii="仿宋_GB2312" w:hAnsi="仿宋_GB2312" w:eastAsia="仿宋_GB2312" w:cs="仿宋_GB2312"/>
          <w:sz w:val="32"/>
          <w:szCs w:val="32"/>
          <w:highlight w:val="none"/>
          <w:lang w:eastAsia="zh-CN"/>
        </w:rPr>
        <w:t>单（加盖公章）</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宣传</w:t>
      </w:r>
      <w:r>
        <w:rPr>
          <w:rFonts w:hint="eastAsia" w:ascii="仿宋_GB2312" w:hAnsi="仿宋_GB2312" w:eastAsia="仿宋_GB2312" w:cs="仿宋_GB2312"/>
          <w:sz w:val="32"/>
          <w:szCs w:val="32"/>
          <w:highlight w:val="none"/>
        </w:rPr>
        <w:t>方案</w:t>
      </w:r>
      <w:r>
        <w:rPr>
          <w:rFonts w:hint="eastAsia" w:ascii="仿宋_GB2312" w:hAnsi="仿宋_GB2312" w:eastAsia="仿宋_GB2312" w:cs="仿宋_GB2312"/>
          <w:sz w:val="32"/>
          <w:szCs w:val="32"/>
          <w:highlight w:val="none"/>
          <w:lang w:eastAsia="zh-CN"/>
        </w:rPr>
        <w:t>（加盖公章）；</w:t>
      </w:r>
    </w:p>
    <w:p>
      <w:pPr>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2020年1月1日至今</w:t>
      </w:r>
      <w:r>
        <w:rPr>
          <w:rFonts w:hint="eastAsia" w:ascii="仿宋_GB2312" w:hAnsi="仿宋_GB2312" w:eastAsia="仿宋_GB2312" w:cs="仿宋_GB2312"/>
          <w:sz w:val="32"/>
          <w:szCs w:val="32"/>
          <w:highlight w:val="none"/>
        </w:rPr>
        <w:t>同</w:t>
      </w:r>
      <w:r>
        <w:rPr>
          <w:rFonts w:hint="eastAsia" w:ascii="仿宋_GB2312" w:hAnsi="仿宋_GB2312" w:eastAsia="仿宋_GB2312" w:cs="仿宋_GB2312"/>
          <w:sz w:val="32"/>
          <w:szCs w:val="32"/>
          <w:highlight w:val="none"/>
          <w:lang w:eastAsia="zh-CN"/>
        </w:rPr>
        <w:t>类型</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资料复印件（加盖公章，原件备查）</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项目负责人社保证明</w:t>
      </w:r>
      <w:r>
        <w:rPr>
          <w:rFonts w:hint="eastAsia" w:ascii="仿宋_GB2312" w:hAnsi="仿宋_GB2312" w:eastAsia="仿宋_GB2312" w:cs="仿宋_GB2312"/>
          <w:sz w:val="32"/>
          <w:szCs w:val="32"/>
          <w:highlight w:val="none"/>
          <w:lang w:eastAsia="zh-CN"/>
        </w:rPr>
        <w:t>、学历、</w:t>
      </w:r>
      <w:r>
        <w:rPr>
          <w:rFonts w:hint="eastAsia" w:ascii="仿宋_GB2312" w:hAnsi="仿宋_GB2312" w:eastAsia="仿宋_GB2312" w:cs="仿宋_GB2312"/>
          <w:sz w:val="32"/>
          <w:szCs w:val="32"/>
          <w:highlight w:val="none"/>
        </w:rPr>
        <w:t>职称证书</w:t>
      </w:r>
      <w:r>
        <w:rPr>
          <w:rFonts w:hint="eastAsia" w:ascii="仿宋_GB2312" w:hAnsi="仿宋_GB2312" w:eastAsia="仿宋_GB2312" w:cs="仿宋_GB2312"/>
          <w:sz w:val="32"/>
          <w:szCs w:val="32"/>
          <w:highlight w:val="none"/>
          <w:lang w:eastAsia="zh-CN"/>
        </w:rPr>
        <w:t>复印件</w:t>
      </w:r>
      <w:r>
        <w:rPr>
          <w:rFonts w:hint="eastAsia" w:ascii="仿宋_GB2312" w:hAnsi="仿宋_GB2312" w:eastAsia="仿宋_GB2312" w:cs="仿宋_GB2312"/>
          <w:sz w:val="32"/>
          <w:szCs w:val="32"/>
          <w:highlight w:val="none"/>
        </w:rPr>
        <w:t>（加盖公章，原件备查）；</w:t>
      </w:r>
    </w:p>
    <w:p>
      <w:pPr>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）项目团队人员学历证书</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rPr>
        <w:t>职称证书</w:t>
      </w:r>
      <w:r>
        <w:rPr>
          <w:rFonts w:hint="eastAsia" w:ascii="仿宋_GB2312" w:hAnsi="仿宋_GB2312" w:eastAsia="仿宋_GB2312" w:cs="仿宋_GB2312"/>
          <w:sz w:val="32"/>
          <w:szCs w:val="32"/>
          <w:highlight w:val="none"/>
          <w:lang w:eastAsia="zh-CN"/>
        </w:rPr>
        <w:t>复印件</w:t>
      </w:r>
      <w:r>
        <w:rPr>
          <w:rFonts w:hint="eastAsia" w:ascii="仿宋_GB2312" w:hAnsi="仿宋_GB2312" w:eastAsia="仿宋_GB2312" w:cs="仿宋_GB2312"/>
          <w:sz w:val="32"/>
          <w:szCs w:val="32"/>
          <w:highlight w:val="none"/>
        </w:rPr>
        <w:t>（加盖公章，原件备查）；</w:t>
      </w:r>
    </w:p>
    <w:p>
      <w:pPr>
        <w:pStyle w:val="6"/>
        <w:pageBreakBefore w:val="0"/>
        <w:kinsoku/>
        <w:wordWrap/>
        <w:overflowPunct/>
        <w:topLinePunct w:val="0"/>
        <w:autoSpaceDE/>
        <w:autoSpaceDN/>
        <w:bidi w:val="0"/>
        <w:spacing w:line="560" w:lineRule="exact"/>
        <w:textAlignment w:val="auto"/>
        <w:rPr>
          <w:rFonts w:hint="eastAsia"/>
          <w:highlight w:val="none"/>
          <w:lang w:eastAsia="zh-CN"/>
        </w:rPr>
      </w:pPr>
      <w:r>
        <w:rPr>
          <w:rFonts w:hint="eastAsia" w:ascii="仿宋_GB2312" w:hAnsi="宋体" w:eastAsia="仿宋_GB2312"/>
          <w:color w:val="000000"/>
          <w:sz w:val="32"/>
          <w:szCs w:val="32"/>
          <w:highlight w:val="none"/>
        </w:rPr>
        <w:t>（</w:t>
      </w:r>
      <w:r>
        <w:rPr>
          <w:rFonts w:hint="eastAsia" w:ascii="仿宋_GB2312" w:hAnsi="宋体" w:eastAsia="仿宋_GB2312"/>
          <w:color w:val="000000"/>
          <w:sz w:val="32"/>
          <w:szCs w:val="32"/>
          <w:highlight w:val="none"/>
          <w:lang w:eastAsia="zh-CN"/>
        </w:rPr>
        <w:t>七</w:t>
      </w:r>
      <w:r>
        <w:rPr>
          <w:rFonts w:hint="eastAsia" w:ascii="仿宋_GB2312" w:hAnsi="宋体" w:eastAsia="仿宋_GB2312"/>
          <w:color w:val="000000"/>
          <w:sz w:val="32"/>
          <w:szCs w:val="32"/>
          <w:highlight w:val="none"/>
        </w:rPr>
        <w:t>）招标文件要求的其它内容或投标人认为需要补充的资料</w:t>
      </w:r>
      <w:r>
        <w:rPr>
          <w:rFonts w:hint="eastAsia" w:ascii="仿宋_GB2312" w:hAnsi="宋体" w:eastAsia="仿宋_GB2312"/>
          <w:color w:val="000000"/>
          <w:sz w:val="32"/>
          <w:szCs w:val="32"/>
          <w:highlight w:val="none"/>
          <w:lang w:eastAsia="zh-CN"/>
        </w:rPr>
        <w:t>。</w:t>
      </w:r>
    </w:p>
    <w:p>
      <w:pPr>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bCs/>
          <w:sz w:val="32"/>
          <w:szCs w:val="32"/>
          <w:highlight w:val="none"/>
        </w:rPr>
        <w:t>二、响应文件的递交</w:t>
      </w:r>
      <w:r>
        <w:rPr>
          <w:rFonts w:hint="eastAsia" w:ascii="仿宋_GB2312" w:hAnsi="仿宋_GB2312" w:eastAsia="仿宋_GB2312" w:cs="仿宋_GB2312"/>
          <w:sz w:val="32"/>
          <w:szCs w:val="32"/>
          <w:highlight w:val="none"/>
        </w:rPr>
        <w:t>（邮递拒绝到付）</w:t>
      </w:r>
    </w:p>
    <w:p>
      <w:pPr>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（一）供应商应准备“响应文件”一式六份，与《响应一览表》（附件1）一同密封</w:t>
      </w:r>
      <w:r>
        <w:rPr>
          <w:rFonts w:hint="eastAsia" w:ascii="仿宋_GB2312" w:hAnsi="仿宋_GB2312" w:eastAsia="仿宋_GB2312" w:cs="仿宋_GB2312"/>
          <w:sz w:val="32"/>
          <w:szCs w:val="32"/>
          <w:highlight w:val="none"/>
          <w:lang w:val="en-US" w:eastAsia="zh-CN"/>
        </w:rPr>
        <w:t>装好</w:t>
      </w:r>
      <w:r>
        <w:rPr>
          <w:rFonts w:hint="eastAsia" w:ascii="仿宋_GB2312" w:hAnsi="仿宋_GB2312" w:eastAsia="仿宋_GB2312" w:cs="仿宋_GB2312"/>
          <w:sz w:val="32"/>
          <w:szCs w:val="32"/>
          <w:highlight w:val="none"/>
        </w:rPr>
        <w:t>，封口处需加盖单位公章，并在封面注明：</w:t>
      </w:r>
    </w:p>
    <w:p>
      <w:pPr>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1.响应项目；</w:t>
      </w:r>
    </w:p>
    <w:p>
      <w:pPr>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2.供应商名称；</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3.联系人姓名、电话。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同时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电子扫描版材料发送到</w:t>
      </w:r>
      <w:r>
        <w:rPr>
          <w:rFonts w:hint="eastAsia" w:ascii="仿宋_GB2312" w:hAnsi="仿宋_GB2312" w:eastAsia="仿宋_GB2312" w:cs="仿宋_GB2312"/>
          <w:sz w:val="32"/>
          <w:szCs w:val="32"/>
          <w:highlight w:val="none"/>
          <w:lang w:val="en-US" w:eastAsia="zh-CN"/>
        </w:rPr>
        <w:t>wgltcyk@szgm.gov.cn。</w:t>
      </w:r>
    </w:p>
    <w:p>
      <w:pPr>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（二）响应文件递交截止时间：202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日18时00分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北京时间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spacing w:line="560" w:lineRule="exact"/>
        <w:textAlignment w:val="auto"/>
        <w:rPr>
          <w:highlight w:val="none"/>
        </w:rPr>
      </w:pPr>
    </w:p>
    <w:p>
      <w:pPr>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sectPr>
          <w:pgSz w:w="11906" w:h="16838"/>
          <w:pgMar w:top="2098" w:right="1474" w:bottom="1984" w:left="1587" w:header="851" w:footer="992" w:gutter="0"/>
          <w:pgNumType w:fmt="numberInDash"/>
          <w:cols w:space="720" w:num="1"/>
          <w:docGrid w:type="lines" w:linePitch="312" w:charSpace="0"/>
        </w:sectPr>
      </w:pPr>
    </w:p>
    <w:p>
      <w:pPr>
        <w:pageBreakBefore w:val="0"/>
        <w:widowControl/>
        <w:kinsoku/>
        <w:wordWrap/>
        <w:overflowPunct/>
        <w:topLinePunct w:val="0"/>
        <w:autoSpaceDE/>
        <w:autoSpaceDN/>
        <w:bidi w:val="0"/>
        <w:spacing w:line="560" w:lineRule="exact"/>
        <w:jc w:val="center"/>
        <w:textAlignment w:val="auto"/>
        <w:rPr>
          <w:rFonts w:ascii="黑体" w:hAnsi="黑体" w:eastAsia="黑体" w:cs="黑体"/>
          <w:sz w:val="36"/>
          <w:szCs w:val="36"/>
          <w:highlight w:val="none"/>
        </w:rPr>
      </w:pPr>
      <w:r>
        <w:rPr>
          <w:rFonts w:hint="eastAsia" w:ascii="黑体" w:hAnsi="黑体" w:eastAsia="黑体" w:cs="黑体"/>
          <w:sz w:val="36"/>
          <w:szCs w:val="36"/>
          <w:highlight w:val="none"/>
        </w:rPr>
        <w:t>第三章  附件</w:t>
      </w:r>
    </w:p>
    <w:p>
      <w:pPr>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cs="黑体"/>
          <w:sz w:val="20"/>
          <w:szCs w:val="20"/>
          <w:highlight w:val="none"/>
        </w:rPr>
      </w:pPr>
    </w:p>
    <w:p>
      <w:pPr>
        <w:pageBreakBefore w:val="0"/>
        <w:kinsoku/>
        <w:wordWrap/>
        <w:overflowPunct/>
        <w:topLinePunct w:val="0"/>
        <w:autoSpaceDE/>
        <w:autoSpaceDN/>
        <w:bidi w:val="0"/>
        <w:spacing w:line="560" w:lineRule="exact"/>
        <w:textAlignment w:val="auto"/>
        <w:rPr>
          <w:rFonts w:ascii="黑体" w:hAnsi="黑体" w:eastAsia="黑体" w:cs="黑体"/>
          <w:sz w:val="36"/>
          <w:szCs w:val="36"/>
          <w:highlight w:val="none"/>
        </w:rPr>
      </w:pPr>
      <w:r>
        <w:rPr>
          <w:rFonts w:hint="eastAsia" w:ascii="黑体" w:hAnsi="黑体" w:eastAsia="黑体" w:cs="黑体"/>
          <w:sz w:val="36"/>
          <w:szCs w:val="36"/>
          <w:highlight w:val="none"/>
        </w:rPr>
        <w:t>附件1</w:t>
      </w:r>
    </w:p>
    <w:p>
      <w:pPr>
        <w:pageBreakBefore w:val="0"/>
        <w:kinsoku/>
        <w:wordWrap/>
        <w:overflowPunct/>
        <w:topLinePunct w:val="0"/>
        <w:autoSpaceDE/>
        <w:autoSpaceDN/>
        <w:bidi w:val="0"/>
        <w:spacing w:line="560" w:lineRule="exact"/>
        <w:ind w:firstLine="3360" w:firstLineChars="1050"/>
        <w:textAlignment w:val="auto"/>
        <w:rPr>
          <w:rFonts w:ascii="仿宋_GB2312" w:eastAsia="仿宋_GB2312"/>
          <w:sz w:val="32"/>
          <w:szCs w:val="32"/>
          <w:highlight w:val="none"/>
        </w:rPr>
      </w:pPr>
    </w:p>
    <w:p>
      <w:pPr>
        <w:pageBreakBefore w:val="0"/>
        <w:kinsoku/>
        <w:wordWrap/>
        <w:overflowPunct/>
        <w:topLinePunct w:val="0"/>
        <w:autoSpaceDE/>
        <w:autoSpaceDN/>
        <w:bidi w:val="0"/>
        <w:spacing w:line="560" w:lineRule="exact"/>
        <w:ind w:firstLine="3360" w:firstLineChars="1050"/>
        <w:textAlignment w:val="auto"/>
        <w:rPr>
          <w:rFonts w:ascii="仿宋_GB2312" w:eastAsia="仿宋_GB2312"/>
          <w:sz w:val="32"/>
          <w:szCs w:val="32"/>
          <w:highlight w:val="none"/>
        </w:rPr>
      </w:pPr>
      <w:r>
        <w:rPr>
          <w:rFonts w:hint="eastAsia" w:ascii="仿宋_GB2312" w:eastAsia="仿宋_GB2312"/>
          <w:sz w:val="32"/>
          <w:szCs w:val="32"/>
          <w:highlight w:val="none"/>
        </w:rPr>
        <w:t>响应一览表</w:t>
      </w:r>
    </w:p>
    <w:p>
      <w:pPr>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项目编号：</w:t>
      </w:r>
    </w:p>
    <w:p>
      <w:pPr>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项目名称：</w:t>
      </w:r>
    </w:p>
    <w:p>
      <w:pPr>
        <w:pageBreakBefore w:val="0"/>
        <w:kinsoku/>
        <w:wordWrap/>
        <w:overflowPunct/>
        <w:topLinePunct w:val="0"/>
        <w:autoSpaceDE/>
        <w:autoSpaceDN/>
        <w:bidi w:val="0"/>
        <w:spacing w:after="312" w:afterLines="100"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供应商名称：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95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pageBreakBefore w:val="0"/>
              <w:kinsoku/>
              <w:wordWrap/>
              <w:overflowPunct/>
              <w:topLinePunct w:val="0"/>
              <w:autoSpaceDE/>
              <w:autoSpaceDN/>
              <w:bidi w:val="0"/>
              <w:spacing w:line="560" w:lineRule="exact"/>
              <w:jc w:val="center"/>
              <w:textAlignment w:val="auto"/>
              <w:rPr>
                <w:rFonts w:ascii="仿宋_GB2312" w:eastAsia="仿宋_GB2312"/>
                <w:sz w:val="32"/>
                <w:szCs w:val="32"/>
                <w:highlight w:val="none"/>
              </w:rPr>
            </w:pPr>
            <w:r>
              <w:rPr>
                <w:rFonts w:hint="eastAsia" w:ascii="仿宋_GB2312" w:eastAsia="仿宋_GB2312"/>
                <w:sz w:val="32"/>
                <w:szCs w:val="32"/>
                <w:highlight w:val="none"/>
              </w:rPr>
              <w:t>序号</w:t>
            </w:r>
          </w:p>
        </w:tc>
        <w:tc>
          <w:tcPr>
            <w:tcW w:w="3953" w:type="dxa"/>
            <w:vAlign w:val="center"/>
          </w:tcPr>
          <w:p>
            <w:pPr>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sz w:val="32"/>
                <w:szCs w:val="32"/>
                <w:highlight w:val="none"/>
              </w:rPr>
            </w:pPr>
            <w:r>
              <w:rPr>
                <w:rFonts w:hint="eastAsia" w:ascii="仿宋_GB2312" w:eastAsia="仿宋_GB2312"/>
                <w:sz w:val="32"/>
                <w:szCs w:val="32"/>
                <w:highlight w:val="none"/>
              </w:rPr>
              <w:t>响应报价</w:t>
            </w:r>
          </w:p>
        </w:tc>
        <w:tc>
          <w:tcPr>
            <w:tcW w:w="2841" w:type="dxa"/>
            <w:vAlign w:val="center"/>
          </w:tcPr>
          <w:p>
            <w:pPr>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sz w:val="32"/>
                <w:szCs w:val="32"/>
                <w:highlight w:val="none"/>
              </w:rPr>
            </w:pPr>
            <w:r>
              <w:rPr>
                <w:rFonts w:hint="eastAsia" w:ascii="仿宋_GB2312" w:eastAsia="仿宋_GB2312"/>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sz w:val="32"/>
                <w:szCs w:val="32"/>
                <w:highlight w:val="none"/>
              </w:rPr>
            </w:pPr>
          </w:p>
        </w:tc>
        <w:tc>
          <w:tcPr>
            <w:tcW w:w="3953" w:type="dxa"/>
            <w:vAlign w:val="center"/>
          </w:tcPr>
          <w:p>
            <w:pPr>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sz w:val="32"/>
                <w:szCs w:val="32"/>
                <w:highlight w:val="none"/>
              </w:rPr>
            </w:pPr>
          </w:p>
        </w:tc>
        <w:tc>
          <w:tcPr>
            <w:tcW w:w="2841" w:type="dxa"/>
            <w:vAlign w:val="center"/>
          </w:tcPr>
          <w:p>
            <w:pPr>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sz w:val="32"/>
                <w:szCs w:val="32"/>
                <w:highlight w:val="none"/>
              </w:rPr>
            </w:pPr>
          </w:p>
        </w:tc>
      </w:tr>
    </w:tbl>
    <w:p>
      <w:pPr>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p>
    <w:p>
      <w:pPr>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供应商代表签字：</w:t>
      </w:r>
    </w:p>
    <w:p>
      <w:pPr>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u w:val="single"/>
        </w:rPr>
      </w:pPr>
      <w:r>
        <w:rPr>
          <w:rFonts w:hint="eastAsia" w:ascii="仿宋_GB2312" w:eastAsia="仿宋_GB2312"/>
          <w:sz w:val="32"/>
          <w:szCs w:val="32"/>
          <w:highlight w:val="none"/>
        </w:rPr>
        <w:t>单位盖章：</w:t>
      </w:r>
    </w:p>
    <w:p>
      <w:pPr>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u w:val="single"/>
        </w:rPr>
      </w:pPr>
    </w:p>
    <w:p>
      <w:pPr>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u w:val="single"/>
        </w:rPr>
      </w:pPr>
    </w:p>
    <w:p>
      <w:pPr>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供应商联系电话（必填）：</w:t>
      </w:r>
    </w:p>
    <w:p>
      <w:pPr>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日  期：</w:t>
      </w:r>
    </w:p>
    <w:p>
      <w:pPr>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p>
    <w:p>
      <w:pPr>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p>
    <w:p>
      <w:pPr>
        <w:pStyle w:val="2"/>
        <w:pageBreakBefore w:val="0"/>
        <w:kinsoku/>
        <w:wordWrap/>
        <w:overflowPunct/>
        <w:topLinePunct w:val="0"/>
        <w:autoSpaceDE/>
        <w:autoSpaceDN/>
        <w:bidi w:val="0"/>
        <w:adjustRightInd w:val="0"/>
        <w:snapToGrid w:val="0"/>
        <w:spacing w:before="0" w:after="0" w:line="560" w:lineRule="exact"/>
        <w:textAlignment w:val="auto"/>
        <w:rPr>
          <w:sz w:val="13"/>
          <w:szCs w:val="13"/>
          <w:highlight w:val="none"/>
        </w:rPr>
      </w:pPr>
    </w:p>
    <w:p/>
    <w:p>
      <w:pPr>
        <w:pageBreakBefore w:val="0"/>
        <w:kinsoku/>
        <w:wordWrap/>
        <w:overflowPunct/>
        <w:topLinePunct w:val="0"/>
        <w:autoSpaceDE/>
        <w:autoSpaceDN/>
        <w:bidi w:val="0"/>
        <w:spacing w:line="560" w:lineRule="exact"/>
        <w:textAlignment w:val="auto"/>
        <w:rPr>
          <w:rFonts w:hint="eastAsia" w:ascii="黑体" w:hAnsi="黑体" w:eastAsia="黑体" w:cs="黑体"/>
          <w:sz w:val="36"/>
          <w:szCs w:val="36"/>
          <w:highlight w:val="none"/>
        </w:rPr>
      </w:pPr>
    </w:p>
    <w:p>
      <w:pPr>
        <w:pageBreakBefore w:val="0"/>
        <w:kinsoku/>
        <w:wordWrap/>
        <w:overflowPunct/>
        <w:topLinePunct w:val="0"/>
        <w:autoSpaceDE/>
        <w:autoSpaceDN/>
        <w:bidi w:val="0"/>
        <w:spacing w:line="560" w:lineRule="exact"/>
        <w:textAlignment w:val="auto"/>
        <w:rPr>
          <w:rFonts w:ascii="黑体" w:hAnsi="黑体" w:eastAsia="黑体" w:cs="黑体"/>
          <w:sz w:val="36"/>
          <w:szCs w:val="36"/>
          <w:highlight w:val="none"/>
        </w:rPr>
      </w:pPr>
      <w:r>
        <w:rPr>
          <w:rFonts w:hint="eastAsia" w:ascii="黑体" w:hAnsi="黑体" w:eastAsia="黑体" w:cs="黑体"/>
          <w:sz w:val="36"/>
          <w:szCs w:val="36"/>
          <w:highlight w:val="none"/>
        </w:rPr>
        <w:t>附件2</w:t>
      </w:r>
    </w:p>
    <w:p>
      <w:pPr>
        <w:pStyle w:val="5"/>
        <w:pageBreakBefore w:val="0"/>
        <w:kinsoku/>
        <w:wordWrap/>
        <w:overflowPunct/>
        <w:topLinePunct w:val="0"/>
        <w:autoSpaceDE/>
        <w:autoSpaceDN/>
        <w:bidi w:val="0"/>
        <w:spacing w:line="560" w:lineRule="exact"/>
        <w:jc w:val="center"/>
        <w:textAlignment w:val="auto"/>
        <w:rPr>
          <w:kern w:val="0"/>
          <w:sz w:val="36"/>
          <w:szCs w:val="36"/>
          <w:highlight w:val="none"/>
        </w:rPr>
      </w:pPr>
      <w:bookmarkStart w:id="0" w:name="_GoBack"/>
      <w:bookmarkEnd w:id="0"/>
      <w:r>
        <w:rPr>
          <w:rFonts w:hint="eastAsia"/>
          <w:kern w:val="0"/>
          <w:sz w:val="36"/>
          <w:szCs w:val="36"/>
          <w:highlight w:val="none"/>
        </w:rPr>
        <w:t>政府采购履约情况评价表</w:t>
      </w:r>
    </w:p>
    <w:p>
      <w:pPr>
        <w:pageBreakBefore w:val="0"/>
        <w:kinsoku/>
        <w:wordWrap/>
        <w:overflowPunct/>
        <w:topLinePunct w:val="0"/>
        <w:autoSpaceDE/>
        <w:autoSpaceDN/>
        <w:bidi w:val="0"/>
        <w:spacing w:line="560" w:lineRule="exact"/>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 xml:space="preserve">采购单位名称：光明区文化广电旅游体育局      联系人及电话： </w:t>
      </w:r>
    </w:p>
    <w:p>
      <w:pPr>
        <w:pageBreakBefore w:val="0"/>
        <w:kinsoku/>
        <w:wordWrap/>
        <w:overflowPunct/>
        <w:topLinePunct w:val="0"/>
        <w:autoSpaceDE/>
        <w:autoSpaceDN/>
        <w:bidi w:val="0"/>
        <w:spacing w:line="560" w:lineRule="exact"/>
        <w:textAlignment w:val="auto"/>
        <w:rPr>
          <w:rFonts w:ascii="仿宋_GB2312" w:hAnsi="仿宋_GB2312" w:eastAsia="仿宋_GB2312" w:cs="仿宋_GB2312"/>
          <w:b/>
          <w:szCs w:val="21"/>
          <w:highlight w:val="none"/>
        </w:rPr>
      </w:pPr>
    </w:p>
    <w:tbl>
      <w:tblPr>
        <w:tblStyle w:val="11"/>
        <w:tblW w:w="891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1122"/>
        <w:gridCol w:w="2118"/>
        <w:gridCol w:w="1980"/>
        <w:gridCol w:w="21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684" w:type="dxa"/>
            <w:gridSpan w:val="3"/>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项目名称</w:t>
            </w:r>
          </w:p>
        </w:tc>
        <w:tc>
          <w:tcPr>
            <w:tcW w:w="2118" w:type="dxa"/>
            <w:vAlign w:val="center"/>
          </w:tcPr>
          <w:p>
            <w:pPr>
              <w:pageBreakBefore w:val="0"/>
              <w:kinsoku/>
              <w:wordWrap/>
              <w:overflowPunct/>
              <w:topLinePunct w:val="0"/>
              <w:autoSpaceDE/>
              <w:autoSpaceDN/>
              <w:bidi w:val="0"/>
              <w:spacing w:line="560" w:lineRule="exact"/>
              <w:textAlignment w:val="auto"/>
              <w:rPr>
                <w:rFonts w:ascii="仿宋_GB2312" w:hAnsi="仿宋_GB2312" w:eastAsia="仿宋_GB2312" w:cs="仿宋_GB2312"/>
                <w:szCs w:val="21"/>
                <w:highlight w:val="none"/>
              </w:rPr>
            </w:pPr>
          </w:p>
        </w:tc>
        <w:tc>
          <w:tcPr>
            <w:tcW w:w="1980" w:type="dxa"/>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项目编号</w:t>
            </w:r>
          </w:p>
        </w:tc>
        <w:tc>
          <w:tcPr>
            <w:tcW w:w="2135" w:type="dxa"/>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684" w:type="dxa"/>
            <w:gridSpan w:val="3"/>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中标供应商名称</w:t>
            </w:r>
          </w:p>
        </w:tc>
        <w:tc>
          <w:tcPr>
            <w:tcW w:w="2118" w:type="dxa"/>
            <w:vAlign w:val="center"/>
          </w:tcPr>
          <w:p>
            <w:pPr>
              <w:pageBreakBefore w:val="0"/>
              <w:kinsoku/>
              <w:wordWrap/>
              <w:overflowPunct/>
              <w:topLinePunct w:val="0"/>
              <w:autoSpaceDE/>
              <w:autoSpaceDN/>
              <w:bidi w:val="0"/>
              <w:spacing w:line="560" w:lineRule="exact"/>
              <w:textAlignment w:val="auto"/>
              <w:rPr>
                <w:rFonts w:ascii="仿宋_GB2312" w:hAnsi="仿宋_GB2312" w:eastAsia="仿宋_GB2312" w:cs="仿宋_GB2312"/>
                <w:szCs w:val="21"/>
                <w:highlight w:val="none"/>
              </w:rPr>
            </w:pPr>
          </w:p>
        </w:tc>
        <w:tc>
          <w:tcPr>
            <w:tcW w:w="1980" w:type="dxa"/>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供应商</w:t>
            </w:r>
          </w:p>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联系人及电话</w:t>
            </w:r>
          </w:p>
        </w:tc>
        <w:tc>
          <w:tcPr>
            <w:tcW w:w="2135" w:type="dxa"/>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684" w:type="dxa"/>
            <w:gridSpan w:val="3"/>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中标金额</w:t>
            </w:r>
          </w:p>
        </w:tc>
        <w:tc>
          <w:tcPr>
            <w:tcW w:w="2118" w:type="dxa"/>
            <w:vAlign w:val="center"/>
          </w:tcPr>
          <w:p>
            <w:pPr>
              <w:pageBreakBefore w:val="0"/>
              <w:kinsoku/>
              <w:wordWrap/>
              <w:overflowPunct/>
              <w:topLinePunct w:val="0"/>
              <w:autoSpaceDE/>
              <w:autoSpaceDN/>
              <w:bidi w:val="0"/>
              <w:spacing w:line="560" w:lineRule="exact"/>
              <w:textAlignment w:val="auto"/>
              <w:rPr>
                <w:rFonts w:ascii="仿宋_GB2312" w:hAnsi="仿宋_GB2312" w:eastAsia="仿宋_GB2312" w:cs="仿宋_GB2312"/>
                <w:szCs w:val="21"/>
                <w:highlight w:val="none"/>
              </w:rPr>
            </w:pPr>
          </w:p>
        </w:tc>
        <w:tc>
          <w:tcPr>
            <w:tcW w:w="1980" w:type="dxa"/>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合同履约时间</w:t>
            </w:r>
          </w:p>
        </w:tc>
        <w:tc>
          <w:tcPr>
            <w:tcW w:w="2135" w:type="dxa"/>
            <w:vAlign w:val="center"/>
          </w:tcPr>
          <w:p>
            <w:pPr>
              <w:pageBreakBefore w:val="0"/>
              <w:kinsoku/>
              <w:wordWrap/>
              <w:overflowPunct/>
              <w:topLinePunct w:val="0"/>
              <w:autoSpaceDE/>
              <w:autoSpaceDN/>
              <w:bidi w:val="0"/>
              <w:spacing w:line="560" w:lineRule="exact"/>
              <w:textAlignment w:val="auto"/>
              <w:rPr>
                <w:rFonts w:ascii="仿宋_GB2312" w:hAnsi="仿宋_GB2312" w:eastAsia="仿宋_GB2312" w:cs="仿宋_GB2312"/>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履约情况评价</w:t>
            </w:r>
          </w:p>
        </w:tc>
        <w:tc>
          <w:tcPr>
            <w:tcW w:w="1842" w:type="dxa"/>
            <w:gridSpan w:val="2"/>
            <w:tcBorders>
              <w:right w:val="single" w:color="auto" w:sz="4" w:space="0"/>
            </w:tcBorders>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总体评价</w:t>
            </w:r>
          </w:p>
        </w:tc>
        <w:tc>
          <w:tcPr>
            <w:tcW w:w="6233" w:type="dxa"/>
            <w:gridSpan w:val="3"/>
            <w:tcBorders>
              <w:left w:val="single" w:color="auto" w:sz="4" w:space="0"/>
            </w:tcBorders>
            <w:vAlign w:val="center"/>
          </w:tcPr>
          <w:p>
            <w:pPr>
              <w:pageBreakBefore w:val="0"/>
              <w:kinsoku/>
              <w:wordWrap/>
              <w:overflowPunct/>
              <w:topLinePunct w:val="0"/>
              <w:autoSpaceDE/>
              <w:autoSpaceDN/>
              <w:bidi w:val="0"/>
              <w:spacing w:line="560" w:lineRule="exact"/>
              <w:ind w:firstLine="105" w:firstLineChars="50"/>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p>
        </w:tc>
        <w:tc>
          <w:tcPr>
            <w:tcW w:w="720" w:type="dxa"/>
            <w:vMerge w:val="restart"/>
            <w:tcBorders>
              <w:right w:val="single" w:color="auto" w:sz="4" w:space="0"/>
            </w:tcBorders>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分项评价</w:t>
            </w:r>
          </w:p>
        </w:tc>
        <w:tc>
          <w:tcPr>
            <w:tcW w:w="1122" w:type="dxa"/>
            <w:tcBorders>
              <w:left w:val="single" w:color="auto" w:sz="4" w:space="0"/>
              <w:right w:val="single" w:color="auto" w:sz="4" w:space="0"/>
            </w:tcBorders>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质量方面</w:t>
            </w:r>
          </w:p>
        </w:tc>
        <w:tc>
          <w:tcPr>
            <w:tcW w:w="6233" w:type="dxa"/>
            <w:gridSpan w:val="3"/>
            <w:tcBorders>
              <w:left w:val="single" w:color="auto" w:sz="4" w:space="0"/>
            </w:tcBorders>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p>
        </w:tc>
        <w:tc>
          <w:tcPr>
            <w:tcW w:w="720" w:type="dxa"/>
            <w:vMerge w:val="continue"/>
            <w:tcBorders>
              <w:right w:val="single" w:color="auto" w:sz="4" w:space="0"/>
            </w:tcBorders>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p>
        </w:tc>
        <w:tc>
          <w:tcPr>
            <w:tcW w:w="1122" w:type="dxa"/>
            <w:tcBorders>
              <w:left w:val="single" w:color="auto" w:sz="4" w:space="0"/>
              <w:right w:val="single" w:color="auto" w:sz="4" w:space="0"/>
            </w:tcBorders>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价格方面</w:t>
            </w:r>
          </w:p>
        </w:tc>
        <w:tc>
          <w:tcPr>
            <w:tcW w:w="6233" w:type="dxa"/>
            <w:gridSpan w:val="3"/>
            <w:tcBorders>
              <w:left w:val="single" w:color="auto" w:sz="4" w:space="0"/>
            </w:tcBorders>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p>
        </w:tc>
        <w:tc>
          <w:tcPr>
            <w:tcW w:w="720" w:type="dxa"/>
            <w:vMerge w:val="continue"/>
            <w:tcBorders>
              <w:right w:val="single" w:color="auto" w:sz="4" w:space="0"/>
            </w:tcBorders>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p>
        </w:tc>
        <w:tc>
          <w:tcPr>
            <w:tcW w:w="1122" w:type="dxa"/>
            <w:tcBorders>
              <w:left w:val="single" w:color="auto" w:sz="4" w:space="0"/>
              <w:right w:val="single" w:color="auto" w:sz="4" w:space="0"/>
            </w:tcBorders>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服务方面</w:t>
            </w:r>
          </w:p>
        </w:tc>
        <w:tc>
          <w:tcPr>
            <w:tcW w:w="6233" w:type="dxa"/>
            <w:gridSpan w:val="3"/>
            <w:tcBorders>
              <w:left w:val="single" w:color="auto" w:sz="4" w:space="0"/>
            </w:tcBorders>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p>
        </w:tc>
        <w:tc>
          <w:tcPr>
            <w:tcW w:w="720" w:type="dxa"/>
            <w:vMerge w:val="continue"/>
            <w:tcBorders>
              <w:right w:val="single" w:color="auto" w:sz="4" w:space="0"/>
            </w:tcBorders>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p>
        </w:tc>
        <w:tc>
          <w:tcPr>
            <w:tcW w:w="1122" w:type="dxa"/>
            <w:tcBorders>
              <w:left w:val="single" w:color="auto" w:sz="4" w:space="0"/>
              <w:right w:val="single" w:color="auto" w:sz="4" w:space="0"/>
            </w:tcBorders>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时间方面</w:t>
            </w:r>
          </w:p>
        </w:tc>
        <w:tc>
          <w:tcPr>
            <w:tcW w:w="6233" w:type="dxa"/>
            <w:gridSpan w:val="3"/>
            <w:tcBorders>
              <w:left w:val="single" w:color="auto" w:sz="4" w:space="0"/>
            </w:tcBorders>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97" w:hRule="atLeast"/>
          <w:jc w:val="center"/>
        </w:trPr>
        <w:tc>
          <w:tcPr>
            <w:tcW w:w="842" w:type="dxa"/>
            <w:vMerge w:val="continue"/>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p>
        </w:tc>
        <w:tc>
          <w:tcPr>
            <w:tcW w:w="720" w:type="dxa"/>
            <w:vMerge w:val="continue"/>
            <w:tcBorders>
              <w:right w:val="single" w:color="auto" w:sz="4" w:space="0"/>
            </w:tcBorders>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p>
        </w:tc>
        <w:tc>
          <w:tcPr>
            <w:tcW w:w="1122" w:type="dxa"/>
            <w:tcBorders>
              <w:left w:val="single" w:color="auto" w:sz="4" w:space="0"/>
              <w:right w:val="single" w:color="auto" w:sz="4" w:space="0"/>
            </w:tcBorders>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其他</w:t>
            </w:r>
          </w:p>
        </w:tc>
        <w:tc>
          <w:tcPr>
            <w:tcW w:w="6233" w:type="dxa"/>
            <w:gridSpan w:val="3"/>
            <w:tcBorders>
              <w:left w:val="single" w:color="auto" w:sz="4" w:space="0"/>
            </w:tcBorders>
            <w:vAlign w:val="center"/>
          </w:tcPr>
          <w:p>
            <w:pPr>
              <w:pageBreakBefore w:val="0"/>
              <w:kinsoku/>
              <w:wordWrap/>
              <w:overflowPunct/>
              <w:topLinePunct w:val="0"/>
              <w:autoSpaceDE/>
              <w:autoSpaceDN/>
              <w:bidi w:val="0"/>
              <w:spacing w:before="156" w:beforeLines="50" w:after="156" w:afterLines="50" w:line="560" w:lineRule="exact"/>
              <w:textAlignment w:val="auto"/>
              <w:rPr>
                <w:rFonts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评价内容为：</w:t>
            </w:r>
            <w:r>
              <w:rPr>
                <w:rFonts w:hint="eastAsia" w:ascii="仿宋_GB2312" w:hAnsi="仿宋_GB2312" w:eastAsia="仿宋_GB2312" w:cs="仿宋_GB2312"/>
                <w:szCs w:val="21"/>
                <w:highlight w:val="none"/>
                <w:u w:val="single"/>
              </w:rPr>
              <w:t xml:space="preserve">                    </w:t>
            </w:r>
          </w:p>
          <w:p>
            <w:pPr>
              <w:pageBreakBefore w:val="0"/>
              <w:kinsoku/>
              <w:wordWrap/>
              <w:overflowPunct/>
              <w:topLinePunct w:val="0"/>
              <w:autoSpaceDE/>
              <w:autoSpaceDN/>
              <w:bidi w:val="0"/>
              <w:spacing w:before="156" w:beforeLines="50" w:after="156" w:afterLines="50" w:line="560" w:lineRule="exact"/>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68" w:hRule="atLeast"/>
          <w:jc w:val="center"/>
        </w:trPr>
        <w:tc>
          <w:tcPr>
            <w:tcW w:w="1562" w:type="dxa"/>
            <w:gridSpan w:val="2"/>
            <w:vAlign w:val="center"/>
          </w:tcPr>
          <w:p>
            <w:pPr>
              <w:pageBreakBefore w:val="0"/>
              <w:kinsoku/>
              <w:wordWrap/>
              <w:overflowPunct/>
              <w:topLinePunct w:val="0"/>
              <w:autoSpaceDE/>
              <w:autoSpaceDN/>
              <w:bidi w:val="0"/>
              <w:spacing w:line="560" w:lineRule="exact"/>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具体情况说明</w:t>
            </w:r>
          </w:p>
        </w:tc>
        <w:tc>
          <w:tcPr>
            <w:tcW w:w="7355" w:type="dxa"/>
            <w:gridSpan w:val="4"/>
          </w:tcPr>
          <w:p>
            <w:pPr>
              <w:pageBreakBefore w:val="0"/>
              <w:kinsoku/>
              <w:wordWrap/>
              <w:overflowPunct/>
              <w:topLinePunct w:val="0"/>
              <w:autoSpaceDE/>
              <w:autoSpaceDN/>
              <w:bidi w:val="0"/>
              <w:spacing w:line="560" w:lineRule="exact"/>
              <w:ind w:firstLine="420" w:firstLineChars="200"/>
              <w:textAlignment w:val="auto"/>
              <w:rPr>
                <w:rFonts w:ascii="仿宋_GB2312" w:hAnsi="仿宋_GB2312" w:eastAsia="仿宋_GB2312" w:cs="仿宋_GB2312"/>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55" w:hRule="atLeast"/>
          <w:jc w:val="center"/>
        </w:trPr>
        <w:tc>
          <w:tcPr>
            <w:tcW w:w="1562" w:type="dxa"/>
            <w:gridSpan w:val="2"/>
            <w:vAlign w:val="center"/>
          </w:tcPr>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采购单位意见</w:t>
            </w:r>
          </w:p>
          <w:p>
            <w:pPr>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（公章）</w:t>
            </w:r>
          </w:p>
        </w:tc>
        <w:tc>
          <w:tcPr>
            <w:tcW w:w="7355" w:type="dxa"/>
            <w:gridSpan w:val="4"/>
            <w:vAlign w:val="center"/>
          </w:tcPr>
          <w:p>
            <w:pPr>
              <w:pageBreakBefore w:val="0"/>
              <w:kinsoku/>
              <w:wordWrap/>
              <w:overflowPunct/>
              <w:topLinePunct w:val="0"/>
              <w:autoSpaceDE/>
              <w:autoSpaceDN/>
              <w:bidi w:val="0"/>
              <w:spacing w:line="560" w:lineRule="exact"/>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p>
            <w:pPr>
              <w:pageBreakBefore w:val="0"/>
              <w:kinsoku/>
              <w:wordWrap/>
              <w:overflowPunct/>
              <w:topLinePunct w:val="0"/>
              <w:autoSpaceDE/>
              <w:autoSpaceDN/>
              <w:bidi w:val="0"/>
              <w:spacing w:line="560" w:lineRule="exact"/>
              <w:ind w:firstLine="3780" w:firstLineChars="1800"/>
              <w:textAlignment w:val="auto"/>
              <w:rPr>
                <w:rFonts w:ascii="仿宋_GB2312" w:hAnsi="仿宋_GB2312" w:eastAsia="仿宋_GB2312" w:cs="仿宋_GB2312"/>
                <w:szCs w:val="21"/>
                <w:highlight w:val="none"/>
              </w:rPr>
            </w:pPr>
          </w:p>
          <w:p>
            <w:pPr>
              <w:pageBreakBefore w:val="0"/>
              <w:kinsoku/>
              <w:wordWrap/>
              <w:overflowPunct/>
              <w:topLinePunct w:val="0"/>
              <w:autoSpaceDE/>
              <w:autoSpaceDN/>
              <w:bidi w:val="0"/>
              <w:spacing w:line="560" w:lineRule="exact"/>
              <w:ind w:firstLine="3780" w:firstLineChars="1800"/>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日期：   年   月   日</w:t>
            </w:r>
          </w:p>
        </w:tc>
      </w:tr>
    </w:tbl>
    <w:p>
      <w:pPr>
        <w:pageBreakBefore w:val="0"/>
        <w:kinsoku/>
        <w:wordWrap/>
        <w:overflowPunct/>
        <w:topLinePunct w:val="0"/>
        <w:autoSpaceDE/>
        <w:autoSpaceDN/>
        <w:bidi w:val="0"/>
        <w:spacing w:line="560" w:lineRule="exact"/>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说明：</w:t>
      </w:r>
    </w:p>
    <w:p>
      <w:pPr>
        <w:pageBreakBefore w:val="0"/>
        <w:kinsoku/>
        <w:wordWrap/>
        <w:overflowPunct/>
        <w:topLinePunct w:val="0"/>
        <w:autoSpaceDE/>
        <w:autoSpaceDN/>
        <w:bidi w:val="0"/>
        <w:spacing w:line="560" w:lineRule="exact"/>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1.本表为采购单位反馈政府采购项目履约情况时所用；</w:t>
      </w:r>
    </w:p>
    <w:p>
      <w:pPr>
        <w:pageBreakBefore w:val="0"/>
        <w:kinsoku/>
        <w:wordWrap/>
        <w:overflowPunct/>
        <w:topLinePunct w:val="0"/>
        <w:autoSpaceDE/>
        <w:autoSpaceDN/>
        <w:bidi w:val="0"/>
        <w:spacing w:line="560" w:lineRule="exact"/>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2.履约情况评价分为优、良、中、差四个等级，请在对应的框前打“√”，然后在“具体情况说明”一栏详细说明有关情况；</w:t>
      </w:r>
    </w:p>
    <w:p>
      <w:pPr>
        <w:pageBreakBefore w:val="0"/>
        <w:kinsoku/>
        <w:wordWrap/>
        <w:overflowPunct/>
        <w:topLinePunct w:val="0"/>
        <w:autoSpaceDE/>
        <w:autoSpaceDN/>
        <w:bidi w:val="0"/>
        <w:spacing w:line="560" w:lineRule="exact"/>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在政府采购项目合同履约过程或履约结束后，采购单位应当及时填写本表以书面形式对采购实施流程中标供应商（含预选供应商）所提供的产品、服务或工程的质量、价格和履行情况等进行反馈，作为该供应商诚信管理的重要参考，未按要求书面反馈中标供应商的履约情况的，视为对供应商的履约情况无意见。</w:t>
      </w:r>
    </w:p>
    <w:p>
      <w:pPr>
        <w:pageBreakBefore w:val="0"/>
        <w:kinsoku/>
        <w:wordWrap/>
        <w:overflowPunct/>
        <w:topLinePunct w:val="0"/>
        <w:autoSpaceDE/>
        <w:autoSpaceDN/>
        <w:bidi w:val="0"/>
        <w:spacing w:line="560" w:lineRule="exact"/>
        <w:textAlignment w:val="auto"/>
        <w:rPr>
          <w:highlight w:val="none"/>
        </w:rPr>
      </w:pPr>
      <w:r>
        <w:rPr>
          <w:rFonts w:hint="eastAsia" w:ascii="仿宋_GB2312" w:hAnsi="仿宋_GB2312" w:eastAsia="仿宋_GB2312" w:cs="仿宋_GB2312"/>
          <w:szCs w:val="21"/>
          <w:highlight w:val="none"/>
        </w:rPr>
        <w:t>4.本表一式三份，采购单位存两份，中标供应商存一份。</w:t>
      </w:r>
    </w:p>
    <w:p>
      <w:pPr>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仿宋_GB2312"/>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rPr>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2YTFiYTQ2NWY2NWNjYzhmMmRmYWY1MTNkY2Q2MTIifQ=="/>
  </w:docVars>
  <w:rsids>
    <w:rsidRoot w:val="65DA7353"/>
    <w:rsid w:val="0044360A"/>
    <w:rsid w:val="009C330D"/>
    <w:rsid w:val="009E3EFA"/>
    <w:rsid w:val="01896DDF"/>
    <w:rsid w:val="02367E63"/>
    <w:rsid w:val="042563C1"/>
    <w:rsid w:val="04755903"/>
    <w:rsid w:val="06A52B9B"/>
    <w:rsid w:val="07A11CC7"/>
    <w:rsid w:val="08940015"/>
    <w:rsid w:val="09065BB9"/>
    <w:rsid w:val="0A152435"/>
    <w:rsid w:val="0B073208"/>
    <w:rsid w:val="0B4D64AA"/>
    <w:rsid w:val="0DAF4921"/>
    <w:rsid w:val="0E30320C"/>
    <w:rsid w:val="10934F1D"/>
    <w:rsid w:val="11CD2E99"/>
    <w:rsid w:val="120F3399"/>
    <w:rsid w:val="13A652E4"/>
    <w:rsid w:val="142B21E3"/>
    <w:rsid w:val="145B125D"/>
    <w:rsid w:val="1779359C"/>
    <w:rsid w:val="178D0511"/>
    <w:rsid w:val="1986324C"/>
    <w:rsid w:val="1ACF7D82"/>
    <w:rsid w:val="1BF83B93"/>
    <w:rsid w:val="1CDD1F31"/>
    <w:rsid w:val="1D2C7C39"/>
    <w:rsid w:val="1F3C2DEB"/>
    <w:rsid w:val="20224E85"/>
    <w:rsid w:val="20B83DEA"/>
    <w:rsid w:val="221F100C"/>
    <w:rsid w:val="229541C4"/>
    <w:rsid w:val="230A0D93"/>
    <w:rsid w:val="23677E1B"/>
    <w:rsid w:val="25E84741"/>
    <w:rsid w:val="267F58EA"/>
    <w:rsid w:val="26FA51D8"/>
    <w:rsid w:val="27482806"/>
    <w:rsid w:val="27700DB7"/>
    <w:rsid w:val="27B16410"/>
    <w:rsid w:val="28BF4F40"/>
    <w:rsid w:val="294F2DA2"/>
    <w:rsid w:val="299262F9"/>
    <w:rsid w:val="2A312DF2"/>
    <w:rsid w:val="2A3B241E"/>
    <w:rsid w:val="2A9B5AF8"/>
    <w:rsid w:val="2AA777BD"/>
    <w:rsid w:val="2ACE49C3"/>
    <w:rsid w:val="2B755FF1"/>
    <w:rsid w:val="2D500771"/>
    <w:rsid w:val="2F5A6885"/>
    <w:rsid w:val="2F676737"/>
    <w:rsid w:val="309F4D84"/>
    <w:rsid w:val="31E37334"/>
    <w:rsid w:val="325B7713"/>
    <w:rsid w:val="34874479"/>
    <w:rsid w:val="364516BB"/>
    <w:rsid w:val="3783115E"/>
    <w:rsid w:val="37B759A5"/>
    <w:rsid w:val="388D5501"/>
    <w:rsid w:val="38977B66"/>
    <w:rsid w:val="39AC14D4"/>
    <w:rsid w:val="3AA47CBF"/>
    <w:rsid w:val="3B8317CD"/>
    <w:rsid w:val="3E3C7638"/>
    <w:rsid w:val="3FF85392"/>
    <w:rsid w:val="402C2B0B"/>
    <w:rsid w:val="40DD1495"/>
    <w:rsid w:val="42EE4FF8"/>
    <w:rsid w:val="44C11BBF"/>
    <w:rsid w:val="46DA7C8C"/>
    <w:rsid w:val="47421DED"/>
    <w:rsid w:val="47DA2DB6"/>
    <w:rsid w:val="4B045373"/>
    <w:rsid w:val="4CB156A1"/>
    <w:rsid w:val="4D7D7235"/>
    <w:rsid w:val="4F89474C"/>
    <w:rsid w:val="514D47AB"/>
    <w:rsid w:val="51C66178"/>
    <w:rsid w:val="54022599"/>
    <w:rsid w:val="54133801"/>
    <w:rsid w:val="56055C11"/>
    <w:rsid w:val="58B01875"/>
    <w:rsid w:val="5942157C"/>
    <w:rsid w:val="59920894"/>
    <w:rsid w:val="5AEC7080"/>
    <w:rsid w:val="5AFA61CD"/>
    <w:rsid w:val="5B3C1FF5"/>
    <w:rsid w:val="5BD13A49"/>
    <w:rsid w:val="5DD86AE6"/>
    <w:rsid w:val="5DF45903"/>
    <w:rsid w:val="5E0F6CAD"/>
    <w:rsid w:val="5E3C0A00"/>
    <w:rsid w:val="5F5E74CC"/>
    <w:rsid w:val="5FBD6441"/>
    <w:rsid w:val="62B547A3"/>
    <w:rsid w:val="639B319E"/>
    <w:rsid w:val="63F00EEC"/>
    <w:rsid w:val="65DA7353"/>
    <w:rsid w:val="66206BAA"/>
    <w:rsid w:val="66986906"/>
    <w:rsid w:val="669E08D8"/>
    <w:rsid w:val="68BD3909"/>
    <w:rsid w:val="6AF10E58"/>
    <w:rsid w:val="6B2D78F1"/>
    <w:rsid w:val="6BE14250"/>
    <w:rsid w:val="6C5F52A1"/>
    <w:rsid w:val="6D2038EC"/>
    <w:rsid w:val="6DE00DD7"/>
    <w:rsid w:val="6EB53ED4"/>
    <w:rsid w:val="70EA01F2"/>
    <w:rsid w:val="712428E9"/>
    <w:rsid w:val="73104EDB"/>
    <w:rsid w:val="732269E6"/>
    <w:rsid w:val="75D80F6C"/>
    <w:rsid w:val="76CA56C9"/>
    <w:rsid w:val="77FF625F"/>
    <w:rsid w:val="78271BBC"/>
    <w:rsid w:val="7A4A438C"/>
    <w:rsid w:val="7D6D6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3"/>
    <w:next w:val="1"/>
    <w:qFormat/>
    <w:uiPriority w:val="0"/>
    <w:pPr>
      <w:spacing w:before="260" w:after="260" w:line="360" w:lineRule="auto"/>
      <w:jc w:val="center"/>
      <w:outlineLvl w:val="1"/>
    </w:pPr>
    <w:rPr>
      <w:rFonts w:ascii="黑体" w:hAnsi="宋体" w:eastAsia="黑体" w:cs="Arial"/>
      <w:b w:val="0"/>
      <w:bCs w:val="0"/>
      <w:sz w:val="28"/>
      <w:szCs w:val="21"/>
    </w:rPr>
  </w:style>
  <w:style w:type="paragraph" w:styleId="5">
    <w:name w:val="heading 3"/>
    <w:basedOn w:val="2"/>
    <w:next w:val="1"/>
    <w:qFormat/>
    <w:uiPriority w:val="0"/>
    <w:pPr>
      <w:spacing w:before="260" w:after="260" w:line="413" w:lineRule="auto"/>
      <w:outlineLvl w:val="2"/>
    </w:pPr>
    <w:rPr>
      <w:sz w:val="32"/>
      <w:szCs w:val="32"/>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4"/>
    </w:rPr>
  </w:style>
  <w:style w:type="paragraph" w:styleId="7">
    <w:name w:val="Body Text"/>
    <w:basedOn w:val="1"/>
    <w:qFormat/>
    <w:uiPriority w:val="0"/>
    <w:rPr>
      <w:sz w:val="28"/>
    </w:rPr>
  </w:style>
  <w:style w:type="paragraph" w:styleId="8">
    <w:name w:val="Body Text Indent"/>
    <w:basedOn w:val="1"/>
    <w:qFormat/>
    <w:uiPriority w:val="0"/>
    <w:pPr>
      <w:spacing w:line="380" w:lineRule="atLeast"/>
      <w:ind w:firstLine="420" w:firstLineChars="200"/>
      <w:jc w:val="left"/>
    </w:pPr>
    <w:rPr>
      <w:rFonts w:ascii="宋体" w:hAnsi="宋体"/>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BodyText"/>
    <w:basedOn w:val="1"/>
    <w:qFormat/>
    <w:uiPriority w:val="0"/>
    <w:pPr>
      <w:spacing w:before="15"/>
      <w:ind w:left="120"/>
      <w:textAlignment w:val="baseline"/>
    </w:pPr>
    <w:rPr>
      <w:rFonts w:ascii="Arial Unicode MS" w:hAnsi="Arial Unicode MS" w:eastAsia="Arial Unicode MS" w:cs="Times New Roman"/>
      <w:sz w:val="32"/>
      <w:szCs w:val="32"/>
    </w:rPr>
  </w:style>
  <w:style w:type="paragraph" w:customStyle="1" w:styleId="15">
    <w:name w:val="2册标题2"/>
    <w:basedOn w:val="1"/>
    <w:next w:val="1"/>
    <w:qFormat/>
    <w:uiPriority w:val="0"/>
    <w:pPr>
      <w:spacing w:before="156" w:beforeLines="50" w:after="156" w:afterLines="50" w:line="300" w:lineRule="auto"/>
      <w:outlineLvl w:val="1"/>
    </w:pPr>
    <w:rPr>
      <w:rFonts w:ascii="Arial" w:hAnsi="Arial" w:eastAsia="黑体"/>
      <w:sz w:val="30"/>
      <w:szCs w:val="30"/>
    </w:rPr>
  </w:style>
  <w:style w:type="character" w:customStyle="1" w:styleId="16">
    <w:name w:val="font71"/>
    <w:basedOn w:val="13"/>
    <w:qFormat/>
    <w:uiPriority w:val="0"/>
    <w:rPr>
      <w:rFonts w:hint="eastAsia" w:ascii="宋体" w:hAnsi="宋体" w:eastAsia="宋体" w:cs="宋体"/>
      <w:color w:val="000000"/>
      <w:sz w:val="22"/>
      <w:szCs w:val="22"/>
      <w:u w:val="none"/>
    </w:rPr>
  </w:style>
  <w:style w:type="character" w:customStyle="1" w:styleId="17">
    <w:name w:val="font01"/>
    <w:basedOn w:val="13"/>
    <w:qFormat/>
    <w:uiPriority w:val="0"/>
    <w:rPr>
      <w:rFonts w:hint="eastAsia" w:ascii="宋体" w:hAnsi="宋体" w:eastAsia="宋体" w:cs="宋体"/>
      <w:color w:val="000000"/>
      <w:sz w:val="22"/>
      <w:szCs w:val="22"/>
      <w:u w:val="none"/>
    </w:rPr>
  </w:style>
  <w:style w:type="character" w:customStyle="1" w:styleId="18">
    <w:name w:val="font61"/>
    <w:basedOn w:val="13"/>
    <w:qFormat/>
    <w:uiPriority w:val="0"/>
    <w:rPr>
      <w:rFonts w:hint="eastAsia" w:ascii="宋体" w:hAnsi="宋体" w:eastAsia="宋体" w:cs="宋体"/>
      <w:color w:val="auto"/>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3613</Words>
  <Characters>3756</Characters>
  <Lines>49</Lines>
  <Paragraphs>13</Paragraphs>
  <TotalTime>11</TotalTime>
  <ScaleCrop>false</ScaleCrop>
  <LinksUpToDate>false</LinksUpToDate>
  <CharactersWithSpaces>4099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2018-09-20T01:24:00Z</dcterms:created>
  <dc:creator>____T杰</dc:creator>
  <cp:lastModifiedBy>hey ！</cp:lastModifiedBy>
  <cp:lastPrinted>2022-08-23T01:40:00Z</cp:lastPrinted>
  <dcterms:modified xsi:type="dcterms:W3CDTF">2022-08-24T07:58:40Z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17FCEDA7824A4B63A2B9A6C239AAFC82</vt:lpwstr>
  </property>
</Properties>
</file>