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光明区社会工作人才激励扶持办法</w:t>
      </w:r>
    </w:p>
    <w:p>
      <w:pPr>
        <w:widowControl w:val="0"/>
        <w:ind w:firstLine="960" w:firstLineChars="300"/>
        <w:jc w:val="both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firstLine="1120" w:firstLineChars="350"/>
        <w:jc w:val="both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（2017年9月21日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" w:eastAsia="zh-CN" w:bidi="ar-SA"/>
        </w:rPr>
        <w:t>深光规〔2017〕11号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" w:eastAsia="zh-CN" w:bidi="ar-SA"/>
        </w:rPr>
        <w:t>发布</w:t>
      </w:r>
    </w:p>
    <w:p>
      <w:pPr>
        <w:widowControl w:val="0"/>
        <w:ind w:firstLine="1280" w:firstLineChars="400"/>
        <w:jc w:val="both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" w:eastAsia="zh-CN" w:bidi="ar-SA"/>
        </w:rPr>
        <w:t>2022年5月27日深光府规〔2022〕4号修改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" w:eastAsia="zh-CN" w:bidi="ar-SA"/>
        </w:rPr>
        <w:t>）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为进一步优化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/>
          <w:kern w:val="0"/>
          <w:sz w:val="32"/>
          <w:szCs w:val="32"/>
        </w:rPr>
        <w:t>区社会工作人才政策环境，加快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工作人才队伍建设，建立社工人才激励保障机制，提升社会工作服务水平，充分发挥社工在社会建设中的重要作用，根据中央组织部、中央政法委、民政部等18个部门和组织联合发布的《关于加强社会工作专业人才队伍建设的意见》（中组发〔</w:t>
      </w:r>
      <w:r>
        <w:rPr>
          <w:rFonts w:ascii="仿宋_GB2312" w:hAnsi="宋体" w:eastAsia="仿宋_GB2312"/>
          <w:kern w:val="0"/>
          <w:sz w:val="32"/>
          <w:szCs w:val="32"/>
        </w:rPr>
        <w:t>2011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ascii="仿宋_GB2312" w:hAnsi="宋体" w:eastAsia="仿宋_GB2312"/>
          <w:kern w:val="0"/>
          <w:sz w:val="32"/>
          <w:szCs w:val="32"/>
        </w:rPr>
        <w:t>25</w:t>
      </w:r>
      <w:r>
        <w:rPr>
          <w:rFonts w:hint="eastAsia" w:ascii="仿宋_GB2312" w:hAnsi="宋体" w:eastAsia="仿宋_GB2312"/>
          <w:kern w:val="0"/>
          <w:sz w:val="32"/>
          <w:szCs w:val="32"/>
        </w:rPr>
        <w:t>号）、中央民政部等12部门联合出台《关于加强社会工作专业岗位开发与人才激励保障的意见》（民发〔</w:t>
      </w:r>
      <w:r>
        <w:rPr>
          <w:rFonts w:ascii="仿宋_GB2312" w:hAnsi="宋体" w:eastAsia="仿宋_GB2312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/>
          <w:kern w:val="0"/>
          <w:sz w:val="32"/>
          <w:szCs w:val="32"/>
        </w:rPr>
        <w:t>6〕186号）、深圳市委、市政府《关于加强社会工作人才队伍建设推进社会工作发展的意见》（深圳社工“1+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7”文件）及光明区关于人才工作相关文件精神，结合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/>
          <w:kern w:val="0"/>
          <w:sz w:val="32"/>
          <w:szCs w:val="32"/>
        </w:rPr>
        <w:t>区实际，制定本办法。</w:t>
      </w:r>
    </w:p>
    <w:p>
      <w:pPr>
        <w:widowControl/>
        <w:numPr>
          <w:ilvl w:val="0"/>
          <w:numId w:val="1"/>
        </w:numPr>
        <w:tabs>
          <w:tab w:val="left" w:pos="0"/>
          <w:tab w:val="left" w:pos="198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本办法所称的社会工作人才，是指通过全国社会工作者职业水平评价取得《中华人民共和国社会工作者职业水平证书》的人员，包括助理社会工作师、社会工作师和高级社会工作师（以下简称社工）。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在我区社</w:t>
      </w:r>
      <w:r>
        <w:rPr>
          <w:rFonts w:hint="eastAsia" w:ascii="仿宋_GB2312" w:hAnsi="宋体" w:eastAsia="仿宋_GB2312"/>
          <w:kern w:val="0"/>
          <w:sz w:val="32"/>
          <w:szCs w:val="32"/>
        </w:rPr>
        <w:t>工岗位、社工项目中提供全职服务的辅助人员、康复师均适用本办法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kern w:val="0"/>
          <w:sz w:val="32"/>
          <w:szCs w:val="32"/>
        </w:rPr>
        <w:t>同一申报期内，已经在其他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享受了补贴政策的，不再享受光明区的补贴政策。</w:t>
      </w:r>
    </w:p>
    <w:p>
      <w:pPr>
        <w:widowControl/>
        <w:numPr>
          <w:ilvl w:val="0"/>
          <w:numId w:val="1"/>
        </w:numPr>
        <w:tabs>
          <w:tab w:val="left" w:pos="0"/>
          <w:tab w:val="left" w:pos="198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我区社会工作人才激励扶持资金</w:t>
      </w:r>
      <w:r>
        <w:rPr>
          <w:rFonts w:hint="eastAsia" w:ascii="仿宋_GB2312" w:hAnsi="宋体" w:eastAsia="仿宋_GB2312"/>
          <w:kern w:val="0"/>
          <w:sz w:val="32"/>
          <w:szCs w:val="32"/>
        </w:rPr>
        <w:t>纳入区财政预算安排的专项经费中解决，主要用于社工继续教育、人才补贴、项目创新、课题研究、权益保障等。</w:t>
      </w:r>
    </w:p>
    <w:p>
      <w:pPr>
        <w:widowControl/>
        <w:numPr>
          <w:ilvl w:val="0"/>
          <w:numId w:val="1"/>
        </w:numPr>
        <w:tabs>
          <w:tab w:val="left" w:pos="0"/>
          <w:tab w:val="left" w:pos="198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健全社会工作管理考核体系，引导社工机构和社工人才争先创优、服务基层。</w:t>
      </w:r>
    </w:p>
    <w:p>
      <w:pPr>
        <w:widowControl/>
        <w:tabs>
          <w:tab w:val="left" w:pos="1980"/>
        </w:tabs>
        <w:adjustRightInd w:val="0"/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第二章  教育培训</w:t>
      </w:r>
    </w:p>
    <w:p>
      <w:pPr>
        <w:widowControl/>
        <w:numPr>
          <w:ilvl w:val="0"/>
          <w:numId w:val="1"/>
        </w:numPr>
        <w:tabs>
          <w:tab w:val="left" w:pos="0"/>
          <w:tab w:val="left" w:pos="198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推动本土化社工人才培育，将</w:t>
      </w:r>
      <w:r>
        <w:rPr>
          <w:rFonts w:hint="eastAsia" w:ascii="仿宋_GB2312" w:eastAsia="仿宋_GB2312"/>
          <w:sz w:val="32"/>
          <w:szCs w:val="32"/>
          <w:lang w:eastAsia="zh-CN"/>
        </w:rPr>
        <w:t>本区户籍</w:t>
      </w:r>
      <w:r>
        <w:rPr>
          <w:rFonts w:hint="eastAsia" w:ascii="仿宋_GB2312" w:eastAsia="仿宋_GB2312"/>
          <w:sz w:val="32"/>
          <w:szCs w:val="32"/>
        </w:rPr>
        <w:t>青年和区级以上五星级优秀义工作为社工的重要教育培训对象，</w:t>
      </w:r>
      <w:r>
        <w:rPr>
          <w:rFonts w:hint="eastAsia" w:ascii="仿宋_GB2312" w:hAnsi="宋体" w:eastAsia="仿宋_GB2312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/>
          <w:kern w:val="0"/>
          <w:sz w:val="32"/>
          <w:szCs w:val="32"/>
        </w:rPr>
        <w:t>区社会工作人才队伍建设提供储备人才</w:t>
      </w:r>
      <w:r>
        <w:rPr>
          <w:rFonts w:hint="eastAsia" w:ascii="仿宋_GB2312" w:eastAsia="仿宋_GB2312"/>
          <w:sz w:val="32"/>
          <w:szCs w:val="32"/>
        </w:rPr>
        <w:t>。每年组织开展社工知识培训班，通过集中授课、参观考察、实地实习等形式，系统讲解社会工作基本概念、职业操守、发展方向以及实务模拟训练，帮助其通过社工职业水平考试。</w:t>
      </w:r>
    </w:p>
    <w:p>
      <w:pPr>
        <w:widowControl/>
        <w:numPr>
          <w:ilvl w:val="0"/>
          <w:numId w:val="1"/>
        </w:numPr>
        <w:tabs>
          <w:tab w:val="left" w:pos="0"/>
          <w:tab w:val="left" w:pos="198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对通过助理社会工作师、社会工作师资格考试的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宋体" w:eastAsia="仿宋_GB2312"/>
          <w:kern w:val="0"/>
          <w:sz w:val="32"/>
          <w:szCs w:val="32"/>
        </w:rPr>
        <w:t>区户籍居民，分别给予一次性奖励1000元、2000元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tabs>
          <w:tab w:val="left" w:pos="0"/>
          <w:tab w:val="left" w:pos="198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鼓励社工参加市、区组织的社工专业教育，按照10元/学时（45分钟/学时）的标准给予补贴，促进社工综合能力提升。</w:t>
      </w:r>
    </w:p>
    <w:p>
      <w:pPr>
        <w:widowControl/>
        <w:numPr>
          <w:ilvl w:val="0"/>
          <w:numId w:val="1"/>
        </w:numPr>
        <w:tabs>
          <w:tab w:val="left" w:pos="0"/>
          <w:tab w:val="left" w:pos="198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设立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/>
          <w:kern w:val="0"/>
          <w:sz w:val="32"/>
          <w:szCs w:val="32"/>
        </w:rPr>
        <w:t>区社工团体建设专项经费，定期组织开展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/>
          <w:kern w:val="0"/>
          <w:sz w:val="32"/>
          <w:szCs w:val="32"/>
        </w:rPr>
        <w:t>区社工团队建设活动。</w:t>
      </w:r>
    </w:p>
    <w:p>
      <w:pPr>
        <w:widowControl/>
        <w:numPr>
          <w:ilvl w:val="0"/>
          <w:numId w:val="1"/>
        </w:numPr>
        <w:tabs>
          <w:tab w:val="left" w:pos="0"/>
          <w:tab w:val="left" w:pos="1980"/>
        </w:tabs>
        <w:adjustRightInd w:val="0"/>
        <w:snapToGrid w:val="0"/>
        <w:spacing w:line="560" w:lineRule="exact"/>
        <w:ind w:left="0"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定期组织优秀社工赴社会工作服务先进地区学习交流，参加各类社会工作学术会议。</w:t>
      </w:r>
    </w:p>
    <w:p>
      <w:pPr>
        <w:widowControl/>
        <w:numPr>
          <w:ilvl w:val="0"/>
          <w:numId w:val="1"/>
        </w:numPr>
        <w:tabs>
          <w:tab w:val="left" w:pos="0"/>
          <w:tab w:val="left" w:pos="1980"/>
        </w:tabs>
        <w:adjustRightInd w:val="0"/>
        <w:snapToGrid w:val="0"/>
        <w:spacing w:line="560" w:lineRule="exact"/>
        <w:ind w:left="0"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区社工或区本地户籍人员取得社会工作专业硕士、博士学位并与区签订继续服务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宋体" w:eastAsia="仿宋_GB2312"/>
          <w:kern w:val="0"/>
          <w:sz w:val="32"/>
          <w:szCs w:val="32"/>
        </w:rPr>
        <w:t>三年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以上的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，服务期限届满后</w:t>
      </w:r>
      <w:r>
        <w:rPr>
          <w:rFonts w:hint="eastAsia" w:ascii="仿宋_GB2312" w:hAnsi="宋体" w:eastAsia="仿宋_GB2312"/>
          <w:kern w:val="0"/>
          <w:sz w:val="32"/>
          <w:szCs w:val="32"/>
        </w:rPr>
        <w:t>分别一次性给予10000元、20000元的奖励。</w:t>
      </w:r>
    </w:p>
    <w:p>
      <w:pPr>
        <w:widowControl/>
        <w:tabs>
          <w:tab w:val="left" w:pos="6465"/>
        </w:tabs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tabs>
          <w:tab w:val="left" w:pos="6465"/>
        </w:tabs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 xml:space="preserve">第三章  激励机制 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开展光明区“星级社工”评定工作。星级社工分五个等次，从低到高分为一星、二星、三星、四星、五星。</w:t>
      </w:r>
    </w:p>
    <w:p>
      <w:pPr>
        <w:widowControl/>
        <w:tabs>
          <w:tab w:val="left" w:pos="23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具体评定标准为：</w:t>
      </w:r>
    </w:p>
    <w:p>
      <w:pPr>
        <w:widowControl/>
        <w:tabs>
          <w:tab w:val="left" w:pos="23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一星：在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/>
          <w:kern w:val="0"/>
          <w:sz w:val="32"/>
          <w:szCs w:val="32"/>
        </w:rPr>
        <w:t>区从事社工服务连续满一年、助理社会工作师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以上资格、考核合格的，给予100元/月/人的奖励；</w:t>
      </w:r>
    </w:p>
    <w:p>
      <w:pPr>
        <w:widowControl/>
        <w:tabs>
          <w:tab w:val="left" w:pos="23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二星：在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/>
          <w:kern w:val="0"/>
          <w:sz w:val="32"/>
          <w:szCs w:val="32"/>
        </w:rPr>
        <w:t>区从事社工服务连续满两年、助理社会工作师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以上资格、考核合格的，给予200元/月/人的奖励；</w:t>
      </w:r>
    </w:p>
    <w:p>
      <w:pPr>
        <w:widowControl/>
        <w:tabs>
          <w:tab w:val="left" w:pos="23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三星：在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从事社工服务连续满三年、助理社会工作师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以上资格、考核优秀的，给予500元/月/人的奖励；</w:t>
      </w:r>
    </w:p>
    <w:p>
      <w:pPr>
        <w:widowControl/>
        <w:tabs>
          <w:tab w:val="left" w:pos="23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四星：在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从事社工服务连续满五年、社会工作师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以上资格、本科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以上学历、获得2次区级奖励或者1次市级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以上奖励、考核优秀的，给予800元/月/人的奖励；</w:t>
      </w:r>
    </w:p>
    <w:p>
      <w:pPr>
        <w:widowControl/>
        <w:tabs>
          <w:tab w:val="left" w:pos="23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五星：在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从事社工服务连续满八年、社会工作师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以上资格、本科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以上学历、具有深圳市社会工作者督导助理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以上资格、获得2次市级奖励或者1次省级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以上奖励、考核优秀的，给予1000元/月/人的奖励。</w:t>
      </w:r>
    </w:p>
    <w:p>
      <w:pPr>
        <w:widowControl/>
        <w:tabs>
          <w:tab w:val="left" w:pos="23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金牌社工：在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从事社工服务连续满十年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以上、社会工作师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以上资格、本科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以上学历、考核优秀的，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给予突出贡献奖，</w:t>
      </w:r>
      <w:r>
        <w:rPr>
          <w:rFonts w:hint="eastAsia" w:ascii="仿宋_GB2312" w:hAnsi="宋体" w:eastAsia="仿宋_GB2312"/>
          <w:kern w:val="0"/>
          <w:sz w:val="32"/>
          <w:szCs w:val="32"/>
        </w:rPr>
        <w:t>颁发“金牌社工”奖牌和证书。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鼓励培养发展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社工督导人才，取得中级社会工作师及以上证书，并获得深圳市社会工作者协会颁发的初级督导及以上证书，在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全职从事社工服务督导工作满三年以上，且与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签订继续服务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宋体" w:eastAsia="仿宋_GB2312"/>
          <w:kern w:val="0"/>
          <w:sz w:val="32"/>
          <w:szCs w:val="32"/>
        </w:rPr>
        <w:t>三年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以上的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，服务期限届满后</w:t>
      </w:r>
      <w:r>
        <w:rPr>
          <w:rFonts w:hint="eastAsia" w:ascii="仿宋_GB2312" w:hAnsi="宋体" w:eastAsia="仿宋_GB2312"/>
          <w:kern w:val="0"/>
          <w:sz w:val="32"/>
          <w:szCs w:val="32"/>
        </w:rPr>
        <w:t>给予一次性奖励20000元。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每年组织开展“十佳社工”、“十佳案例”评优活动，</w:t>
      </w:r>
      <w:r>
        <w:rPr>
          <w:rFonts w:hint="eastAsia" w:ascii="仿宋_GB2312" w:eastAsia="仿宋_GB2312"/>
          <w:sz w:val="32"/>
          <w:szCs w:val="32"/>
        </w:rPr>
        <w:t>将“社工引领义工”开展志愿服务内容纳入“十佳社工”的评先评优条件。</w:t>
      </w:r>
      <w:r>
        <w:rPr>
          <w:rFonts w:hint="eastAsia" w:ascii="仿宋_GB2312" w:hAnsi="宋体" w:eastAsia="仿宋_GB2312"/>
          <w:kern w:val="0"/>
          <w:sz w:val="32"/>
          <w:szCs w:val="32"/>
        </w:rPr>
        <w:t>对获奖社工、案例给予一次性奖励2000元。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社工在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宋体" w:eastAsia="仿宋_GB2312"/>
          <w:kern w:val="0"/>
          <w:sz w:val="32"/>
          <w:szCs w:val="32"/>
        </w:rPr>
        <w:t>服务期间，在专业刊物上发表的专业文章或专业文献，按照发表篇数分别给予市级200元/篇、省级500元/篇、国家级800元/篇的奖励。参与编写专业文献或书籍的，按照主编3000元/人、副主编1000元/人、编委500元/人的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标准予以奖励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在区从事社工服务连续满一年、经考核合格的社工，从第二年起按200元/月/人给予基层工作补贴。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鼓励社工机构在区自主开</w:t>
      </w:r>
      <w:r>
        <w:rPr>
          <w:rFonts w:hint="eastAsia" w:ascii="仿宋_GB2312" w:hAnsi="宋体" w:eastAsia="仿宋_GB2312"/>
          <w:kern w:val="0"/>
          <w:sz w:val="32"/>
          <w:szCs w:val="32"/>
        </w:rPr>
        <w:t>发公益性创新项目，鼓励社工自主开发研究课题，成本核算后予以相应扶持。对获得社会资金扶持的项目或课题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研究，区给予适当的经费配套资助，资助经费最高不超过5万元。</w:t>
      </w: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第四章  权益保障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通过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kern w:val="0"/>
          <w:sz w:val="32"/>
          <w:szCs w:val="32"/>
        </w:rPr>
        <w:t>慈善会、社区基金会等公益平台对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kern w:val="0"/>
          <w:sz w:val="32"/>
          <w:szCs w:val="32"/>
        </w:rPr>
        <w:t>患重大疾病、遭遇突发事件的特殊困难社工给予适当补助。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开通“光明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社工热线”，维护社工权益，协调解决社工困难，多渠道为有困难的社工提供帮助。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协助社工落实深圳市积分入户、人才安居工程、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kern w:val="0"/>
          <w:sz w:val="32"/>
          <w:szCs w:val="32"/>
        </w:rPr>
        <w:t>优秀人才奖励等相关政策。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/>
          <w:kern w:val="0"/>
          <w:sz w:val="32"/>
          <w:szCs w:val="32"/>
        </w:rPr>
        <w:t>区加大扶持力度的同时，各社工机构应保持原有社工团建、培训、薪酬福利等经费比例不变或提高。对减少相关经费比例的社工机构，取消评优资格，并在综合评估中予以扣分。</w:t>
      </w:r>
    </w:p>
    <w:p>
      <w:pPr>
        <w:widowControl/>
        <w:adjustRightInd w:val="0"/>
        <w:snapToGrid w:val="0"/>
        <w:spacing w:line="560" w:lineRule="exact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第五章  经费管理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民政</w:t>
      </w:r>
      <w:r>
        <w:rPr>
          <w:rFonts w:hint="eastAsia" w:ascii="仿宋_GB2312" w:hAnsi="宋体" w:eastAsia="仿宋_GB2312"/>
          <w:kern w:val="0"/>
          <w:sz w:val="32"/>
          <w:szCs w:val="32"/>
        </w:rPr>
        <w:t>局是区社工业务主管单位，负责社工扶持资金的监督和管理，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社会工作协会负责具体的资料审核等工作。</w:t>
      </w:r>
    </w:p>
    <w:p>
      <w:pPr>
        <w:widowControl/>
        <w:numPr>
          <w:ilvl w:val="0"/>
          <w:numId w:val="1"/>
        </w:numPr>
        <w:tabs>
          <w:tab w:val="left" w:pos="0"/>
          <w:tab w:val="left" w:pos="2340"/>
        </w:tabs>
        <w:adjustRightInd w:val="0"/>
        <w:snapToGrid w:val="0"/>
        <w:spacing w:line="560" w:lineRule="exact"/>
        <w:ind w:left="0" w:firstLine="64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社会工作人才补助经费由社工机构推荐，社工提出书面申请，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社会工作协会负责初审，经社工业务主管部门复核后按相关规定和程序进行拨付。</w:t>
      </w:r>
    </w:p>
    <w:p>
      <w:pPr>
        <w:widowControl/>
        <w:numPr>
          <w:ilvl w:val="0"/>
          <w:numId w:val="1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ind w:left="0"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加强对社工的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定期</w:t>
      </w:r>
      <w:r>
        <w:rPr>
          <w:rFonts w:hint="eastAsia" w:ascii="仿宋_GB2312" w:hAnsi="宋体" w:eastAsia="仿宋_GB2312"/>
          <w:kern w:val="0"/>
          <w:sz w:val="32"/>
          <w:szCs w:val="32"/>
        </w:rPr>
        <w:t>管理和考核。对社工年度考核不合格、受到有效投诉或在申请过程中存在弄虚作假行为的，取消评优资格，停发当期所有补贴并责令整改，整改期间的补贴不予补发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kern w:val="0"/>
          <w:sz w:val="32"/>
          <w:szCs w:val="32"/>
        </w:rPr>
        <w:t>对已发放的补贴予以追回。</w:t>
      </w:r>
    </w:p>
    <w:p>
      <w:pPr>
        <w:widowControl/>
        <w:adjustRightInd w:val="0"/>
        <w:snapToGrid w:val="0"/>
        <w:spacing w:line="560" w:lineRule="exact"/>
        <w:ind w:firstLine="642" w:firstLineChars="200"/>
        <w:jc w:val="both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第二十四条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theme="minorBidi"/>
          <w:kern w:val="0"/>
          <w:sz w:val="32"/>
          <w:szCs w:val="32"/>
        </w:rPr>
        <w:t>区社</w:t>
      </w:r>
      <w:r>
        <w:rPr>
          <w:rFonts w:hint="eastAsia" w:ascii="仿宋_GB2312" w:hAnsi="宋体" w:eastAsia="仿宋_GB2312"/>
          <w:kern w:val="0"/>
          <w:sz w:val="32"/>
          <w:szCs w:val="32"/>
        </w:rPr>
        <w:t>工业务主管部门每年年底联合财政及审计部门，对扶持资金执行情况进行审计和监督，并编制社会工作人才扶持资金执行报告，上报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区委、区政府。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仿宋_GB2312" w:hAnsi="宋体" w:eastAsia="仿宋_GB2312"/>
          <w:b/>
          <w:bCs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第六章  附则</w:t>
      </w: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ind w:firstLine="642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  <w:lang w:eastAsia="zh-CN"/>
        </w:rPr>
        <w:t>第二十五条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本办法所涉经费的设置、管理、申请及拨付等事项，由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区民政局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出台相关细则或根据有关文件核定。</w:t>
      </w: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ind w:firstLine="622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1"/>
          <w:szCs w:val="31"/>
          <w:lang w:eastAsia="zh-CN"/>
        </w:rPr>
        <w:t>第二十六条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1"/>
          <w:szCs w:val="31"/>
        </w:rPr>
        <w:t>本办法自</w:t>
      </w:r>
      <w:r>
        <w:rPr>
          <w:rFonts w:hint="eastAsia" w:ascii="仿宋_GB2312" w:eastAsia="仿宋_GB2312"/>
          <w:kern w:val="0"/>
          <w:sz w:val="31"/>
          <w:szCs w:val="31"/>
          <w:lang w:eastAsia="zh-CN"/>
        </w:rPr>
        <w:t>公布之日起施行，有效期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5年。</w:t>
      </w: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ind w:firstLine="622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1"/>
          <w:szCs w:val="31"/>
          <w:lang w:val="en-US" w:eastAsia="zh-CN"/>
        </w:rPr>
        <w:t>第二十七条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 xml:space="preserve">  本办法</w:t>
      </w:r>
      <w:r>
        <w:rPr>
          <w:rFonts w:hint="eastAsia" w:ascii="仿宋_GB2312" w:eastAsia="仿宋_GB2312"/>
          <w:kern w:val="0"/>
          <w:sz w:val="31"/>
          <w:szCs w:val="31"/>
          <w:lang w:eastAsia="zh-CN"/>
        </w:rPr>
        <w:t>由区民政局负责解释。</w:t>
      </w: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ind w:left="640" w:leftChars="0"/>
        <w:rPr>
          <w:rFonts w:hint="eastAsia" w:ascii="仿宋_GB2312" w:eastAsia="仿宋_GB2312"/>
          <w:kern w:val="0"/>
          <w:sz w:val="31"/>
          <w:szCs w:val="31"/>
          <w:lang w:eastAsia="zh-CN"/>
        </w:rPr>
      </w:pP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rPr>
          <w:rFonts w:hint="eastAsia" w:ascii="仿宋_GB2312" w:eastAsia="仿宋_GB2312"/>
          <w:kern w:val="0"/>
          <w:sz w:val="31"/>
          <w:szCs w:val="31"/>
          <w:lang w:eastAsia="zh-CN"/>
        </w:rPr>
      </w:pP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rPr>
          <w:rFonts w:hint="eastAsia" w:ascii="仿宋_GB2312" w:eastAsia="仿宋_GB2312"/>
          <w:kern w:val="0"/>
          <w:sz w:val="31"/>
          <w:szCs w:val="31"/>
          <w:lang w:eastAsia="zh-CN"/>
        </w:rPr>
      </w:pP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rPr>
          <w:rFonts w:hint="eastAsia" w:ascii="仿宋_GB2312" w:eastAsia="仿宋_GB2312"/>
          <w:kern w:val="0"/>
          <w:sz w:val="31"/>
          <w:szCs w:val="31"/>
          <w:lang w:eastAsia="zh-CN"/>
        </w:rPr>
      </w:pP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rPr>
          <w:rFonts w:hint="eastAsia" w:ascii="仿宋_GB2312" w:eastAsia="仿宋_GB2312"/>
          <w:kern w:val="0"/>
          <w:sz w:val="31"/>
          <w:szCs w:val="31"/>
          <w:lang w:eastAsia="zh-CN"/>
        </w:rPr>
      </w:pP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rPr>
          <w:rFonts w:hint="eastAsia" w:ascii="仿宋_GB2312" w:eastAsia="仿宋_GB2312"/>
          <w:kern w:val="0"/>
          <w:sz w:val="31"/>
          <w:szCs w:val="31"/>
          <w:lang w:eastAsia="zh-CN"/>
        </w:rPr>
      </w:pP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rPr>
          <w:rFonts w:hint="eastAsia" w:ascii="仿宋_GB2312" w:eastAsia="仿宋_GB2312"/>
          <w:kern w:val="0"/>
          <w:sz w:val="31"/>
          <w:szCs w:val="31"/>
          <w:lang w:eastAsia="zh-CN"/>
        </w:rPr>
      </w:pPr>
    </w:p>
    <w:p>
      <w:pPr>
        <w:widowControl/>
        <w:numPr>
          <w:ilvl w:val="0"/>
          <w:numId w:val="0"/>
        </w:numPr>
        <w:tabs>
          <w:tab w:val="left" w:pos="0"/>
          <w:tab w:val="left" w:pos="2520"/>
        </w:tabs>
        <w:adjustRightInd w:val="0"/>
        <w:snapToGrid w:val="0"/>
        <w:spacing w:line="560" w:lineRule="exact"/>
        <w:rPr>
          <w:rFonts w:hint="eastAsia" w:ascii="仿宋_GB2312" w:eastAsia="仿宋_GB2312"/>
          <w:kern w:val="0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ˎ̥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07990"/>
    <w:multiLevelType w:val="multilevel"/>
    <w:tmpl w:val="42307990"/>
    <w:lvl w:ilvl="0" w:tentative="0">
      <w:start w:val="1"/>
      <w:numFmt w:val="japaneseCounting"/>
      <w:lvlText w:val="第%1条"/>
      <w:lvlJc w:val="left"/>
      <w:pPr>
        <w:tabs>
          <w:tab w:val="left" w:pos="3015"/>
        </w:tabs>
        <w:ind w:left="3015" w:hanging="193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B4865"/>
    <w:rsid w:val="03507E6A"/>
    <w:rsid w:val="069E590C"/>
    <w:rsid w:val="070F05CB"/>
    <w:rsid w:val="0EE212DA"/>
    <w:rsid w:val="297D7310"/>
    <w:rsid w:val="2A603331"/>
    <w:rsid w:val="2F6CDF26"/>
    <w:rsid w:val="355B4865"/>
    <w:rsid w:val="3C114BFF"/>
    <w:rsid w:val="3E4937FD"/>
    <w:rsid w:val="3F480333"/>
    <w:rsid w:val="41DB0C34"/>
    <w:rsid w:val="4EA63AD3"/>
    <w:rsid w:val="65CD5FDC"/>
    <w:rsid w:val="6B571974"/>
    <w:rsid w:val="6BB771BD"/>
    <w:rsid w:val="723F0EB0"/>
    <w:rsid w:val="7E7446D4"/>
    <w:rsid w:val="7F3A93BE"/>
    <w:rsid w:val="7FEE49F8"/>
    <w:rsid w:val="B7F7154B"/>
    <w:rsid w:val="F6AC8853"/>
    <w:rsid w:val="F7E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2017-08-05T11:03:00Z</dcterms:created>
  <dc:creator>Administrator</dc:creator>
  <cp:lastModifiedBy>yangqiuting</cp:lastModifiedBy>
  <dcterms:modified xsi:type="dcterms:W3CDTF">2022-06-06T09:49:17Z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54E717F505A44E458426D1C5EF2F49B6</vt:lpwstr>
  </property>
</Properties>
</file>