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52"/>
          <w:szCs w:val="52"/>
          <w:highlight w:val="none"/>
          <w:lang w:val="en-US" w:eastAsia="zh-CN"/>
        </w:rPr>
      </w:pPr>
      <w:r>
        <w:rPr>
          <w:rFonts w:hint="eastAsia" w:asciiTheme="majorEastAsia" w:hAnsiTheme="majorEastAsia" w:eastAsiaTheme="majorEastAsia" w:cstheme="majorEastAsia"/>
          <w:b/>
          <w:sz w:val="52"/>
          <w:szCs w:val="52"/>
          <w:highlight w:val="none"/>
          <w:lang w:val="en-US" w:eastAsia="zh-CN"/>
        </w:rPr>
        <w:t>光明区高标准都市农田管理指引</w:t>
      </w: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rPr>
          <w:rFonts w:hint="eastAsia" w:asciiTheme="majorEastAsia" w:hAnsiTheme="majorEastAsia" w:eastAsiaTheme="majorEastAsia" w:cstheme="majorEastAsia"/>
          <w:b/>
          <w:sz w:val="44"/>
          <w:szCs w:val="44"/>
          <w:highlight w:val="none"/>
          <w:lang w:val="en-US" w:eastAsia="zh-CN"/>
        </w:rPr>
      </w:pPr>
    </w:p>
    <w:p>
      <w:pPr>
        <w:jc w:val="center"/>
        <w:outlineLvl w:val="0"/>
        <w:rPr>
          <w:rFonts w:hint="default" w:asciiTheme="majorEastAsia" w:hAnsiTheme="majorEastAsia" w:eastAsiaTheme="majorEastAsia" w:cstheme="majorEastAsia"/>
          <w:b/>
          <w:sz w:val="32"/>
          <w:szCs w:val="32"/>
          <w:highlight w:val="none"/>
          <w:lang w:val="en-US" w:eastAsia="zh-CN"/>
        </w:rPr>
      </w:pPr>
      <w:bookmarkStart w:id="0" w:name="_Toc12959"/>
      <w:bookmarkStart w:id="1" w:name="_Toc12350"/>
      <w:bookmarkStart w:id="2" w:name="_Toc22808"/>
      <w:r>
        <w:rPr>
          <w:rFonts w:hint="eastAsia" w:asciiTheme="majorEastAsia" w:hAnsiTheme="majorEastAsia" w:eastAsiaTheme="majorEastAsia" w:cstheme="majorEastAsia"/>
          <w:b/>
          <w:sz w:val="32"/>
          <w:szCs w:val="32"/>
          <w:highlight w:val="none"/>
          <w:lang w:val="en-US" w:eastAsia="zh-CN"/>
        </w:rPr>
        <w:t>《光明区高标准都市农田管理指引》编制组</w:t>
      </w:r>
      <w:bookmarkEnd w:id="0"/>
      <w:bookmarkEnd w:id="1"/>
      <w:bookmarkEnd w:id="2"/>
    </w:p>
    <w:p>
      <w:pPr>
        <w:jc w:val="center"/>
        <w:rPr>
          <w:rFonts w:hint="eastAsia" w:asciiTheme="majorEastAsia" w:hAnsiTheme="majorEastAsia" w:eastAsiaTheme="majorEastAsia" w:cstheme="majorEastAsia"/>
          <w:b/>
          <w:sz w:val="32"/>
          <w:szCs w:val="32"/>
          <w:highlight w:val="none"/>
          <w:lang w:val="en-US" w:eastAsia="zh-CN"/>
        </w:rPr>
        <w:sectPr>
          <w:pgSz w:w="11906" w:h="16838"/>
          <w:pgMar w:top="1440" w:right="1800" w:bottom="1497" w:left="1800" w:header="851" w:footer="992" w:gutter="0"/>
          <w:pgNumType w:fmt="decimal"/>
          <w:cols w:space="425" w:num="1"/>
          <w:docGrid w:type="lines" w:linePitch="312" w:charSpace="0"/>
        </w:sectPr>
      </w:pPr>
      <w:r>
        <w:rPr>
          <w:rFonts w:hint="default" w:ascii="Times New Roman" w:hAnsi="Times New Roman" w:cs="Times New Roman" w:eastAsiaTheme="majorEastAsia"/>
          <w:b/>
          <w:sz w:val="32"/>
          <w:szCs w:val="32"/>
          <w:highlight w:val="none"/>
          <w:lang w:val="en-US" w:eastAsia="zh-CN"/>
        </w:rPr>
        <w:t>2022年</w:t>
      </w:r>
      <w:r>
        <w:rPr>
          <w:rFonts w:hint="eastAsia" w:cs="Times New Roman" w:eastAsiaTheme="majorEastAsia"/>
          <w:b/>
          <w:sz w:val="32"/>
          <w:szCs w:val="32"/>
          <w:highlight w:val="none"/>
          <w:lang w:val="en-US" w:eastAsia="zh-CN"/>
        </w:rPr>
        <w:t>11</w:t>
      </w:r>
      <w:bookmarkStart w:id="51" w:name="_GoBack"/>
      <w:bookmarkEnd w:id="51"/>
      <w:r>
        <w:rPr>
          <w:rFonts w:hint="eastAsia" w:asciiTheme="majorEastAsia" w:hAnsiTheme="majorEastAsia" w:eastAsiaTheme="majorEastAsia" w:cstheme="majorEastAsia"/>
          <w:b/>
          <w:sz w:val="32"/>
          <w:szCs w:val="32"/>
          <w:highlight w:val="none"/>
          <w:lang w:val="en-US" w:eastAsia="zh-CN"/>
        </w:rPr>
        <w:t>月</w:t>
      </w:r>
    </w:p>
    <w:sdt>
      <w:sdtPr>
        <w:rPr>
          <w:rFonts w:ascii="宋体" w:hAnsi="宋体" w:eastAsia="宋体" w:cs="Times New Roman"/>
          <w:kern w:val="2"/>
          <w:sz w:val="36"/>
          <w:szCs w:val="36"/>
          <w:highlight w:val="none"/>
          <w:lang w:val="en-US" w:eastAsia="zh-CN" w:bidi="ar-SA"/>
        </w:rPr>
        <w:id w:val="147469046"/>
        <w15:color w:val="DBDBDB"/>
        <w:docPartObj>
          <w:docPartGallery w:val="Table of Contents"/>
          <w:docPartUnique/>
        </w:docPartObj>
      </w:sdtPr>
      <w:sdtEndPr>
        <w:rPr>
          <w:rFonts w:hint="default" w:ascii="Times New Roman" w:hAnsi="Times New Roman" w:eastAsia="宋体" w:cs="Times New Roman"/>
          <w:b/>
          <w:kern w:val="2"/>
          <w:sz w:val="21"/>
          <w:szCs w:val="24"/>
          <w:highlight w:val="none"/>
          <w:lang w:val="en-US" w:eastAsia="zh-CN" w:bidi="ar-SA"/>
        </w:rPr>
      </w:sdtEndPr>
      <w:sdtContent>
        <w:p>
          <w:pPr>
            <w:pStyle w:val="2"/>
            <w:jc w:val="center"/>
            <w:outlineLvl w:val="0"/>
            <w:rPr>
              <w:rFonts w:hint="default" w:ascii="Times New Roman" w:hAnsi="Times New Roman" w:eastAsia="宋体" w:cs="Times New Roman"/>
              <w:b/>
              <w:bCs/>
              <w:kern w:val="2"/>
              <w:sz w:val="40"/>
              <w:szCs w:val="48"/>
              <w:highlight w:val="none"/>
              <w:lang w:val="en-US" w:eastAsia="zh-CN" w:bidi="ar-SA"/>
            </w:rPr>
          </w:pPr>
          <w:bookmarkStart w:id="3" w:name="_Toc14773"/>
          <w:r>
            <w:rPr>
              <w:rFonts w:hint="eastAsia"/>
              <w:b/>
              <w:bCs/>
              <w:sz w:val="36"/>
              <w:szCs w:val="36"/>
              <w:highlight w:val="none"/>
              <w:lang w:val="en-US" w:eastAsia="zh-CN"/>
            </w:rPr>
            <w:t>目    录</w:t>
          </w:r>
          <w:bookmarkEnd w:id="3"/>
          <w:r>
            <w:rPr>
              <w:rFonts w:hint="default"/>
              <w:sz w:val="40"/>
              <w:szCs w:val="48"/>
              <w:highlight w:val="none"/>
              <w:lang w:val="en-US" w:eastAsia="zh-CN"/>
            </w:rPr>
            <w:fldChar w:fldCharType="begin"/>
          </w:r>
          <w:r>
            <w:rPr>
              <w:rFonts w:hint="default"/>
              <w:sz w:val="40"/>
              <w:szCs w:val="48"/>
              <w:highlight w:val="none"/>
              <w:lang w:val="en-US" w:eastAsia="zh-CN"/>
            </w:rPr>
            <w:instrText xml:space="preserve">TOC \o "1-2" \h \u </w:instrText>
          </w:r>
          <w:r>
            <w:rPr>
              <w:rFonts w:hint="default"/>
              <w:sz w:val="40"/>
              <w:szCs w:val="48"/>
              <w:highlight w:val="none"/>
              <w:lang w:val="en-US" w:eastAsia="zh-CN"/>
            </w:rPr>
            <w:fldChar w:fldCharType="separate"/>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_Toc7296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rPr>
            <w:t>一、概念</w:t>
          </w:r>
          <w:r>
            <w:rPr>
              <w:sz w:val="28"/>
              <w:szCs w:val="36"/>
              <w:highlight w:val="none"/>
            </w:rPr>
            <w:tab/>
          </w:r>
          <w:r>
            <w:rPr>
              <w:sz w:val="28"/>
              <w:szCs w:val="36"/>
              <w:highlight w:val="none"/>
            </w:rPr>
            <w:fldChar w:fldCharType="begin"/>
          </w:r>
          <w:r>
            <w:rPr>
              <w:sz w:val="28"/>
              <w:szCs w:val="36"/>
              <w:highlight w:val="none"/>
            </w:rPr>
            <w:instrText xml:space="preserve"> PAGEREF _Toc7296 \h </w:instrText>
          </w:r>
          <w:r>
            <w:rPr>
              <w:sz w:val="28"/>
              <w:szCs w:val="36"/>
              <w:highlight w:val="none"/>
            </w:rPr>
            <w:fldChar w:fldCharType="separate"/>
          </w:r>
          <w:r>
            <w:rPr>
              <w:sz w:val="28"/>
              <w:szCs w:val="36"/>
              <w:highlight w:val="none"/>
            </w:rPr>
            <w:t>1</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_Toc14399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eastAsia="zh-CN"/>
            </w:rPr>
            <w:t>（</w:t>
          </w:r>
          <w:r>
            <w:rPr>
              <w:rFonts w:hint="eastAsia" w:ascii="华文楷体" w:hAnsi="华文楷体" w:eastAsia="华文楷体" w:cs="华文楷体"/>
              <w:sz w:val="28"/>
              <w:szCs w:val="36"/>
              <w:highlight w:val="none"/>
              <w:lang w:val="en-US" w:eastAsia="zh-CN"/>
            </w:rPr>
            <w:t>一</w:t>
          </w:r>
          <w:r>
            <w:rPr>
              <w:rFonts w:hint="eastAsia" w:ascii="华文楷体" w:hAnsi="华文楷体" w:eastAsia="华文楷体" w:cs="华文楷体"/>
              <w:sz w:val="28"/>
              <w:szCs w:val="36"/>
              <w:highlight w:val="none"/>
              <w:lang w:eastAsia="zh-CN"/>
            </w:rPr>
            <w:t>）</w:t>
          </w:r>
          <w:r>
            <w:rPr>
              <w:rFonts w:hint="eastAsia" w:ascii="华文楷体" w:hAnsi="华文楷体" w:eastAsia="华文楷体" w:cs="华文楷体"/>
              <w:sz w:val="28"/>
              <w:szCs w:val="36"/>
              <w:highlight w:val="none"/>
              <w:lang w:val="en-US" w:eastAsia="zh-CN"/>
            </w:rPr>
            <w:t>高标准都市农田</w:t>
          </w:r>
          <w:r>
            <w:rPr>
              <w:sz w:val="28"/>
              <w:szCs w:val="36"/>
              <w:highlight w:val="none"/>
            </w:rPr>
            <w:tab/>
          </w:r>
          <w:r>
            <w:rPr>
              <w:sz w:val="28"/>
              <w:szCs w:val="36"/>
              <w:highlight w:val="none"/>
            </w:rPr>
            <w:fldChar w:fldCharType="begin"/>
          </w:r>
          <w:r>
            <w:rPr>
              <w:sz w:val="28"/>
              <w:szCs w:val="36"/>
              <w:highlight w:val="none"/>
            </w:rPr>
            <w:instrText xml:space="preserve"> PAGEREF _Toc14399 \h </w:instrText>
          </w:r>
          <w:r>
            <w:rPr>
              <w:sz w:val="28"/>
              <w:szCs w:val="36"/>
              <w:highlight w:val="none"/>
            </w:rPr>
            <w:fldChar w:fldCharType="separate"/>
          </w:r>
          <w:r>
            <w:rPr>
              <w:sz w:val="28"/>
              <w:szCs w:val="36"/>
              <w:highlight w:val="none"/>
            </w:rPr>
            <w:t>1</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_Toc4894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eastAsia="zh-CN"/>
            </w:rPr>
            <w:t>（</w:t>
          </w:r>
          <w:r>
            <w:rPr>
              <w:rFonts w:hint="eastAsia" w:ascii="华文楷体" w:hAnsi="华文楷体" w:eastAsia="华文楷体" w:cs="华文楷体"/>
              <w:sz w:val="28"/>
              <w:szCs w:val="36"/>
              <w:highlight w:val="none"/>
              <w:lang w:val="en-US" w:eastAsia="zh-CN"/>
            </w:rPr>
            <w:t>二</w:t>
          </w:r>
          <w:r>
            <w:rPr>
              <w:rFonts w:hint="eastAsia" w:ascii="华文楷体" w:hAnsi="华文楷体" w:eastAsia="华文楷体" w:cs="华文楷体"/>
              <w:sz w:val="28"/>
              <w:szCs w:val="36"/>
              <w:highlight w:val="none"/>
              <w:lang w:eastAsia="zh-CN"/>
            </w:rPr>
            <w:t>）</w:t>
          </w:r>
          <w:r>
            <w:rPr>
              <w:rFonts w:hint="eastAsia" w:ascii="华文楷体" w:hAnsi="华文楷体" w:eastAsia="华文楷体" w:cs="华文楷体"/>
              <w:sz w:val="28"/>
              <w:szCs w:val="36"/>
              <w:highlight w:val="none"/>
              <w:lang w:val="en-US" w:eastAsia="zh-CN"/>
            </w:rPr>
            <w:t>病虫害防治</w:t>
          </w:r>
          <w:r>
            <w:rPr>
              <w:sz w:val="28"/>
              <w:szCs w:val="36"/>
              <w:highlight w:val="none"/>
            </w:rPr>
            <w:tab/>
          </w:r>
          <w:r>
            <w:rPr>
              <w:sz w:val="28"/>
              <w:szCs w:val="36"/>
              <w:highlight w:val="none"/>
            </w:rPr>
            <w:fldChar w:fldCharType="begin"/>
          </w:r>
          <w:r>
            <w:rPr>
              <w:sz w:val="28"/>
              <w:szCs w:val="36"/>
              <w:highlight w:val="none"/>
            </w:rPr>
            <w:instrText xml:space="preserve"> PAGEREF _Toc4894 \h </w:instrText>
          </w:r>
          <w:r>
            <w:rPr>
              <w:sz w:val="28"/>
              <w:szCs w:val="36"/>
              <w:highlight w:val="none"/>
            </w:rPr>
            <w:fldChar w:fldCharType="separate"/>
          </w:r>
          <w:r>
            <w:rPr>
              <w:sz w:val="28"/>
              <w:szCs w:val="36"/>
              <w:highlight w:val="none"/>
            </w:rPr>
            <w:t>2</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_Toc2590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（三）高标准都市农田建设项目建后管护</w:t>
          </w:r>
          <w:r>
            <w:rPr>
              <w:sz w:val="28"/>
              <w:szCs w:val="36"/>
              <w:highlight w:val="none"/>
            </w:rPr>
            <w:tab/>
          </w:r>
          <w:r>
            <w:rPr>
              <w:sz w:val="28"/>
              <w:szCs w:val="36"/>
              <w:highlight w:val="none"/>
            </w:rPr>
            <w:fldChar w:fldCharType="begin"/>
          </w:r>
          <w:r>
            <w:rPr>
              <w:sz w:val="28"/>
              <w:szCs w:val="36"/>
              <w:highlight w:val="none"/>
            </w:rPr>
            <w:instrText xml:space="preserve"> PAGEREF _Toc2590 \h </w:instrText>
          </w:r>
          <w:r>
            <w:rPr>
              <w:sz w:val="28"/>
              <w:szCs w:val="36"/>
              <w:highlight w:val="none"/>
            </w:rPr>
            <w:fldChar w:fldCharType="separate"/>
          </w:r>
          <w:r>
            <w:rPr>
              <w:sz w:val="28"/>
              <w:szCs w:val="36"/>
              <w:highlight w:val="none"/>
            </w:rPr>
            <w:t>2</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_Toc6262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rPr>
            <w:t>二、参考文件</w:t>
          </w:r>
          <w:r>
            <w:rPr>
              <w:sz w:val="28"/>
              <w:szCs w:val="36"/>
              <w:highlight w:val="none"/>
            </w:rPr>
            <w:tab/>
          </w:r>
          <w:r>
            <w:rPr>
              <w:sz w:val="28"/>
              <w:szCs w:val="36"/>
              <w:highlight w:val="none"/>
            </w:rPr>
            <w:fldChar w:fldCharType="begin"/>
          </w:r>
          <w:r>
            <w:rPr>
              <w:sz w:val="28"/>
              <w:szCs w:val="36"/>
              <w:highlight w:val="none"/>
            </w:rPr>
            <w:instrText xml:space="preserve"> PAGEREF _Toc6262 \h </w:instrText>
          </w:r>
          <w:r>
            <w:rPr>
              <w:sz w:val="28"/>
              <w:szCs w:val="36"/>
              <w:highlight w:val="none"/>
            </w:rPr>
            <w:fldChar w:fldCharType="separate"/>
          </w:r>
          <w:r>
            <w:rPr>
              <w:sz w:val="28"/>
              <w:szCs w:val="36"/>
              <w:highlight w:val="none"/>
            </w:rPr>
            <w:t>2</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_Toc13521 </w:instrText>
          </w:r>
          <w:r>
            <w:rPr>
              <w:rFonts w:hint="default"/>
              <w:sz w:val="28"/>
              <w:szCs w:val="72"/>
              <w:highlight w:val="none"/>
              <w:lang w:val="en-US" w:eastAsia="zh-CN"/>
            </w:rPr>
            <w:fldChar w:fldCharType="separate"/>
          </w:r>
          <w:r>
            <w:rPr>
              <w:rFonts w:hint="eastAsia" w:ascii="Times New Roman" w:hAnsi="Times New Roman" w:eastAsia="楷体_GB2312" w:cstheme="minorBidi"/>
              <w:bCs/>
              <w:sz w:val="28"/>
              <w:szCs w:val="36"/>
              <w:highlight w:val="none"/>
              <w:shd w:val="clear" w:color="auto" w:fill="CCE8CF" w:themeFill="background1"/>
              <w:lang w:eastAsia="zh-CN"/>
            </w:rPr>
            <w:t>（</w:t>
          </w:r>
          <w:r>
            <w:rPr>
              <w:rFonts w:hint="eastAsia" w:ascii="Times New Roman" w:hAnsi="Times New Roman" w:eastAsia="楷体_GB2312" w:cstheme="minorBidi"/>
              <w:bCs/>
              <w:sz w:val="28"/>
              <w:szCs w:val="36"/>
              <w:highlight w:val="none"/>
              <w:shd w:val="clear" w:color="auto" w:fill="CCE8CF" w:themeFill="background1"/>
              <w:lang w:val="en-US" w:eastAsia="zh-CN"/>
            </w:rPr>
            <w:t>一</w:t>
          </w:r>
          <w:r>
            <w:rPr>
              <w:rFonts w:hint="eastAsia" w:ascii="Times New Roman" w:hAnsi="Times New Roman" w:eastAsia="楷体_GB2312" w:cstheme="minorBidi"/>
              <w:bCs/>
              <w:sz w:val="28"/>
              <w:szCs w:val="36"/>
              <w:highlight w:val="none"/>
              <w:shd w:val="clear" w:color="auto" w:fill="CCE8CF" w:themeFill="background1"/>
              <w:lang w:eastAsia="zh-CN"/>
            </w:rPr>
            <w:t>）</w:t>
          </w:r>
          <w:r>
            <w:rPr>
              <w:rFonts w:hint="eastAsia" w:ascii="Times New Roman" w:hAnsi="Times New Roman" w:eastAsia="楷体_GB2312" w:cstheme="minorBidi"/>
              <w:bCs/>
              <w:sz w:val="28"/>
              <w:szCs w:val="36"/>
              <w:highlight w:val="none"/>
              <w:shd w:val="clear" w:color="auto" w:fill="CCE8CF" w:themeFill="background1"/>
              <w:lang w:val="en-US" w:eastAsia="zh-CN"/>
            </w:rPr>
            <w:t>标准</w:t>
          </w:r>
          <w:r>
            <w:rPr>
              <w:sz w:val="28"/>
              <w:szCs w:val="36"/>
              <w:highlight w:val="none"/>
            </w:rPr>
            <w:tab/>
          </w:r>
          <w:r>
            <w:rPr>
              <w:sz w:val="28"/>
              <w:szCs w:val="36"/>
              <w:highlight w:val="none"/>
            </w:rPr>
            <w:fldChar w:fldCharType="begin"/>
          </w:r>
          <w:r>
            <w:rPr>
              <w:sz w:val="28"/>
              <w:szCs w:val="36"/>
              <w:highlight w:val="none"/>
            </w:rPr>
            <w:instrText xml:space="preserve"> PAGEREF _Toc13521 \h </w:instrText>
          </w:r>
          <w:r>
            <w:rPr>
              <w:sz w:val="28"/>
              <w:szCs w:val="36"/>
              <w:highlight w:val="none"/>
            </w:rPr>
            <w:fldChar w:fldCharType="separate"/>
          </w:r>
          <w:r>
            <w:rPr>
              <w:sz w:val="28"/>
              <w:szCs w:val="36"/>
              <w:highlight w:val="none"/>
            </w:rPr>
            <w:t>2</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_Toc25928 </w:instrText>
          </w:r>
          <w:r>
            <w:rPr>
              <w:rFonts w:hint="default"/>
              <w:sz w:val="28"/>
              <w:szCs w:val="72"/>
              <w:highlight w:val="none"/>
              <w:lang w:val="en-US" w:eastAsia="zh-CN"/>
            </w:rPr>
            <w:fldChar w:fldCharType="separate"/>
          </w:r>
          <w:r>
            <w:rPr>
              <w:rFonts w:hint="eastAsia" w:ascii="Times New Roman" w:hAnsi="Times New Roman" w:eastAsia="楷体_GB2312" w:cstheme="minorBidi"/>
              <w:bCs/>
              <w:sz w:val="28"/>
              <w:szCs w:val="36"/>
              <w:highlight w:val="none"/>
              <w:shd w:val="clear" w:color="auto" w:fill="CCE8CF" w:themeFill="background1"/>
              <w:lang w:val="en-US" w:eastAsia="zh-CN"/>
            </w:rPr>
            <w:t>（二）政策规定</w:t>
          </w:r>
          <w:r>
            <w:rPr>
              <w:sz w:val="28"/>
              <w:szCs w:val="36"/>
              <w:highlight w:val="none"/>
            </w:rPr>
            <w:tab/>
          </w:r>
          <w:r>
            <w:rPr>
              <w:sz w:val="28"/>
              <w:szCs w:val="36"/>
              <w:highlight w:val="none"/>
            </w:rPr>
            <w:fldChar w:fldCharType="begin"/>
          </w:r>
          <w:r>
            <w:rPr>
              <w:sz w:val="28"/>
              <w:szCs w:val="36"/>
              <w:highlight w:val="none"/>
            </w:rPr>
            <w:instrText xml:space="preserve"> PAGEREF _Toc25928 \h </w:instrText>
          </w:r>
          <w:r>
            <w:rPr>
              <w:sz w:val="28"/>
              <w:szCs w:val="36"/>
              <w:highlight w:val="none"/>
            </w:rPr>
            <w:fldChar w:fldCharType="separate"/>
          </w:r>
          <w:r>
            <w:rPr>
              <w:sz w:val="28"/>
              <w:szCs w:val="36"/>
              <w:highlight w:val="none"/>
            </w:rPr>
            <w:t>3</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_Toc28734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lang w:val="en-US" w:eastAsia="zh-CN"/>
            </w:rPr>
            <w:t>三、项目管理指引</w:t>
          </w:r>
          <w:r>
            <w:rPr>
              <w:sz w:val="28"/>
              <w:szCs w:val="36"/>
              <w:highlight w:val="none"/>
            </w:rPr>
            <w:tab/>
          </w:r>
          <w:r>
            <w:rPr>
              <w:sz w:val="28"/>
              <w:szCs w:val="36"/>
              <w:highlight w:val="none"/>
            </w:rPr>
            <w:fldChar w:fldCharType="begin"/>
          </w:r>
          <w:r>
            <w:rPr>
              <w:sz w:val="28"/>
              <w:szCs w:val="36"/>
              <w:highlight w:val="none"/>
            </w:rPr>
            <w:instrText xml:space="preserve"> PAGEREF _Toc28734 \h </w:instrText>
          </w:r>
          <w:r>
            <w:rPr>
              <w:sz w:val="28"/>
              <w:szCs w:val="36"/>
              <w:highlight w:val="none"/>
            </w:rPr>
            <w:fldChar w:fldCharType="separate"/>
          </w:r>
          <w:r>
            <w:rPr>
              <w:sz w:val="28"/>
              <w:szCs w:val="36"/>
              <w:highlight w:val="none"/>
            </w:rPr>
            <w:t>4</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_Toc13174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（一）管理程序要求</w:t>
          </w:r>
          <w:r>
            <w:rPr>
              <w:sz w:val="28"/>
              <w:szCs w:val="36"/>
              <w:highlight w:val="none"/>
            </w:rPr>
            <w:tab/>
          </w:r>
          <w:r>
            <w:rPr>
              <w:sz w:val="28"/>
              <w:szCs w:val="36"/>
              <w:highlight w:val="none"/>
            </w:rPr>
            <w:fldChar w:fldCharType="begin"/>
          </w:r>
          <w:r>
            <w:rPr>
              <w:sz w:val="28"/>
              <w:szCs w:val="36"/>
              <w:highlight w:val="none"/>
            </w:rPr>
            <w:instrText xml:space="preserve"> PAGEREF _Toc13174 \h </w:instrText>
          </w:r>
          <w:r>
            <w:rPr>
              <w:sz w:val="28"/>
              <w:szCs w:val="36"/>
              <w:highlight w:val="none"/>
            </w:rPr>
            <w:fldChar w:fldCharType="separate"/>
          </w:r>
          <w:r>
            <w:rPr>
              <w:sz w:val="28"/>
              <w:szCs w:val="36"/>
              <w:highlight w:val="none"/>
            </w:rPr>
            <w:t>4</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_Toc20976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（二）土地权属管理要求</w:t>
          </w:r>
          <w:r>
            <w:rPr>
              <w:sz w:val="28"/>
              <w:szCs w:val="36"/>
              <w:highlight w:val="none"/>
            </w:rPr>
            <w:tab/>
          </w:r>
          <w:r>
            <w:rPr>
              <w:sz w:val="28"/>
              <w:szCs w:val="36"/>
              <w:highlight w:val="none"/>
            </w:rPr>
            <w:fldChar w:fldCharType="begin"/>
          </w:r>
          <w:r>
            <w:rPr>
              <w:sz w:val="28"/>
              <w:szCs w:val="36"/>
              <w:highlight w:val="none"/>
            </w:rPr>
            <w:instrText xml:space="preserve"> PAGEREF _Toc20976 \h </w:instrText>
          </w:r>
          <w:r>
            <w:rPr>
              <w:sz w:val="28"/>
              <w:szCs w:val="36"/>
              <w:highlight w:val="none"/>
            </w:rPr>
            <w:fldChar w:fldCharType="separate"/>
          </w:r>
          <w:r>
            <w:rPr>
              <w:sz w:val="28"/>
              <w:szCs w:val="36"/>
              <w:highlight w:val="none"/>
            </w:rPr>
            <w:t>4</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_Toc16593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（三）地类变更管理要求</w:t>
          </w:r>
          <w:r>
            <w:rPr>
              <w:sz w:val="28"/>
              <w:szCs w:val="36"/>
              <w:highlight w:val="none"/>
            </w:rPr>
            <w:tab/>
          </w:r>
          <w:r>
            <w:rPr>
              <w:sz w:val="28"/>
              <w:szCs w:val="36"/>
              <w:highlight w:val="none"/>
            </w:rPr>
            <w:fldChar w:fldCharType="begin"/>
          </w:r>
          <w:r>
            <w:rPr>
              <w:sz w:val="28"/>
              <w:szCs w:val="36"/>
              <w:highlight w:val="none"/>
            </w:rPr>
            <w:instrText xml:space="preserve"> PAGEREF _Toc16593 \h </w:instrText>
          </w:r>
          <w:r>
            <w:rPr>
              <w:sz w:val="28"/>
              <w:szCs w:val="36"/>
              <w:highlight w:val="none"/>
            </w:rPr>
            <w:fldChar w:fldCharType="separate"/>
          </w:r>
          <w:r>
            <w:rPr>
              <w:sz w:val="28"/>
              <w:szCs w:val="36"/>
              <w:highlight w:val="none"/>
            </w:rPr>
            <w:t>5</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_Toc19766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（四）信息数据管理要求</w:t>
          </w:r>
          <w:r>
            <w:rPr>
              <w:sz w:val="28"/>
              <w:szCs w:val="36"/>
              <w:highlight w:val="none"/>
            </w:rPr>
            <w:tab/>
          </w:r>
          <w:r>
            <w:rPr>
              <w:sz w:val="28"/>
              <w:szCs w:val="36"/>
              <w:highlight w:val="none"/>
            </w:rPr>
            <w:fldChar w:fldCharType="begin"/>
          </w:r>
          <w:r>
            <w:rPr>
              <w:sz w:val="28"/>
              <w:szCs w:val="36"/>
              <w:highlight w:val="none"/>
            </w:rPr>
            <w:instrText xml:space="preserve"> PAGEREF _Toc19766 \h </w:instrText>
          </w:r>
          <w:r>
            <w:rPr>
              <w:sz w:val="28"/>
              <w:szCs w:val="36"/>
              <w:highlight w:val="none"/>
            </w:rPr>
            <w:fldChar w:fldCharType="separate"/>
          </w:r>
          <w:r>
            <w:rPr>
              <w:sz w:val="28"/>
              <w:szCs w:val="36"/>
              <w:highlight w:val="none"/>
            </w:rPr>
            <w:t>5</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_Toc13598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（五）设施农用地管理要求</w:t>
          </w:r>
          <w:r>
            <w:rPr>
              <w:sz w:val="28"/>
              <w:szCs w:val="36"/>
              <w:highlight w:val="none"/>
            </w:rPr>
            <w:tab/>
          </w:r>
          <w:r>
            <w:rPr>
              <w:sz w:val="28"/>
              <w:szCs w:val="36"/>
              <w:highlight w:val="none"/>
            </w:rPr>
            <w:fldChar w:fldCharType="begin"/>
          </w:r>
          <w:r>
            <w:rPr>
              <w:sz w:val="28"/>
              <w:szCs w:val="36"/>
              <w:highlight w:val="none"/>
            </w:rPr>
            <w:instrText xml:space="preserve"> PAGEREF _Toc13598 \h </w:instrText>
          </w:r>
          <w:r>
            <w:rPr>
              <w:sz w:val="28"/>
              <w:szCs w:val="36"/>
              <w:highlight w:val="none"/>
            </w:rPr>
            <w:fldChar w:fldCharType="separate"/>
          </w:r>
          <w:r>
            <w:rPr>
              <w:sz w:val="28"/>
              <w:szCs w:val="36"/>
              <w:highlight w:val="none"/>
            </w:rPr>
            <w:t>6</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_Toc19855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（六）验收与评价要求</w:t>
          </w:r>
          <w:r>
            <w:rPr>
              <w:sz w:val="28"/>
              <w:szCs w:val="36"/>
              <w:highlight w:val="none"/>
            </w:rPr>
            <w:tab/>
          </w:r>
          <w:r>
            <w:rPr>
              <w:sz w:val="28"/>
              <w:szCs w:val="36"/>
              <w:highlight w:val="none"/>
            </w:rPr>
            <w:fldChar w:fldCharType="begin"/>
          </w:r>
          <w:r>
            <w:rPr>
              <w:sz w:val="28"/>
              <w:szCs w:val="36"/>
              <w:highlight w:val="none"/>
            </w:rPr>
            <w:instrText xml:space="preserve"> PAGEREF _Toc19855 \h </w:instrText>
          </w:r>
          <w:r>
            <w:rPr>
              <w:sz w:val="28"/>
              <w:szCs w:val="36"/>
              <w:highlight w:val="none"/>
            </w:rPr>
            <w:fldChar w:fldCharType="separate"/>
          </w:r>
          <w:r>
            <w:rPr>
              <w:sz w:val="28"/>
              <w:szCs w:val="36"/>
              <w:highlight w:val="none"/>
            </w:rPr>
            <w:t>6</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_Toc28014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（七）档案管理要求</w:t>
          </w:r>
          <w:r>
            <w:rPr>
              <w:sz w:val="28"/>
              <w:szCs w:val="36"/>
              <w:highlight w:val="none"/>
            </w:rPr>
            <w:tab/>
          </w:r>
          <w:r>
            <w:rPr>
              <w:sz w:val="28"/>
              <w:szCs w:val="36"/>
              <w:highlight w:val="none"/>
            </w:rPr>
            <w:fldChar w:fldCharType="begin"/>
          </w:r>
          <w:r>
            <w:rPr>
              <w:sz w:val="28"/>
              <w:szCs w:val="36"/>
              <w:highlight w:val="none"/>
            </w:rPr>
            <w:instrText xml:space="preserve"> PAGEREF _Toc28014 \h </w:instrText>
          </w:r>
          <w:r>
            <w:rPr>
              <w:sz w:val="28"/>
              <w:szCs w:val="36"/>
              <w:highlight w:val="none"/>
            </w:rPr>
            <w:fldChar w:fldCharType="separate"/>
          </w:r>
          <w:r>
            <w:rPr>
              <w:sz w:val="28"/>
              <w:szCs w:val="36"/>
              <w:highlight w:val="none"/>
            </w:rPr>
            <w:t>7</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_Toc1328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（八）移交管理要求</w:t>
          </w:r>
          <w:r>
            <w:rPr>
              <w:sz w:val="28"/>
              <w:szCs w:val="36"/>
              <w:highlight w:val="none"/>
            </w:rPr>
            <w:tab/>
          </w:r>
          <w:r>
            <w:rPr>
              <w:sz w:val="28"/>
              <w:szCs w:val="36"/>
              <w:highlight w:val="none"/>
            </w:rPr>
            <w:fldChar w:fldCharType="begin"/>
          </w:r>
          <w:r>
            <w:rPr>
              <w:sz w:val="28"/>
              <w:szCs w:val="36"/>
              <w:highlight w:val="none"/>
            </w:rPr>
            <w:instrText xml:space="preserve"> PAGEREF _Toc1328 \h </w:instrText>
          </w:r>
          <w:r>
            <w:rPr>
              <w:sz w:val="28"/>
              <w:szCs w:val="36"/>
              <w:highlight w:val="none"/>
            </w:rPr>
            <w:fldChar w:fldCharType="separate"/>
          </w:r>
          <w:r>
            <w:rPr>
              <w:sz w:val="28"/>
              <w:szCs w:val="36"/>
              <w:highlight w:val="none"/>
            </w:rPr>
            <w:t>8</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_Toc32506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（九）土地租赁管理要求</w:t>
          </w:r>
          <w:r>
            <w:rPr>
              <w:sz w:val="28"/>
              <w:szCs w:val="36"/>
              <w:highlight w:val="none"/>
            </w:rPr>
            <w:tab/>
          </w:r>
          <w:r>
            <w:rPr>
              <w:sz w:val="28"/>
              <w:szCs w:val="36"/>
              <w:highlight w:val="none"/>
            </w:rPr>
            <w:fldChar w:fldCharType="begin"/>
          </w:r>
          <w:r>
            <w:rPr>
              <w:sz w:val="28"/>
              <w:szCs w:val="36"/>
              <w:highlight w:val="none"/>
            </w:rPr>
            <w:instrText xml:space="preserve"> PAGEREF _Toc32506 \h </w:instrText>
          </w:r>
          <w:r>
            <w:rPr>
              <w:sz w:val="28"/>
              <w:szCs w:val="36"/>
              <w:highlight w:val="none"/>
            </w:rPr>
            <w:fldChar w:fldCharType="separate"/>
          </w:r>
          <w:r>
            <w:rPr>
              <w:sz w:val="28"/>
              <w:szCs w:val="36"/>
              <w:highlight w:val="none"/>
            </w:rPr>
            <w:t>9</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_Toc6364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（十）农业科技配套与应用要求</w:t>
          </w:r>
          <w:r>
            <w:rPr>
              <w:sz w:val="28"/>
              <w:szCs w:val="36"/>
              <w:highlight w:val="none"/>
            </w:rPr>
            <w:tab/>
          </w:r>
          <w:r>
            <w:rPr>
              <w:sz w:val="28"/>
              <w:szCs w:val="36"/>
              <w:highlight w:val="none"/>
            </w:rPr>
            <w:fldChar w:fldCharType="begin"/>
          </w:r>
          <w:r>
            <w:rPr>
              <w:sz w:val="28"/>
              <w:szCs w:val="36"/>
              <w:highlight w:val="none"/>
            </w:rPr>
            <w:instrText xml:space="preserve"> PAGEREF _Toc6364 \h </w:instrText>
          </w:r>
          <w:r>
            <w:rPr>
              <w:sz w:val="28"/>
              <w:szCs w:val="36"/>
              <w:highlight w:val="none"/>
            </w:rPr>
            <w:fldChar w:fldCharType="separate"/>
          </w:r>
          <w:r>
            <w:rPr>
              <w:sz w:val="28"/>
              <w:szCs w:val="36"/>
              <w:highlight w:val="none"/>
            </w:rPr>
            <w:t>9</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_Toc5669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lang w:val="en-US" w:eastAsia="zh-CN"/>
            </w:rPr>
            <w:t>四、耕地质量管理指引</w:t>
          </w:r>
          <w:r>
            <w:rPr>
              <w:sz w:val="28"/>
              <w:szCs w:val="36"/>
              <w:highlight w:val="none"/>
            </w:rPr>
            <w:tab/>
          </w:r>
          <w:r>
            <w:rPr>
              <w:sz w:val="28"/>
              <w:szCs w:val="36"/>
              <w:highlight w:val="none"/>
            </w:rPr>
            <w:fldChar w:fldCharType="begin"/>
          </w:r>
          <w:r>
            <w:rPr>
              <w:sz w:val="28"/>
              <w:szCs w:val="36"/>
              <w:highlight w:val="none"/>
            </w:rPr>
            <w:instrText xml:space="preserve"> PAGEREF _Toc5669 \h </w:instrText>
          </w:r>
          <w:r>
            <w:rPr>
              <w:sz w:val="28"/>
              <w:szCs w:val="36"/>
              <w:highlight w:val="none"/>
            </w:rPr>
            <w:fldChar w:fldCharType="separate"/>
          </w:r>
          <w:r>
            <w:rPr>
              <w:sz w:val="28"/>
              <w:szCs w:val="36"/>
              <w:highlight w:val="none"/>
            </w:rPr>
            <w:t>10</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_Toc23407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（一）耕地地力管理要求</w:t>
          </w:r>
          <w:r>
            <w:rPr>
              <w:sz w:val="28"/>
              <w:szCs w:val="36"/>
              <w:highlight w:val="none"/>
            </w:rPr>
            <w:tab/>
          </w:r>
          <w:r>
            <w:rPr>
              <w:sz w:val="28"/>
              <w:szCs w:val="36"/>
              <w:highlight w:val="none"/>
            </w:rPr>
            <w:fldChar w:fldCharType="begin"/>
          </w:r>
          <w:r>
            <w:rPr>
              <w:sz w:val="28"/>
              <w:szCs w:val="36"/>
              <w:highlight w:val="none"/>
            </w:rPr>
            <w:instrText xml:space="preserve"> PAGEREF _Toc23407 \h </w:instrText>
          </w:r>
          <w:r>
            <w:rPr>
              <w:sz w:val="28"/>
              <w:szCs w:val="36"/>
              <w:highlight w:val="none"/>
            </w:rPr>
            <w:fldChar w:fldCharType="separate"/>
          </w:r>
          <w:r>
            <w:rPr>
              <w:sz w:val="28"/>
              <w:szCs w:val="36"/>
              <w:highlight w:val="none"/>
            </w:rPr>
            <w:t>10</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_Toc14933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（二）土壤健康管理要求</w:t>
          </w:r>
          <w:r>
            <w:rPr>
              <w:sz w:val="28"/>
              <w:szCs w:val="36"/>
              <w:highlight w:val="none"/>
            </w:rPr>
            <w:tab/>
          </w:r>
          <w:r>
            <w:rPr>
              <w:sz w:val="28"/>
              <w:szCs w:val="36"/>
              <w:highlight w:val="none"/>
            </w:rPr>
            <w:fldChar w:fldCharType="begin"/>
          </w:r>
          <w:r>
            <w:rPr>
              <w:sz w:val="28"/>
              <w:szCs w:val="36"/>
              <w:highlight w:val="none"/>
            </w:rPr>
            <w:instrText xml:space="preserve"> PAGEREF _Toc14933 \h </w:instrText>
          </w:r>
          <w:r>
            <w:rPr>
              <w:sz w:val="28"/>
              <w:szCs w:val="36"/>
              <w:highlight w:val="none"/>
            </w:rPr>
            <w:fldChar w:fldCharType="separate"/>
          </w:r>
          <w:r>
            <w:rPr>
              <w:sz w:val="28"/>
              <w:szCs w:val="36"/>
              <w:highlight w:val="none"/>
            </w:rPr>
            <w:t>11</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_Toc7878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lang w:val="en-US" w:eastAsia="zh-CN"/>
            </w:rPr>
            <w:t>五、农业生产管理指引</w:t>
          </w:r>
          <w:r>
            <w:rPr>
              <w:sz w:val="28"/>
              <w:szCs w:val="36"/>
              <w:highlight w:val="none"/>
            </w:rPr>
            <w:tab/>
          </w:r>
          <w:r>
            <w:rPr>
              <w:sz w:val="28"/>
              <w:szCs w:val="36"/>
              <w:highlight w:val="none"/>
            </w:rPr>
            <w:fldChar w:fldCharType="begin"/>
          </w:r>
          <w:r>
            <w:rPr>
              <w:sz w:val="28"/>
              <w:szCs w:val="36"/>
              <w:highlight w:val="none"/>
            </w:rPr>
            <w:instrText xml:space="preserve"> PAGEREF _Toc7878 \h </w:instrText>
          </w:r>
          <w:r>
            <w:rPr>
              <w:sz w:val="28"/>
              <w:szCs w:val="36"/>
              <w:highlight w:val="none"/>
            </w:rPr>
            <w:fldChar w:fldCharType="separate"/>
          </w:r>
          <w:r>
            <w:rPr>
              <w:sz w:val="28"/>
              <w:szCs w:val="36"/>
              <w:highlight w:val="none"/>
            </w:rPr>
            <w:t>14</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_Toc1468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（一）种植管护要求</w:t>
          </w:r>
          <w:r>
            <w:rPr>
              <w:sz w:val="28"/>
              <w:szCs w:val="36"/>
              <w:highlight w:val="none"/>
            </w:rPr>
            <w:tab/>
          </w:r>
          <w:r>
            <w:rPr>
              <w:sz w:val="28"/>
              <w:szCs w:val="36"/>
              <w:highlight w:val="none"/>
            </w:rPr>
            <w:fldChar w:fldCharType="begin"/>
          </w:r>
          <w:r>
            <w:rPr>
              <w:sz w:val="28"/>
              <w:szCs w:val="36"/>
              <w:highlight w:val="none"/>
            </w:rPr>
            <w:instrText xml:space="preserve"> PAGEREF _Toc1468 \h </w:instrText>
          </w:r>
          <w:r>
            <w:rPr>
              <w:sz w:val="28"/>
              <w:szCs w:val="36"/>
              <w:highlight w:val="none"/>
            </w:rPr>
            <w:fldChar w:fldCharType="separate"/>
          </w:r>
          <w:r>
            <w:rPr>
              <w:sz w:val="28"/>
              <w:szCs w:val="36"/>
              <w:highlight w:val="none"/>
            </w:rPr>
            <w:t>14</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_Toc3309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（二）病虫害防治要求</w:t>
          </w:r>
          <w:r>
            <w:rPr>
              <w:sz w:val="28"/>
              <w:szCs w:val="36"/>
              <w:highlight w:val="none"/>
            </w:rPr>
            <w:tab/>
          </w:r>
          <w:r>
            <w:rPr>
              <w:sz w:val="28"/>
              <w:szCs w:val="36"/>
              <w:highlight w:val="none"/>
            </w:rPr>
            <w:fldChar w:fldCharType="begin"/>
          </w:r>
          <w:r>
            <w:rPr>
              <w:sz w:val="28"/>
              <w:szCs w:val="36"/>
              <w:highlight w:val="none"/>
            </w:rPr>
            <w:instrText xml:space="preserve"> PAGEREF _Toc3309 \h </w:instrText>
          </w:r>
          <w:r>
            <w:rPr>
              <w:sz w:val="28"/>
              <w:szCs w:val="36"/>
              <w:highlight w:val="none"/>
            </w:rPr>
            <w:fldChar w:fldCharType="separate"/>
          </w:r>
          <w:r>
            <w:rPr>
              <w:sz w:val="28"/>
              <w:szCs w:val="36"/>
              <w:highlight w:val="none"/>
            </w:rPr>
            <w:t>16</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_Toc6222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（三）自然灾害应急</w:t>
          </w:r>
          <w:r>
            <w:rPr>
              <w:sz w:val="28"/>
              <w:szCs w:val="36"/>
              <w:highlight w:val="none"/>
            </w:rPr>
            <w:tab/>
          </w:r>
          <w:r>
            <w:rPr>
              <w:sz w:val="28"/>
              <w:szCs w:val="36"/>
              <w:highlight w:val="none"/>
            </w:rPr>
            <w:fldChar w:fldCharType="begin"/>
          </w:r>
          <w:r>
            <w:rPr>
              <w:sz w:val="28"/>
              <w:szCs w:val="36"/>
              <w:highlight w:val="none"/>
            </w:rPr>
            <w:instrText xml:space="preserve"> PAGEREF _Toc6222 \h </w:instrText>
          </w:r>
          <w:r>
            <w:rPr>
              <w:sz w:val="28"/>
              <w:szCs w:val="36"/>
              <w:highlight w:val="none"/>
            </w:rPr>
            <w:fldChar w:fldCharType="separate"/>
          </w:r>
          <w:r>
            <w:rPr>
              <w:sz w:val="28"/>
              <w:szCs w:val="36"/>
              <w:highlight w:val="none"/>
            </w:rPr>
            <w:t>18</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_Toc21436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lang w:val="en-US" w:eastAsia="zh-CN"/>
            </w:rPr>
            <w:t>六、设施维护管理指引</w:t>
          </w:r>
          <w:r>
            <w:rPr>
              <w:sz w:val="28"/>
              <w:szCs w:val="36"/>
              <w:highlight w:val="none"/>
            </w:rPr>
            <w:tab/>
          </w:r>
          <w:r>
            <w:rPr>
              <w:sz w:val="28"/>
              <w:szCs w:val="36"/>
              <w:highlight w:val="none"/>
            </w:rPr>
            <w:fldChar w:fldCharType="begin"/>
          </w:r>
          <w:r>
            <w:rPr>
              <w:sz w:val="28"/>
              <w:szCs w:val="36"/>
              <w:highlight w:val="none"/>
            </w:rPr>
            <w:instrText xml:space="preserve"> PAGEREF _Toc21436 \h </w:instrText>
          </w:r>
          <w:r>
            <w:rPr>
              <w:sz w:val="28"/>
              <w:szCs w:val="36"/>
              <w:highlight w:val="none"/>
            </w:rPr>
            <w:fldChar w:fldCharType="separate"/>
          </w:r>
          <w:r>
            <w:rPr>
              <w:sz w:val="28"/>
              <w:szCs w:val="36"/>
              <w:highlight w:val="none"/>
            </w:rPr>
            <w:t>19</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_Toc1905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（一）管护职责要求</w:t>
          </w:r>
          <w:r>
            <w:rPr>
              <w:sz w:val="28"/>
              <w:szCs w:val="36"/>
              <w:highlight w:val="none"/>
            </w:rPr>
            <w:tab/>
          </w:r>
          <w:r>
            <w:rPr>
              <w:sz w:val="28"/>
              <w:szCs w:val="36"/>
              <w:highlight w:val="none"/>
            </w:rPr>
            <w:fldChar w:fldCharType="begin"/>
          </w:r>
          <w:r>
            <w:rPr>
              <w:sz w:val="28"/>
              <w:szCs w:val="36"/>
              <w:highlight w:val="none"/>
            </w:rPr>
            <w:instrText xml:space="preserve"> PAGEREF _Toc1905 \h </w:instrText>
          </w:r>
          <w:r>
            <w:rPr>
              <w:sz w:val="28"/>
              <w:szCs w:val="36"/>
              <w:highlight w:val="none"/>
            </w:rPr>
            <w:fldChar w:fldCharType="separate"/>
          </w:r>
          <w:r>
            <w:rPr>
              <w:sz w:val="28"/>
              <w:szCs w:val="36"/>
              <w:highlight w:val="none"/>
            </w:rPr>
            <w:t>19</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_Toc32323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（二）管护范围要求</w:t>
          </w:r>
          <w:r>
            <w:rPr>
              <w:sz w:val="28"/>
              <w:szCs w:val="36"/>
              <w:highlight w:val="none"/>
            </w:rPr>
            <w:tab/>
          </w:r>
          <w:r>
            <w:rPr>
              <w:sz w:val="28"/>
              <w:szCs w:val="36"/>
              <w:highlight w:val="none"/>
            </w:rPr>
            <w:fldChar w:fldCharType="begin"/>
          </w:r>
          <w:r>
            <w:rPr>
              <w:sz w:val="28"/>
              <w:szCs w:val="36"/>
              <w:highlight w:val="none"/>
            </w:rPr>
            <w:instrText xml:space="preserve"> PAGEREF _Toc32323 \h </w:instrText>
          </w:r>
          <w:r>
            <w:rPr>
              <w:sz w:val="28"/>
              <w:szCs w:val="36"/>
              <w:highlight w:val="none"/>
            </w:rPr>
            <w:fldChar w:fldCharType="separate"/>
          </w:r>
          <w:r>
            <w:rPr>
              <w:sz w:val="28"/>
              <w:szCs w:val="36"/>
              <w:highlight w:val="none"/>
            </w:rPr>
            <w:t>20</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_Toc22574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（三）管护方式要求</w:t>
          </w:r>
          <w:r>
            <w:rPr>
              <w:sz w:val="28"/>
              <w:szCs w:val="36"/>
              <w:highlight w:val="none"/>
            </w:rPr>
            <w:tab/>
          </w:r>
          <w:r>
            <w:rPr>
              <w:sz w:val="28"/>
              <w:szCs w:val="36"/>
              <w:highlight w:val="none"/>
            </w:rPr>
            <w:fldChar w:fldCharType="begin"/>
          </w:r>
          <w:r>
            <w:rPr>
              <w:sz w:val="28"/>
              <w:szCs w:val="36"/>
              <w:highlight w:val="none"/>
            </w:rPr>
            <w:instrText xml:space="preserve"> PAGEREF _Toc22574 \h </w:instrText>
          </w:r>
          <w:r>
            <w:rPr>
              <w:sz w:val="28"/>
              <w:szCs w:val="36"/>
              <w:highlight w:val="none"/>
            </w:rPr>
            <w:fldChar w:fldCharType="separate"/>
          </w:r>
          <w:r>
            <w:rPr>
              <w:sz w:val="28"/>
              <w:szCs w:val="36"/>
              <w:highlight w:val="none"/>
            </w:rPr>
            <w:t>20</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_Toc29368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（四）保障措施</w:t>
          </w:r>
          <w:r>
            <w:rPr>
              <w:sz w:val="28"/>
              <w:szCs w:val="36"/>
              <w:highlight w:val="none"/>
            </w:rPr>
            <w:tab/>
          </w:r>
          <w:r>
            <w:rPr>
              <w:sz w:val="28"/>
              <w:szCs w:val="36"/>
              <w:highlight w:val="none"/>
            </w:rPr>
            <w:fldChar w:fldCharType="begin"/>
          </w:r>
          <w:r>
            <w:rPr>
              <w:sz w:val="28"/>
              <w:szCs w:val="36"/>
              <w:highlight w:val="none"/>
            </w:rPr>
            <w:instrText xml:space="preserve"> PAGEREF _Toc29368 \h </w:instrText>
          </w:r>
          <w:r>
            <w:rPr>
              <w:sz w:val="28"/>
              <w:szCs w:val="36"/>
              <w:highlight w:val="none"/>
            </w:rPr>
            <w:fldChar w:fldCharType="separate"/>
          </w:r>
          <w:r>
            <w:rPr>
              <w:sz w:val="28"/>
              <w:szCs w:val="36"/>
              <w:highlight w:val="none"/>
            </w:rPr>
            <w:t>21</w:t>
          </w:r>
          <w:r>
            <w:rPr>
              <w:sz w:val="28"/>
              <w:szCs w:val="36"/>
              <w:highlight w:val="none"/>
            </w:rPr>
            <w:fldChar w:fldCharType="end"/>
          </w:r>
          <w:r>
            <w:rPr>
              <w:rFonts w:hint="default"/>
              <w:sz w:val="28"/>
              <w:szCs w:val="72"/>
              <w:highlight w:val="none"/>
              <w:lang w:val="en-US" w:eastAsia="zh-CN"/>
            </w:rPr>
            <w:fldChar w:fldCharType="end"/>
          </w:r>
        </w:p>
        <w:p>
          <w:pPr>
            <w:pStyle w:val="9"/>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_Toc16363 </w:instrText>
          </w:r>
          <w:r>
            <w:rPr>
              <w:rFonts w:hint="default"/>
              <w:sz w:val="28"/>
              <w:szCs w:val="72"/>
              <w:highlight w:val="none"/>
              <w:lang w:val="en-US" w:eastAsia="zh-CN"/>
            </w:rPr>
            <w:fldChar w:fldCharType="separate"/>
          </w:r>
          <w:r>
            <w:rPr>
              <w:rFonts w:hint="eastAsia" w:ascii="黑体" w:hAnsi="黑体" w:eastAsia="黑体" w:cs="黑体"/>
              <w:sz w:val="28"/>
              <w:szCs w:val="44"/>
              <w:highlight w:val="none"/>
              <w:lang w:val="en-US" w:eastAsia="zh-CN"/>
            </w:rPr>
            <w:t>七、风险防控指引</w:t>
          </w:r>
          <w:r>
            <w:rPr>
              <w:sz w:val="28"/>
              <w:szCs w:val="36"/>
              <w:highlight w:val="none"/>
            </w:rPr>
            <w:tab/>
          </w:r>
          <w:r>
            <w:rPr>
              <w:sz w:val="28"/>
              <w:szCs w:val="36"/>
              <w:highlight w:val="none"/>
            </w:rPr>
            <w:fldChar w:fldCharType="begin"/>
          </w:r>
          <w:r>
            <w:rPr>
              <w:sz w:val="28"/>
              <w:szCs w:val="36"/>
              <w:highlight w:val="none"/>
            </w:rPr>
            <w:instrText xml:space="preserve"> PAGEREF _Toc16363 \h </w:instrText>
          </w:r>
          <w:r>
            <w:rPr>
              <w:sz w:val="28"/>
              <w:szCs w:val="36"/>
              <w:highlight w:val="none"/>
            </w:rPr>
            <w:fldChar w:fldCharType="separate"/>
          </w:r>
          <w:r>
            <w:rPr>
              <w:sz w:val="28"/>
              <w:szCs w:val="36"/>
              <w:highlight w:val="none"/>
            </w:rPr>
            <w:t>22</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_Toc202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（一）加强制度建设要求</w:t>
          </w:r>
          <w:r>
            <w:rPr>
              <w:sz w:val="28"/>
              <w:szCs w:val="36"/>
              <w:highlight w:val="none"/>
            </w:rPr>
            <w:tab/>
          </w:r>
          <w:r>
            <w:rPr>
              <w:sz w:val="28"/>
              <w:szCs w:val="36"/>
              <w:highlight w:val="none"/>
            </w:rPr>
            <w:fldChar w:fldCharType="begin"/>
          </w:r>
          <w:r>
            <w:rPr>
              <w:sz w:val="28"/>
              <w:szCs w:val="36"/>
              <w:highlight w:val="none"/>
            </w:rPr>
            <w:instrText xml:space="preserve"> PAGEREF _Toc202 \h </w:instrText>
          </w:r>
          <w:r>
            <w:rPr>
              <w:sz w:val="28"/>
              <w:szCs w:val="36"/>
              <w:highlight w:val="none"/>
            </w:rPr>
            <w:fldChar w:fldCharType="separate"/>
          </w:r>
          <w:r>
            <w:rPr>
              <w:sz w:val="28"/>
              <w:szCs w:val="36"/>
              <w:highlight w:val="none"/>
            </w:rPr>
            <w:t>22</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_Toc2040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（二）强化监督检查要求</w:t>
          </w:r>
          <w:r>
            <w:rPr>
              <w:sz w:val="28"/>
              <w:szCs w:val="36"/>
              <w:highlight w:val="none"/>
            </w:rPr>
            <w:tab/>
          </w:r>
          <w:r>
            <w:rPr>
              <w:sz w:val="28"/>
              <w:szCs w:val="36"/>
              <w:highlight w:val="none"/>
            </w:rPr>
            <w:fldChar w:fldCharType="begin"/>
          </w:r>
          <w:r>
            <w:rPr>
              <w:sz w:val="28"/>
              <w:szCs w:val="36"/>
              <w:highlight w:val="none"/>
            </w:rPr>
            <w:instrText xml:space="preserve"> PAGEREF _Toc2040 \h </w:instrText>
          </w:r>
          <w:r>
            <w:rPr>
              <w:sz w:val="28"/>
              <w:szCs w:val="36"/>
              <w:highlight w:val="none"/>
            </w:rPr>
            <w:fldChar w:fldCharType="separate"/>
          </w:r>
          <w:r>
            <w:rPr>
              <w:sz w:val="28"/>
              <w:szCs w:val="36"/>
              <w:highlight w:val="none"/>
            </w:rPr>
            <w:t>23</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_Toc2941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（三）加强资金监管要求</w:t>
          </w:r>
          <w:r>
            <w:rPr>
              <w:sz w:val="28"/>
              <w:szCs w:val="36"/>
              <w:highlight w:val="none"/>
            </w:rPr>
            <w:tab/>
          </w:r>
          <w:r>
            <w:rPr>
              <w:sz w:val="28"/>
              <w:szCs w:val="36"/>
              <w:highlight w:val="none"/>
            </w:rPr>
            <w:fldChar w:fldCharType="begin"/>
          </w:r>
          <w:r>
            <w:rPr>
              <w:sz w:val="28"/>
              <w:szCs w:val="36"/>
              <w:highlight w:val="none"/>
            </w:rPr>
            <w:instrText xml:space="preserve"> PAGEREF _Toc2941 \h </w:instrText>
          </w:r>
          <w:r>
            <w:rPr>
              <w:sz w:val="28"/>
              <w:szCs w:val="36"/>
              <w:highlight w:val="none"/>
            </w:rPr>
            <w:fldChar w:fldCharType="separate"/>
          </w:r>
          <w:r>
            <w:rPr>
              <w:sz w:val="28"/>
              <w:szCs w:val="36"/>
              <w:highlight w:val="none"/>
            </w:rPr>
            <w:t>23</w:t>
          </w:r>
          <w:r>
            <w:rPr>
              <w:sz w:val="28"/>
              <w:szCs w:val="36"/>
              <w:highlight w:val="none"/>
            </w:rPr>
            <w:fldChar w:fldCharType="end"/>
          </w:r>
          <w:r>
            <w:rPr>
              <w:rFonts w:hint="default"/>
              <w:sz w:val="28"/>
              <w:szCs w:val="72"/>
              <w:highlight w:val="none"/>
              <w:lang w:val="en-US" w:eastAsia="zh-CN"/>
            </w:rPr>
            <w:fldChar w:fldCharType="end"/>
          </w:r>
        </w:p>
        <w:p>
          <w:pPr>
            <w:pStyle w:val="11"/>
            <w:tabs>
              <w:tab w:val="right" w:leader="dot" w:pos="8306"/>
            </w:tabs>
            <w:rPr>
              <w:sz w:val="28"/>
              <w:szCs w:val="36"/>
              <w:highlight w:val="none"/>
            </w:rPr>
          </w:pPr>
          <w:r>
            <w:rPr>
              <w:rFonts w:hint="default"/>
              <w:sz w:val="28"/>
              <w:szCs w:val="72"/>
              <w:highlight w:val="none"/>
              <w:lang w:val="en-US" w:eastAsia="zh-CN"/>
            </w:rPr>
            <w:fldChar w:fldCharType="begin"/>
          </w:r>
          <w:r>
            <w:rPr>
              <w:rFonts w:hint="default"/>
              <w:sz w:val="28"/>
              <w:szCs w:val="72"/>
              <w:highlight w:val="none"/>
              <w:lang w:val="en-US" w:eastAsia="zh-CN"/>
            </w:rPr>
            <w:instrText xml:space="preserve"> HYPERLINK \l _Toc4721 </w:instrText>
          </w:r>
          <w:r>
            <w:rPr>
              <w:rFonts w:hint="default"/>
              <w:sz w:val="28"/>
              <w:szCs w:val="72"/>
              <w:highlight w:val="none"/>
              <w:lang w:val="en-US" w:eastAsia="zh-CN"/>
            </w:rPr>
            <w:fldChar w:fldCharType="separate"/>
          </w:r>
          <w:r>
            <w:rPr>
              <w:rFonts w:hint="eastAsia" w:ascii="华文楷体" w:hAnsi="华文楷体" w:eastAsia="华文楷体" w:cs="华文楷体"/>
              <w:sz w:val="28"/>
              <w:szCs w:val="36"/>
              <w:highlight w:val="none"/>
              <w:lang w:val="en-US" w:eastAsia="zh-CN"/>
            </w:rPr>
            <w:t>（四）强化措施落实要求</w:t>
          </w:r>
          <w:r>
            <w:rPr>
              <w:sz w:val="28"/>
              <w:szCs w:val="36"/>
              <w:highlight w:val="none"/>
            </w:rPr>
            <w:tab/>
          </w:r>
          <w:r>
            <w:rPr>
              <w:sz w:val="28"/>
              <w:szCs w:val="36"/>
              <w:highlight w:val="none"/>
            </w:rPr>
            <w:fldChar w:fldCharType="begin"/>
          </w:r>
          <w:r>
            <w:rPr>
              <w:sz w:val="28"/>
              <w:szCs w:val="36"/>
              <w:highlight w:val="none"/>
            </w:rPr>
            <w:instrText xml:space="preserve"> PAGEREF _Toc4721 \h </w:instrText>
          </w:r>
          <w:r>
            <w:rPr>
              <w:sz w:val="28"/>
              <w:szCs w:val="36"/>
              <w:highlight w:val="none"/>
            </w:rPr>
            <w:fldChar w:fldCharType="separate"/>
          </w:r>
          <w:r>
            <w:rPr>
              <w:sz w:val="28"/>
              <w:szCs w:val="36"/>
              <w:highlight w:val="none"/>
            </w:rPr>
            <w:t>24</w:t>
          </w:r>
          <w:r>
            <w:rPr>
              <w:sz w:val="28"/>
              <w:szCs w:val="36"/>
              <w:highlight w:val="none"/>
            </w:rPr>
            <w:fldChar w:fldCharType="end"/>
          </w:r>
          <w:r>
            <w:rPr>
              <w:rFonts w:hint="default"/>
              <w:sz w:val="28"/>
              <w:szCs w:val="72"/>
              <w:highlight w:val="none"/>
              <w:lang w:val="en-US" w:eastAsia="zh-CN"/>
            </w:rPr>
            <w:fldChar w:fldCharType="end"/>
          </w:r>
        </w:p>
        <w:p>
          <w:pPr>
            <w:jc w:val="center"/>
            <w:outlineLvl w:val="0"/>
            <w:rPr>
              <w:rFonts w:hint="default"/>
              <w:highlight w:val="none"/>
              <w:lang w:val="en-US" w:eastAsia="zh-CN"/>
            </w:rPr>
          </w:pPr>
          <w:r>
            <w:rPr>
              <w:rFonts w:hint="default"/>
              <w:b/>
              <w:sz w:val="40"/>
              <w:szCs w:val="48"/>
              <w:highlight w:val="none"/>
              <w:lang w:val="en-US" w:eastAsia="zh-CN"/>
            </w:rPr>
            <w:fldChar w:fldCharType="end"/>
          </w:r>
        </w:p>
      </w:sdtContent>
    </w:sdt>
    <w:p>
      <w:pPr>
        <w:jc w:val="center"/>
        <w:rPr>
          <w:rFonts w:hint="eastAsia" w:asciiTheme="majorEastAsia" w:hAnsiTheme="majorEastAsia" w:eastAsiaTheme="majorEastAsia" w:cstheme="majorEastAsia"/>
          <w:b/>
          <w:sz w:val="32"/>
          <w:szCs w:val="32"/>
          <w:highlight w:val="none"/>
          <w:lang w:val="en-US" w:eastAsia="zh-CN"/>
        </w:rPr>
        <w:sectPr>
          <w:footerReference r:id="rId3" w:type="default"/>
          <w:pgSz w:w="11906" w:h="16838"/>
          <w:pgMar w:top="1440" w:right="1800" w:bottom="1497"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469" w:afterLines="150"/>
        <w:jc w:val="center"/>
        <w:textAlignment w:val="auto"/>
        <w:outlineLvl w:val="0"/>
        <w:rPr>
          <w:rFonts w:hint="eastAsia" w:asciiTheme="majorEastAsia" w:hAnsiTheme="majorEastAsia" w:eastAsiaTheme="majorEastAsia" w:cstheme="majorEastAsia"/>
          <w:b/>
          <w:sz w:val="44"/>
          <w:szCs w:val="44"/>
          <w:highlight w:val="none"/>
          <w:lang w:val="en-US" w:eastAsia="zh-CN"/>
        </w:rPr>
      </w:pPr>
      <w:bookmarkStart w:id="4" w:name="_Toc9984"/>
      <w:bookmarkStart w:id="5" w:name="_Toc331"/>
      <w:bookmarkStart w:id="6" w:name="_Toc19034"/>
      <w:r>
        <w:rPr>
          <w:rFonts w:hint="eastAsia" w:asciiTheme="majorEastAsia" w:hAnsiTheme="majorEastAsia" w:eastAsiaTheme="majorEastAsia" w:cstheme="majorEastAsia"/>
          <w:b/>
          <w:sz w:val="44"/>
          <w:szCs w:val="44"/>
          <w:highlight w:val="none"/>
          <w:lang w:val="en-US" w:eastAsia="zh-CN"/>
        </w:rPr>
        <w:t>光明区高标准都市农田管理指引</w:t>
      </w:r>
      <w:bookmarkEnd w:id="4"/>
      <w:bookmarkEnd w:id="5"/>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标准农田是指田块平整、集中连片、设施完善、节水高效、农电配套、宜机作业、土壤肥沃、生态友好、抗灾能力强，与现代农业生产和经营方式相适应的旱涝保收、稳产高产的耕地。近年来，党中央、国务院对高标准农田建设作出了一系列新部署新要求。习近平总书记对高标准农田建设多次作出重要指示，反复强调要坚定不移抓好高标准农田建设。</w:t>
      </w:r>
    </w:p>
    <w:p>
      <w:pPr>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光明区拥有全市最大的永久基本农田集中区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高质量完成国家、省下达</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深圳市高标准农田建设任务，通过持续改造提升，进一步提高高标准农田建设质量，不断夯实粮食安全保障基础的具体要求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光明区特结合实际制定《光明区高标准都市农田管理指引》。该指引作为</w:t>
      </w:r>
      <w:r>
        <w:rPr>
          <w:rFonts w:hint="eastAsia" w:ascii="仿宋_GB2312" w:hAnsi="仿宋_GB2312" w:eastAsia="仿宋_GB2312" w:cs="仿宋_GB2312"/>
          <w:sz w:val="32"/>
          <w:szCs w:val="32"/>
          <w:highlight w:val="none"/>
        </w:rPr>
        <w:t>切合实际、操作性强的规范性文件</w:t>
      </w:r>
      <w:r>
        <w:rPr>
          <w:rFonts w:hint="eastAsia" w:ascii="仿宋_GB2312" w:hAnsi="仿宋_GB2312" w:eastAsia="仿宋_GB2312" w:cs="仿宋_GB2312"/>
          <w:sz w:val="32"/>
          <w:szCs w:val="32"/>
          <w:highlight w:val="none"/>
          <w:lang w:val="en-US" w:eastAsia="zh-CN"/>
        </w:rPr>
        <w:t>可使</w:t>
      </w:r>
      <w:r>
        <w:rPr>
          <w:rFonts w:hint="eastAsia" w:ascii="仿宋_GB2312" w:hAnsi="仿宋_GB2312" w:eastAsia="仿宋_GB2312" w:cs="仿宋_GB2312"/>
          <w:sz w:val="32"/>
          <w:szCs w:val="32"/>
          <w:highlight w:val="none"/>
        </w:rPr>
        <w:t>辖区</w:t>
      </w:r>
      <w:r>
        <w:rPr>
          <w:rFonts w:hint="eastAsia" w:ascii="仿宋_GB2312" w:hAnsi="仿宋_GB2312" w:eastAsia="仿宋_GB2312" w:cs="仿宋_GB2312"/>
          <w:sz w:val="32"/>
          <w:szCs w:val="32"/>
          <w:highlight w:val="none"/>
          <w:lang w:val="en-US" w:eastAsia="zh-CN"/>
        </w:rPr>
        <w:t>内</w:t>
      </w:r>
      <w:r>
        <w:rPr>
          <w:rFonts w:hint="eastAsia" w:ascii="仿宋_GB2312" w:hAnsi="仿宋_GB2312" w:eastAsia="仿宋_GB2312" w:cs="仿宋_GB2312"/>
          <w:sz w:val="32"/>
          <w:szCs w:val="32"/>
          <w:highlight w:val="none"/>
          <w:lang w:eastAsia="zh-CN"/>
        </w:rPr>
        <w:t>高标准都市农田</w:t>
      </w:r>
      <w:r>
        <w:rPr>
          <w:rFonts w:hint="eastAsia" w:ascii="仿宋_GB2312" w:hAnsi="仿宋_GB2312" w:eastAsia="仿宋_GB2312" w:cs="仿宋_GB2312"/>
          <w:sz w:val="32"/>
          <w:szCs w:val="32"/>
          <w:highlight w:val="none"/>
        </w:rPr>
        <w:t>管理有标准可循、有标准可参考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有助于指导和规范各部门、项目管理人员及时准确地掌握相关要求，提升科学管理水平有序推进农田建设管理工作。</w:t>
      </w:r>
    </w:p>
    <w:p>
      <w:pPr>
        <w:pStyle w:val="3"/>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sz w:val="32"/>
          <w:szCs w:val="32"/>
          <w:highlight w:val="none"/>
        </w:rPr>
      </w:pPr>
      <w:bookmarkStart w:id="7" w:name="_Toc7296"/>
      <w:r>
        <w:rPr>
          <w:rFonts w:hint="eastAsia" w:ascii="黑体" w:hAnsi="黑体" w:eastAsia="黑体" w:cs="黑体"/>
          <w:sz w:val="32"/>
          <w:szCs w:val="32"/>
          <w:highlight w:val="none"/>
        </w:rPr>
        <w:t>一、概念</w:t>
      </w:r>
      <w:bookmarkEnd w:id="7"/>
    </w:p>
    <w:p>
      <w:pPr>
        <w:pStyle w:val="4"/>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华文楷体" w:hAnsi="华文楷体" w:eastAsia="华文楷体" w:cs="华文楷体"/>
          <w:highlight w:val="none"/>
          <w:lang w:val="en-US" w:eastAsia="zh-CN"/>
        </w:rPr>
      </w:pPr>
      <w:bookmarkStart w:id="8" w:name="_Toc14399"/>
      <w:bookmarkStart w:id="9" w:name="_Toc5013"/>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一</w:t>
      </w: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高标准都市农田</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地处都市及其延伸地带，紧密依托城市的科技、人才、资金、市场优势，服务城市、适应城市发展要求，纳入城市建设发展战略和发展规划建设的高标准农田。</w:t>
      </w:r>
    </w:p>
    <w:p>
      <w:pPr>
        <w:pStyle w:val="4"/>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华文楷体" w:hAnsi="华文楷体" w:eastAsia="华文楷体" w:cs="华文楷体"/>
          <w:highlight w:val="none"/>
          <w:lang w:val="en-US" w:eastAsia="zh-CN"/>
        </w:rPr>
      </w:pPr>
      <w:bookmarkStart w:id="10" w:name="_Toc4894"/>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二</w:t>
      </w: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病虫害防治</w:t>
      </w:r>
      <w:bookmarkEnd w:id="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指对危害农作物及其产品的病、虫、草、鼠等有害生物的监测与预报、预防与控制、应急处置等防治活动及其监督管理。</w:t>
      </w:r>
    </w:p>
    <w:p>
      <w:pPr>
        <w:pStyle w:val="4"/>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方正楷体_GB2312" w:hAnsi="方正楷体_GB2312" w:eastAsia="方正楷体_GB2312" w:cs="方正楷体_GB2312"/>
          <w:b/>
          <w:highlight w:val="none"/>
          <w:lang w:val="en-US" w:eastAsia="zh-CN"/>
        </w:rPr>
      </w:pPr>
      <w:bookmarkStart w:id="11" w:name="_Toc2590"/>
      <w:r>
        <w:rPr>
          <w:rFonts w:hint="eastAsia" w:ascii="华文楷体" w:hAnsi="华文楷体" w:eastAsia="华文楷体" w:cs="华文楷体"/>
          <w:b/>
          <w:highlight w:val="none"/>
          <w:lang w:val="en-US" w:eastAsia="zh-CN"/>
        </w:rPr>
        <w:t>（三）高标准都市农田建设项目建后管护</w:t>
      </w:r>
      <w:bookmarkEnd w:id="11"/>
      <w:r>
        <w:rPr>
          <w:rFonts w:hint="eastAsia" w:ascii="华文楷体" w:hAnsi="华文楷体" w:eastAsia="华文楷体" w:cs="华文楷体"/>
          <w:b/>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是指对已通过竣工验收高标准都市农田项目工程设施进行管理、维修和养护，确保按设计功能正常运行并长期发挥效益。</w:t>
      </w:r>
    </w:p>
    <w:p>
      <w:pPr>
        <w:pStyle w:val="3"/>
        <w:bidi w:val="0"/>
        <w:rPr>
          <w:rFonts w:hint="eastAsia" w:ascii="黑体" w:hAnsi="黑体" w:eastAsia="黑体" w:cs="黑体"/>
          <w:b/>
          <w:sz w:val="32"/>
          <w:szCs w:val="32"/>
          <w:highlight w:val="none"/>
        </w:rPr>
      </w:pPr>
      <w:bookmarkStart w:id="12" w:name="_Toc6262"/>
      <w:r>
        <w:rPr>
          <w:rFonts w:hint="eastAsia" w:ascii="黑体" w:hAnsi="黑体" w:eastAsia="黑体" w:cs="黑体"/>
          <w:b/>
          <w:sz w:val="32"/>
          <w:szCs w:val="32"/>
          <w:highlight w:val="none"/>
        </w:rPr>
        <w:t>二、参考文件</w:t>
      </w:r>
      <w:bookmarkEnd w:id="12"/>
    </w:p>
    <w:p>
      <w:pPr>
        <w:pStyle w:val="31"/>
        <w:spacing w:line="240" w:lineRule="auto"/>
        <w:ind w:firstLine="640"/>
        <w:outlineLvl w:val="1"/>
        <w:rPr>
          <w:rFonts w:hint="default" w:ascii="Times New Roman" w:hAnsi="Times New Roman" w:eastAsia="楷体_GB2312" w:cstheme="minorBidi"/>
          <w:bCs/>
          <w:highlight w:val="none"/>
          <w:shd w:val="clear" w:color="auto" w:fill="CCE8CF" w:themeFill="background1"/>
          <w:lang w:val="en-US" w:eastAsia="zh-CN"/>
        </w:rPr>
      </w:pPr>
      <w:bookmarkStart w:id="13" w:name="_Toc3708"/>
      <w:bookmarkStart w:id="14" w:name="_Toc13521"/>
      <w:r>
        <w:rPr>
          <w:rFonts w:hint="eastAsia" w:ascii="Times New Roman" w:hAnsi="Times New Roman" w:eastAsia="楷体_GB2312" w:cstheme="minorBidi"/>
          <w:bCs/>
          <w:highlight w:val="none"/>
          <w:shd w:val="clear" w:color="auto" w:fill="CCE8CF" w:themeFill="background1"/>
          <w:lang w:eastAsia="zh-CN"/>
        </w:rPr>
        <w:t>（</w:t>
      </w:r>
      <w:r>
        <w:rPr>
          <w:rFonts w:hint="eastAsia" w:ascii="Times New Roman" w:hAnsi="Times New Roman" w:eastAsia="楷体_GB2312" w:cstheme="minorBidi"/>
          <w:bCs/>
          <w:highlight w:val="none"/>
          <w:shd w:val="clear" w:color="auto" w:fill="CCE8CF" w:themeFill="background1"/>
          <w:lang w:val="en-US" w:eastAsia="zh-CN"/>
        </w:rPr>
        <w:t>一</w:t>
      </w:r>
      <w:r>
        <w:rPr>
          <w:rFonts w:hint="eastAsia" w:ascii="Times New Roman" w:hAnsi="Times New Roman" w:eastAsia="楷体_GB2312" w:cstheme="minorBidi"/>
          <w:bCs/>
          <w:highlight w:val="none"/>
          <w:shd w:val="clear" w:color="auto" w:fill="CCE8CF" w:themeFill="background1"/>
          <w:lang w:eastAsia="zh-CN"/>
        </w:rPr>
        <w:t>）</w:t>
      </w:r>
      <w:r>
        <w:rPr>
          <w:rFonts w:hint="eastAsia" w:ascii="Times New Roman" w:hAnsi="Times New Roman" w:eastAsia="楷体_GB2312" w:cstheme="minorBidi"/>
          <w:bCs/>
          <w:highlight w:val="none"/>
          <w:shd w:val="clear" w:color="auto" w:fill="CCE8CF" w:themeFill="background1"/>
          <w:lang w:val="en-US" w:eastAsia="zh-CN"/>
        </w:rPr>
        <w:t>标准</w:t>
      </w:r>
      <w:bookmarkEnd w:id="13"/>
      <w:bookmarkEnd w:id="14"/>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21010</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2017</w:t>
      </w:r>
      <w:r>
        <w:rPr>
          <w:rFonts w:hint="eastAsia" w:ascii="Times New Roman" w:hAnsi="Times New Roman" w:eastAsia="仿宋_GB2312" w:cs="仿宋_GB2312"/>
          <w:bCs/>
          <w:sz w:val="32"/>
          <w:szCs w:val="32"/>
          <w:highlight w:val="none"/>
        </w:rPr>
        <w:t xml:space="preserve">  土地利用现状分类</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30600</w:t>
      </w:r>
      <w:r>
        <w:rPr>
          <w:rFonts w:hint="eastAsia" w:ascii="Times New Roman" w:hAnsi="Times New Roman"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rPr>
        <w:t xml:space="preserve">2022 </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 xml:space="preserve">高标准农田建设 </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通则</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33130—2016  高标准农田建设评价规范</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33469</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2016</w:t>
      </w:r>
      <w:r>
        <w:rPr>
          <w:rFonts w:hint="eastAsia" w:ascii="Times New Roman" w:hAnsi="Times New Roman" w:eastAsia="仿宋_GB2312" w:cs="仿宋_GB2312"/>
          <w:bCs/>
          <w:sz w:val="32"/>
          <w:szCs w:val="32"/>
          <w:highlight w:val="none"/>
        </w:rPr>
        <w:t xml:space="preserve">  耕地质量等级</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DA/T 28</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2018</w:t>
      </w:r>
      <w:r>
        <w:rPr>
          <w:rFonts w:hint="eastAsia" w:ascii="Times New Roman" w:hAnsi="Times New Roman" w:eastAsia="仿宋_GB2312" w:cs="仿宋_GB2312"/>
          <w:bCs/>
          <w:sz w:val="32"/>
          <w:szCs w:val="32"/>
          <w:highlight w:val="none"/>
        </w:rPr>
        <w:t xml:space="preserve">  建设项目档案管理规范</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HJ/T 332—2006  食用农产品产地环境质量评价标</w:t>
      </w:r>
      <w:r>
        <w:rPr>
          <w:rFonts w:hint="eastAsia" w:ascii="Times New Roman" w:hAnsi="Times New Roman" w:eastAsia="仿宋_GB2312" w:cs="仿宋_GB2312"/>
          <w:bCs/>
          <w:sz w:val="32"/>
          <w:szCs w:val="32"/>
          <w:highlight w:val="none"/>
        </w:rPr>
        <w:t>准</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1119</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2019</w:t>
      </w:r>
      <w:r>
        <w:rPr>
          <w:rFonts w:hint="eastAsia" w:ascii="Times New Roman" w:hAnsi="Times New Roman" w:eastAsia="仿宋_GB2312" w:cs="仿宋_GB2312"/>
          <w:bCs/>
          <w:sz w:val="32"/>
          <w:szCs w:val="32"/>
          <w:highlight w:val="none"/>
        </w:rPr>
        <w:t xml:space="preserve">  耕地质量监测技术规程</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2148—2012  高标准农田建设标准</w:t>
      </w:r>
    </w:p>
    <w:p>
      <w:pPr>
        <w:numPr>
          <w:ilvl w:val="0"/>
          <w:numId w:val="2"/>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2949—2016  高标准农田建设技术规范</w:t>
      </w:r>
    </w:p>
    <w:p>
      <w:pPr>
        <w:pStyle w:val="31"/>
        <w:spacing w:line="240" w:lineRule="auto"/>
        <w:ind w:firstLine="640"/>
        <w:outlineLvl w:val="1"/>
        <w:rPr>
          <w:rFonts w:hint="default" w:ascii="Times New Roman" w:hAnsi="Times New Roman" w:eastAsia="楷体_GB2312" w:cstheme="minorBidi"/>
          <w:bCs/>
          <w:highlight w:val="none"/>
          <w:shd w:val="clear" w:color="auto" w:fill="CCE8CF" w:themeFill="background1"/>
          <w:lang w:val="en-US" w:eastAsia="zh-CN"/>
        </w:rPr>
      </w:pPr>
      <w:bookmarkStart w:id="15" w:name="_Toc5257"/>
      <w:bookmarkStart w:id="16" w:name="_Toc25928"/>
      <w:r>
        <w:rPr>
          <w:rFonts w:hint="eastAsia" w:ascii="Times New Roman" w:hAnsi="Times New Roman" w:eastAsia="楷体_GB2312" w:cstheme="minorBidi"/>
          <w:bCs/>
          <w:highlight w:val="none"/>
          <w:shd w:val="clear" w:color="auto" w:fill="CCE8CF" w:themeFill="background1"/>
          <w:lang w:val="en-US" w:eastAsia="zh-CN"/>
        </w:rPr>
        <w:t>（二）政策规定</w:t>
      </w:r>
      <w:bookmarkEnd w:id="15"/>
      <w:bookmarkEnd w:id="16"/>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《中共中央 国务院关于坚持农业农村优先发展做</w:t>
      </w:r>
      <w:r>
        <w:rPr>
          <w:rFonts w:hint="eastAsia" w:ascii="Times New Roman" w:hAnsi="Times New Roman" w:eastAsia="仿宋_GB2312" w:cs="仿宋_GB2312"/>
          <w:bCs/>
          <w:sz w:val="32"/>
          <w:szCs w:val="32"/>
          <w:highlight w:val="none"/>
        </w:rPr>
        <w:t>好“三农”工作的若干意见》（2019年1月3日）</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《关于切实加强高标准农田建设提升国家粮食安全保障能力的意见》（国办发〔2019〕50号）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国务院关于抓好“三农”领域重点工作 确保如期实现全面小康的意见》（2020年1月2日）</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国务院关于全面推进乡村振兴加快农业农村现代化的意见》（2021年1月4日）</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《高标准农田建设质量管理办法（试行）》（农建发〔2021〕1号）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《农作物病虫害专业化防治服务管理办法》（</w:t>
      </w:r>
      <w:r>
        <w:rPr>
          <w:rFonts w:hint="eastAsia" w:ascii="Times New Roman" w:hAnsi="Times New Roman" w:eastAsia="仿宋_GB2312" w:cs="仿宋_GB2312"/>
          <w:bCs/>
          <w:sz w:val="32"/>
          <w:szCs w:val="32"/>
          <w:highlight w:val="none"/>
        </w:rPr>
        <w:t>农业农村部公告 第417号</w:t>
      </w:r>
      <w:r>
        <w:rPr>
          <w:rFonts w:hint="eastAsia" w:ascii="Times New Roman" w:hAnsi="Times New Roman" w:eastAsia="仿宋_GB2312" w:cs="仿宋_GB2312"/>
          <w:bCs/>
          <w:sz w:val="32"/>
          <w:szCs w:val="32"/>
          <w:highlight w:val="none"/>
          <w:lang w:eastAsia="zh-CN"/>
        </w:rPr>
        <w:t>）</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《国务院关于全国高标准农田建设规划（2021—2030年）的批复》（国函〔2021〕86号）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国务院关于做好2022年全面推进乡村振兴重点工作的意见》（2022年1月4日）</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关于印发</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广东省高标准农田建设项目工作流程指引</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和</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广东省高标准农田建设项目工作时段分布指引</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（粤农农函〔2019〕379号）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广东省人民政府办公厅关于进一步加强高标准农田建设的通知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（粤办函〔2020〕63号）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bookmarkStart w:id="17" w:name="_Toc3763"/>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广东省耕地质量管理规定</w:t>
      </w:r>
      <w:bookmarkEnd w:id="17"/>
      <w:r>
        <w:rPr>
          <w:rFonts w:hint="eastAsia" w:ascii="Times New Roman" w:hAnsi="Times New Roman" w:eastAsia="仿宋_GB2312" w:cs="仿宋_GB2312"/>
          <w:bCs/>
          <w:sz w:val="32"/>
          <w:szCs w:val="32"/>
          <w:highlight w:val="none"/>
          <w:lang w:eastAsia="zh-CN"/>
        </w:rPr>
        <w:t>》（粤府令第273号）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bookmarkStart w:id="18" w:name="_Toc7376"/>
      <w:r>
        <w:rPr>
          <w:rFonts w:hint="eastAsia" w:ascii="Times New Roman" w:hAnsi="Times New Roman" w:eastAsia="仿宋_GB2312" w:cs="仿宋_GB2312"/>
          <w:bCs/>
          <w:sz w:val="32"/>
          <w:szCs w:val="32"/>
          <w:highlight w:val="none"/>
        </w:rPr>
        <w:t>《转发农业农村部办公厅关于加快构建高标准农田建设规划体系的通知》（粤农农办〔2021〕148号）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《广东省农田整治提升行动方案（2021-2025年）</w:t>
      </w:r>
      <w:bookmarkEnd w:id="18"/>
      <w:r>
        <w:rPr>
          <w:rFonts w:hint="eastAsia" w:ascii="Times New Roman" w:hAnsi="Times New Roman" w:eastAsia="仿宋_GB2312" w:cs="仿宋_GB2312"/>
          <w:bCs/>
          <w:sz w:val="32"/>
          <w:szCs w:val="32"/>
          <w:highlight w:val="none"/>
        </w:rPr>
        <w:t>》（粤农农〔2021〕151号）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关于印发</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广东省高标准农田建设规划（2021-2030年）</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（粤农农〔2022〕162号）</w:t>
      </w:r>
    </w:p>
    <w:p>
      <w:pPr>
        <w:numPr>
          <w:ilvl w:val="0"/>
          <w:numId w:val="3"/>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《市市场监管局关于加快构建我市高标准农田建设规划体系的函》（深市监函〔2021〕523号）</w:t>
      </w:r>
    </w:p>
    <w:p>
      <w:pPr>
        <w:pStyle w:val="3"/>
        <w:bidi w:val="0"/>
        <w:rPr>
          <w:rFonts w:hint="eastAsia" w:ascii="黑体" w:hAnsi="黑体" w:eastAsia="黑体" w:cs="黑体"/>
          <w:b/>
          <w:sz w:val="32"/>
          <w:szCs w:val="32"/>
          <w:highlight w:val="none"/>
          <w:lang w:val="en-US" w:eastAsia="zh-CN"/>
        </w:rPr>
      </w:pPr>
      <w:bookmarkStart w:id="19" w:name="_Toc28734"/>
      <w:r>
        <w:rPr>
          <w:rFonts w:hint="eastAsia" w:ascii="黑体" w:hAnsi="黑体" w:eastAsia="黑体" w:cs="黑体"/>
          <w:b/>
          <w:sz w:val="32"/>
          <w:szCs w:val="32"/>
          <w:highlight w:val="none"/>
          <w:lang w:val="en-US" w:eastAsia="zh-CN"/>
        </w:rPr>
        <w:t>三、项目管理指引</w:t>
      </w:r>
      <w:bookmarkEnd w:id="19"/>
    </w:p>
    <w:p>
      <w:pPr>
        <w:pStyle w:val="4"/>
        <w:bidi w:val="0"/>
        <w:ind w:firstLine="320" w:firstLineChars="100"/>
        <w:rPr>
          <w:rFonts w:hint="eastAsia" w:ascii="华文楷体" w:hAnsi="华文楷体" w:eastAsia="华文楷体" w:cs="华文楷体"/>
          <w:b/>
          <w:highlight w:val="none"/>
          <w:lang w:val="en-US" w:eastAsia="zh-CN"/>
        </w:rPr>
      </w:pPr>
      <w:bookmarkStart w:id="20" w:name="_Toc13174"/>
      <w:r>
        <w:rPr>
          <w:rFonts w:hint="eastAsia" w:ascii="华文楷体" w:hAnsi="华文楷体" w:eastAsia="华文楷体" w:cs="华文楷体"/>
          <w:b/>
          <w:highlight w:val="none"/>
          <w:lang w:val="en-US" w:eastAsia="zh-CN"/>
        </w:rPr>
        <w:t>（一）管理程序要求</w:t>
      </w:r>
      <w:bookmarkEnd w:id="20"/>
    </w:p>
    <w:p>
      <w:pPr>
        <w:pStyle w:val="5"/>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高标准都市农田建设项目遵循规划编制、前期准备、申报审批、计划管理、组织实施、竣工验收、监督评价等管理程序。</w:t>
      </w:r>
    </w:p>
    <w:p>
      <w:pPr>
        <w:pStyle w:val="4"/>
        <w:bidi w:val="0"/>
        <w:ind w:firstLine="320" w:firstLineChars="100"/>
        <w:rPr>
          <w:rFonts w:hint="eastAsia" w:ascii="华文楷体" w:hAnsi="华文楷体" w:eastAsia="华文楷体" w:cs="华文楷体"/>
          <w:b/>
          <w:highlight w:val="none"/>
          <w:lang w:val="en-US" w:eastAsia="zh-CN"/>
        </w:rPr>
      </w:pPr>
      <w:bookmarkStart w:id="21" w:name="_Toc20976"/>
      <w:r>
        <w:rPr>
          <w:rFonts w:hint="eastAsia" w:ascii="华文楷体" w:hAnsi="华文楷体" w:eastAsia="华文楷体" w:cs="华文楷体"/>
          <w:b/>
          <w:highlight w:val="none"/>
          <w:lang w:val="en-US" w:eastAsia="zh-CN"/>
        </w:rPr>
        <w:t>（二）土地权属管理要求</w:t>
      </w:r>
      <w:bookmarkEnd w:id="21"/>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高标准都市农田建设前，查清土地权属现状，做到四至界址清楚、地类面积准确、权属手续合法；调查了解土地权利人权属调整意愿，及时解决土地权属纠纷。</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高标准都市农田建设中，涉及土地权属调整的，在尊重权利人意愿的前提下，及时编制、公告和报批土地权属调整方案，组织签订权属调整协议。</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高标准都市农田建成后，根据权属调整方案和调整协议，依法进行土地确权，办理土地变更登记手续，发放土地权利证书，及时更新地籍档案资料。</w:t>
      </w:r>
    </w:p>
    <w:p>
      <w:pPr>
        <w:pStyle w:val="4"/>
        <w:bidi w:val="0"/>
        <w:ind w:firstLine="320" w:firstLineChars="100"/>
        <w:rPr>
          <w:rFonts w:hint="eastAsia" w:ascii="华文楷体" w:hAnsi="华文楷体" w:eastAsia="华文楷体" w:cs="华文楷体"/>
          <w:b/>
          <w:highlight w:val="none"/>
          <w:lang w:val="en-US" w:eastAsia="zh-CN"/>
        </w:rPr>
      </w:pPr>
      <w:bookmarkStart w:id="22" w:name="_Toc16593"/>
      <w:r>
        <w:rPr>
          <w:rFonts w:hint="eastAsia" w:ascii="华文楷体" w:hAnsi="华文楷体" w:eastAsia="华文楷体" w:cs="华文楷体"/>
          <w:b/>
          <w:highlight w:val="none"/>
          <w:lang w:val="en-US" w:eastAsia="zh-CN"/>
        </w:rPr>
        <w:t>（三）地类变更管理要求</w:t>
      </w:r>
      <w:bookmarkEnd w:id="22"/>
    </w:p>
    <w:p>
      <w:pPr>
        <w:pStyle w:val="5"/>
        <w:numPr>
          <w:ilvl w:val="0"/>
          <w:numId w:val="0"/>
        </w:numPr>
        <w:ind w:left="21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1.高标准都市农田建设前，依据年度土地利用变更调查结果，确定建设区域内各类土地利用现状。</w:t>
      </w:r>
    </w:p>
    <w:p>
      <w:pPr>
        <w:pStyle w:val="22"/>
        <w:numPr>
          <w:ilvl w:val="-1"/>
          <w:numId w:val="0"/>
        </w:numPr>
        <w:ind w:left="210" w:leftChars="10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2.高标准都市农田建成后，按照GB/T 21010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2017</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土地利用现状分类</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lang w:val="en-US" w:eastAsia="zh-CN"/>
        </w:rPr>
        <w:t>和国土调查相关规定，以实际现状进行地类认定与变更，完善有关手续。</w:t>
      </w:r>
    </w:p>
    <w:p>
      <w:pPr>
        <w:pStyle w:val="4"/>
        <w:bidi w:val="0"/>
        <w:ind w:firstLine="320" w:firstLineChars="100"/>
        <w:rPr>
          <w:rFonts w:hint="eastAsia" w:ascii="华文楷体" w:hAnsi="华文楷体" w:eastAsia="华文楷体" w:cs="华文楷体"/>
          <w:b/>
          <w:highlight w:val="none"/>
          <w:lang w:val="en-US" w:eastAsia="zh-CN"/>
        </w:rPr>
      </w:pPr>
      <w:bookmarkStart w:id="23" w:name="_Toc19766"/>
      <w:r>
        <w:rPr>
          <w:rFonts w:hint="eastAsia" w:ascii="华文楷体" w:hAnsi="华文楷体" w:eastAsia="华文楷体" w:cs="华文楷体"/>
          <w:b/>
          <w:highlight w:val="none"/>
          <w:lang w:val="en-US" w:eastAsia="zh-CN"/>
        </w:rPr>
        <w:t>（四）信息数据管理要求</w:t>
      </w:r>
      <w:bookmarkEnd w:id="23"/>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1.高标准都市农田建设和利用的全过程采用信息化手段进行管理，实现集中统一、全程全面、实时动态的管理目标。</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2.高标准都市农田建设信息定期全面报备，实现信息“上图入库”管理和信息共享。</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3.定期开展高标准都市农田建设调度和跟踪评估，建设情况适时以适当方式向社会发布。</w:t>
      </w:r>
    </w:p>
    <w:p>
      <w:pPr>
        <w:pStyle w:val="4"/>
        <w:bidi w:val="0"/>
        <w:ind w:firstLine="320" w:firstLineChars="100"/>
        <w:rPr>
          <w:rFonts w:hint="eastAsia" w:ascii="华文楷体" w:hAnsi="华文楷体" w:eastAsia="华文楷体" w:cs="华文楷体"/>
          <w:b/>
          <w:highlight w:val="none"/>
          <w:lang w:val="en-US" w:eastAsia="zh-CN"/>
        </w:rPr>
      </w:pPr>
      <w:bookmarkStart w:id="24" w:name="_Toc13598"/>
      <w:r>
        <w:rPr>
          <w:rFonts w:hint="eastAsia" w:ascii="华文楷体" w:hAnsi="华文楷体" w:eastAsia="华文楷体" w:cs="华文楷体"/>
          <w:b/>
          <w:highlight w:val="none"/>
          <w:lang w:val="en-US" w:eastAsia="zh-CN"/>
        </w:rPr>
        <w:t>（五）设施农用地管理要求</w:t>
      </w:r>
      <w:bookmarkEnd w:id="24"/>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1.设施农用地管理</w:t>
      </w:r>
      <w:r>
        <w:rPr>
          <w:rFonts w:hint="eastAsia" w:ascii="仿宋_GB2312" w:hAnsi="仿宋_GB2312" w:eastAsia="仿宋_GB2312" w:cs="仿宋_GB2312"/>
          <w:kern w:val="2"/>
          <w:sz w:val="32"/>
          <w:szCs w:val="32"/>
          <w:highlight w:val="none"/>
          <w:lang w:val="en-US" w:eastAsia="zh-CN" w:bidi="ar-SA"/>
        </w:rPr>
        <w:t>按《自然资源部 农业农村部关于设施农业用地管理有关问题的通知》（自然资规〔2019〕4号）等要求执行。</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2.任何单位和个人不得破坏或损毁农田生产设施、附属设施和配套设施。损毁农田设施的单位和个人应当及时修复，并承担所需费用，造成农业生产损失的，应当赔偿。</w:t>
      </w:r>
    </w:p>
    <w:p>
      <w:pPr>
        <w:ind w:firstLine="640" w:firstLineChars="200"/>
        <w:rPr>
          <w:rFonts w:hint="eastAsia" w:ascii="仿宋_GB2312" w:hAnsi="仿宋_GB2312" w:eastAsia="仿宋_GB2312" w:cs="仿宋_GB2312"/>
          <w:i w:val="0"/>
          <w:iCs w:val="0"/>
          <w:caps w:val="0"/>
          <w:spacing w:val="0"/>
          <w:sz w:val="32"/>
          <w:szCs w:val="32"/>
          <w:highlight w:val="none"/>
          <w:shd w:val="clear"/>
        </w:rPr>
      </w:pPr>
      <w:r>
        <w:rPr>
          <w:rFonts w:hint="eastAsia" w:ascii="仿宋_GB2312" w:hAnsi="仿宋_GB2312" w:eastAsia="仿宋_GB2312" w:cs="仿宋_GB2312"/>
          <w:i w:val="0"/>
          <w:iCs w:val="0"/>
          <w:caps w:val="0"/>
          <w:spacing w:val="0"/>
          <w:sz w:val="32"/>
          <w:szCs w:val="32"/>
          <w:highlight w:val="none"/>
          <w:shd w:val="clear"/>
          <w:lang w:val="en-US" w:eastAsia="zh-CN"/>
        </w:rPr>
        <w:t>3.</w:t>
      </w:r>
      <w:r>
        <w:rPr>
          <w:rFonts w:hint="eastAsia" w:ascii="仿宋_GB2312" w:hAnsi="仿宋_GB2312" w:eastAsia="仿宋_GB2312" w:cs="仿宋_GB2312"/>
          <w:i w:val="0"/>
          <w:iCs w:val="0"/>
          <w:caps w:val="0"/>
          <w:spacing w:val="0"/>
          <w:sz w:val="32"/>
          <w:szCs w:val="32"/>
          <w:highlight w:val="none"/>
          <w:shd w:val="clear"/>
        </w:rPr>
        <w:t>经营者坚持农地农用的原则，按照协议约定使用土地。</w:t>
      </w:r>
      <w:r>
        <w:rPr>
          <w:rFonts w:hint="eastAsia" w:ascii="仿宋_GB2312" w:hAnsi="仿宋_GB2312" w:eastAsia="仿宋_GB2312" w:cs="仿宋_GB2312"/>
          <w:i w:val="0"/>
          <w:iCs w:val="0"/>
          <w:caps w:val="0"/>
          <w:spacing w:val="0"/>
          <w:sz w:val="32"/>
          <w:szCs w:val="32"/>
          <w:highlight w:val="none"/>
          <w:shd w:val="clear"/>
          <w:lang w:val="en-US" w:eastAsia="zh-CN"/>
        </w:rPr>
        <w:t>不得</w:t>
      </w:r>
      <w:r>
        <w:rPr>
          <w:rFonts w:hint="eastAsia" w:ascii="仿宋_GB2312" w:hAnsi="仿宋_GB2312" w:eastAsia="仿宋_GB2312" w:cs="仿宋_GB2312"/>
          <w:i w:val="0"/>
          <w:iCs w:val="0"/>
          <w:caps w:val="0"/>
          <w:spacing w:val="0"/>
          <w:sz w:val="32"/>
          <w:szCs w:val="32"/>
          <w:highlight w:val="none"/>
          <w:shd w:val="clear"/>
        </w:rPr>
        <w:t>改变土地用途，擅自或变相将设施农用地用于其他非农建设；不</w:t>
      </w:r>
      <w:r>
        <w:rPr>
          <w:rFonts w:hint="eastAsia" w:ascii="仿宋_GB2312" w:hAnsi="仿宋_GB2312" w:eastAsia="仿宋_GB2312" w:cs="仿宋_GB2312"/>
          <w:i w:val="0"/>
          <w:iCs w:val="0"/>
          <w:caps w:val="0"/>
          <w:spacing w:val="0"/>
          <w:sz w:val="32"/>
          <w:szCs w:val="32"/>
          <w:highlight w:val="none"/>
          <w:shd w:val="clear"/>
          <w:lang w:val="en-US" w:eastAsia="zh-CN"/>
        </w:rPr>
        <w:t>得</w:t>
      </w:r>
      <w:r>
        <w:rPr>
          <w:rFonts w:hint="eastAsia" w:ascii="仿宋_GB2312" w:hAnsi="仿宋_GB2312" w:eastAsia="仿宋_GB2312" w:cs="仿宋_GB2312"/>
          <w:i w:val="0"/>
          <w:iCs w:val="0"/>
          <w:caps w:val="0"/>
          <w:spacing w:val="0"/>
          <w:sz w:val="32"/>
          <w:szCs w:val="32"/>
          <w:highlight w:val="none"/>
          <w:shd w:val="clear"/>
        </w:rPr>
        <w:t>超过用地标准，擅自扩大设施用地规模或通过分次申报用地变相扩大设施用地规模；不</w:t>
      </w:r>
      <w:r>
        <w:rPr>
          <w:rFonts w:hint="eastAsia" w:ascii="仿宋_GB2312" w:hAnsi="仿宋_GB2312" w:eastAsia="仿宋_GB2312" w:cs="仿宋_GB2312"/>
          <w:i w:val="0"/>
          <w:iCs w:val="0"/>
          <w:caps w:val="0"/>
          <w:spacing w:val="0"/>
          <w:sz w:val="32"/>
          <w:szCs w:val="32"/>
          <w:highlight w:val="none"/>
          <w:shd w:val="clear"/>
          <w:lang w:val="en-US" w:eastAsia="zh-CN"/>
        </w:rPr>
        <w:t>得</w:t>
      </w:r>
      <w:r>
        <w:rPr>
          <w:rFonts w:hint="eastAsia" w:ascii="仿宋_GB2312" w:hAnsi="仿宋_GB2312" w:eastAsia="仿宋_GB2312" w:cs="仿宋_GB2312"/>
          <w:i w:val="0"/>
          <w:iCs w:val="0"/>
          <w:caps w:val="0"/>
          <w:spacing w:val="0"/>
          <w:sz w:val="32"/>
          <w:szCs w:val="32"/>
          <w:highlight w:val="none"/>
          <w:shd w:val="clear"/>
        </w:rPr>
        <w:t>改变直接从事或服务于农业生产的设施性质，</w:t>
      </w:r>
      <w:r>
        <w:rPr>
          <w:rFonts w:hint="eastAsia" w:ascii="仿宋_GB2312" w:hAnsi="仿宋_GB2312" w:eastAsia="仿宋_GB2312" w:cs="仿宋_GB2312"/>
          <w:i w:val="0"/>
          <w:iCs w:val="0"/>
          <w:caps w:val="0"/>
          <w:spacing w:val="0"/>
          <w:sz w:val="32"/>
          <w:szCs w:val="32"/>
          <w:highlight w:val="none"/>
          <w:shd w:val="clear"/>
          <w:lang w:val="en-US" w:eastAsia="zh-CN"/>
        </w:rPr>
        <w:t>不得</w:t>
      </w:r>
      <w:r>
        <w:rPr>
          <w:rFonts w:hint="eastAsia" w:ascii="仿宋_GB2312" w:hAnsi="仿宋_GB2312" w:eastAsia="仿宋_GB2312" w:cs="仿宋_GB2312"/>
          <w:i w:val="0"/>
          <w:iCs w:val="0"/>
          <w:caps w:val="0"/>
          <w:spacing w:val="0"/>
          <w:sz w:val="32"/>
          <w:szCs w:val="32"/>
          <w:highlight w:val="none"/>
          <w:shd w:val="clear"/>
        </w:rPr>
        <w:t>擅自将设施用于其他经营。</w:t>
      </w:r>
    </w:p>
    <w:p>
      <w:pPr>
        <w:pStyle w:val="4"/>
        <w:bidi w:val="0"/>
        <w:ind w:firstLine="320" w:firstLineChars="100"/>
        <w:rPr>
          <w:rFonts w:hint="eastAsia" w:ascii="华文楷体" w:hAnsi="华文楷体" w:eastAsia="华文楷体" w:cs="华文楷体"/>
          <w:b/>
          <w:highlight w:val="none"/>
          <w:lang w:val="en-US" w:eastAsia="zh-CN"/>
        </w:rPr>
      </w:pPr>
      <w:bookmarkStart w:id="25" w:name="_Toc19855"/>
      <w:r>
        <w:rPr>
          <w:rFonts w:hint="eastAsia" w:ascii="华文楷体" w:hAnsi="华文楷体" w:eastAsia="华文楷体" w:cs="华文楷体"/>
          <w:b/>
          <w:highlight w:val="none"/>
          <w:lang w:val="en-US" w:eastAsia="zh-CN"/>
        </w:rPr>
        <w:t>（六）验收与评价要求</w:t>
      </w:r>
      <w:bookmarkEnd w:id="25"/>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高标准都市农田建设项目竣工后，农业农村主管部门在半年内按照《高标准农田建设项目竣工验收办法》等竣工验收相关文件规定组织完成竣工验收工作，核发农业农村部统一格式的《高标准农田建设项目竣工验收合格证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2.高标准都市农田建设项目竣工验收后，按照GB/T 33130</w:t>
      </w:r>
      <w:r>
        <w:rPr>
          <w:rFonts w:hint="eastAsia" w:ascii="仿宋_GB2312" w:hAnsi="仿宋_GB2312" w:eastAsia="仿宋_GB2312" w:cs="仿宋_GB2312"/>
          <w:bCs/>
          <w:sz w:val="32"/>
          <w:szCs w:val="32"/>
          <w:highlight w:val="none"/>
        </w:rPr>
        <w:t>—2016</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高标准农田建设评价规范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kern w:val="2"/>
          <w:sz w:val="32"/>
          <w:szCs w:val="32"/>
          <w:highlight w:val="none"/>
          <w:lang w:val="en-US" w:eastAsia="zh-CN" w:bidi="ar-SA"/>
        </w:rPr>
        <w:t>规定开展建设绩效评价。</w:t>
      </w:r>
    </w:p>
    <w:p>
      <w:pPr>
        <w:pStyle w:val="4"/>
        <w:bidi w:val="0"/>
        <w:ind w:firstLine="320" w:firstLineChars="100"/>
        <w:rPr>
          <w:rFonts w:hint="eastAsia" w:ascii="华文楷体" w:hAnsi="华文楷体" w:eastAsia="华文楷体" w:cs="华文楷体"/>
          <w:b/>
          <w:highlight w:val="none"/>
          <w:lang w:val="en-US" w:eastAsia="zh-CN"/>
        </w:rPr>
      </w:pPr>
      <w:bookmarkStart w:id="26" w:name="_Toc28014"/>
      <w:r>
        <w:rPr>
          <w:rFonts w:hint="eastAsia" w:ascii="华文楷体" w:hAnsi="华文楷体" w:eastAsia="华文楷体" w:cs="华文楷体"/>
          <w:b/>
          <w:highlight w:val="none"/>
          <w:lang w:val="en-US" w:eastAsia="zh-CN"/>
        </w:rPr>
        <w:t>（七）档案管理要求</w:t>
      </w:r>
      <w:bookmarkEnd w:id="26"/>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1.基本要求</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高标准都市农田建设项目档案管理遵循收集及时、全面细致，分类科学、组卷有序，简便实用、真实可信的原则。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高标准都市农田建设项目竣工后，由项目主管部门按照有关规定对项目档案进行收集、整理、组卷、存档。项目档案资料的收集、整理、组卷工作可以根据项目建设单位能力水平灵活安排。</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推行项目档案资料数字化管理，按照组卷分类原则，对纸质文档、图片资料进行数字化处理归档，提高管理质效。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2.档案分类要求</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项目档案资料根据高标准都市农田建设项目管理程序分为规划编制、前期准备，申报审批、计划管理，组织实施、审计报账、竣工验收、监督评价及其他资料。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项目建设和管理过程中形成的、具有查考利用价值的各种形式和载体的项目文件资料应当收集齐全。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在项目档案收集、整理、组卷、存档过程中可结合项目管理实际细化归档内容。</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3.整理组卷要求</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项目档案按年度项目建档、按建设项目分册、按事由顺序组卷、按装帧标准装订，做到过程明晰、条理清楚、整齐美观、调用查阅方便。</w:t>
      </w:r>
    </w:p>
    <w:p>
      <w:pPr>
        <w:pStyle w:val="21"/>
        <w:numPr>
          <w:ilvl w:val="0"/>
          <w:numId w:val="4"/>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档案保存要求</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主管部门对项目档案内容进行鉴定，确定档案保存期限。</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项目档案资料保存期限分为永久和定期两种。定期一般分为30年和10年。</w:t>
      </w:r>
    </w:p>
    <w:p>
      <w:pPr>
        <w:pStyle w:val="4"/>
        <w:bidi w:val="0"/>
        <w:ind w:firstLine="320" w:firstLineChars="100"/>
        <w:rPr>
          <w:rFonts w:hint="eastAsia" w:ascii="华文楷体" w:hAnsi="华文楷体" w:eastAsia="华文楷体" w:cs="华文楷体"/>
          <w:b/>
          <w:highlight w:val="none"/>
          <w:lang w:val="en-US" w:eastAsia="zh-CN"/>
        </w:rPr>
      </w:pPr>
      <w:bookmarkStart w:id="27" w:name="_Toc1328"/>
      <w:r>
        <w:rPr>
          <w:rFonts w:hint="eastAsia" w:ascii="华文楷体" w:hAnsi="华文楷体" w:eastAsia="华文楷体" w:cs="华文楷体"/>
          <w:b/>
          <w:highlight w:val="none"/>
          <w:lang w:val="en-US" w:eastAsia="zh-CN"/>
        </w:rPr>
        <w:t>（八）移交管理要求</w:t>
      </w:r>
      <w:bookmarkEnd w:id="27"/>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1.移交要求。高标准都市农田项目竣工验收后，建设单位在一个月内向建后管护主体进行移交，并办理管护移交手续。</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2.移交手续。高标准都市农田建设项目竣工后，办理项目档案移交手续，包括档案移交的内容、数量、图纸张数等，并有完备的清册、签字等移交手续。</w:t>
      </w:r>
    </w:p>
    <w:p>
      <w:pPr>
        <w:pStyle w:val="21"/>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3.电子档案移交。项目电子档案的移交参照《电子档案移交与接收办法》的有关规定执行。</w:t>
      </w:r>
    </w:p>
    <w:p>
      <w:pPr>
        <w:pStyle w:val="4"/>
        <w:bidi w:val="0"/>
        <w:ind w:firstLine="320" w:firstLineChars="100"/>
        <w:rPr>
          <w:rFonts w:hint="eastAsia" w:ascii="华文楷体" w:hAnsi="华文楷体" w:eastAsia="华文楷体" w:cs="华文楷体"/>
          <w:b/>
          <w:highlight w:val="none"/>
          <w:lang w:val="en-US" w:eastAsia="zh-CN"/>
        </w:rPr>
      </w:pPr>
      <w:bookmarkStart w:id="28" w:name="_Toc32506"/>
      <w:r>
        <w:rPr>
          <w:rFonts w:hint="eastAsia" w:ascii="华文楷体" w:hAnsi="华文楷体" w:eastAsia="华文楷体" w:cs="华文楷体"/>
          <w:b/>
          <w:highlight w:val="none"/>
          <w:lang w:val="en-US" w:eastAsia="zh-CN"/>
        </w:rPr>
        <w:t>（九）土地租赁管理要求</w:t>
      </w:r>
      <w:bookmarkEnd w:id="28"/>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标准都市农田建成后，土地采用租赁方式确定使用权。租赁应当通过公开招标或者协议的方式。区农业主管部门组织实施高标准都市农田土地租赁工作。申请人条件、招标原则及平台、协议出租条件、协议出租程序、租赁期限及合同等要求遵照《深圳市永久基本农田保护区管理办法》相关规定。</w:t>
      </w:r>
    </w:p>
    <w:p>
      <w:pPr>
        <w:pStyle w:val="4"/>
        <w:bidi w:val="0"/>
        <w:ind w:firstLine="320" w:firstLineChars="100"/>
        <w:rPr>
          <w:rFonts w:hint="eastAsia" w:ascii="华文楷体" w:hAnsi="华文楷体" w:eastAsia="华文楷体" w:cs="华文楷体"/>
          <w:b/>
          <w:highlight w:val="none"/>
          <w:lang w:val="en-US" w:eastAsia="zh-CN"/>
        </w:rPr>
      </w:pPr>
      <w:bookmarkStart w:id="29" w:name="_Toc6364"/>
      <w:r>
        <w:rPr>
          <w:rFonts w:hint="eastAsia" w:ascii="华文楷体" w:hAnsi="华文楷体" w:eastAsia="华文楷体" w:cs="华文楷体"/>
          <w:b/>
          <w:highlight w:val="none"/>
          <w:lang w:val="en-US" w:eastAsia="zh-CN"/>
        </w:rPr>
        <w:t>（十）农业科技配套与应用要求</w:t>
      </w:r>
      <w:bookmarkEnd w:id="29"/>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标准都市农田建成后，加强农业科技配套与应用，推广智慧农业、病虫害绿色防控、保护性耕作和节水节肥减药农业技术；建设、推广“互联网+”农业生产与管理物联网应用系统，开展农情监测预警、农业生产管理、农机作业调度等物联网技术应用。</w:t>
      </w:r>
    </w:p>
    <w:p>
      <w:pPr>
        <w:bidi w:val="0"/>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立农作物农情监测系统，实现对农田生产环境和作物苗情、墒情、病虫情、灾情的全面监测；开发农作物生产智能决策系统，实现科学施肥、节水灌溉、病虫害预警防治等生产措施的智能化管理；建立二维码溯源系统，结合物联网技术实时采集水稻、玉米、蔬菜等区域主要农作物种植过程各关键控制点的信息，实现种植、加工、检测、销售全产业链可追溯。</w:t>
      </w:r>
    </w:p>
    <w:p>
      <w:pPr>
        <w:pStyle w:val="3"/>
        <w:bidi w:val="0"/>
        <w:rPr>
          <w:rFonts w:hint="eastAsia" w:ascii="黑体" w:hAnsi="黑体" w:eastAsia="黑体" w:cs="黑体"/>
          <w:b/>
          <w:sz w:val="32"/>
          <w:szCs w:val="32"/>
          <w:highlight w:val="none"/>
          <w:lang w:val="en-US" w:eastAsia="zh-CN"/>
        </w:rPr>
      </w:pPr>
      <w:bookmarkStart w:id="30" w:name="_Toc5669"/>
      <w:r>
        <w:rPr>
          <w:rFonts w:hint="eastAsia" w:ascii="黑体" w:hAnsi="黑体" w:eastAsia="黑体" w:cs="黑体"/>
          <w:b/>
          <w:sz w:val="32"/>
          <w:szCs w:val="32"/>
          <w:highlight w:val="none"/>
          <w:lang w:val="en-US" w:eastAsia="zh-CN"/>
        </w:rPr>
        <w:t>四、耕地质量管理指引</w:t>
      </w:r>
      <w:bookmarkEnd w:id="30"/>
    </w:p>
    <w:p>
      <w:pPr>
        <w:pStyle w:val="4"/>
        <w:bidi w:val="0"/>
        <w:ind w:firstLine="320" w:firstLineChars="100"/>
        <w:rPr>
          <w:rFonts w:hint="eastAsia" w:ascii="华文楷体" w:hAnsi="华文楷体" w:eastAsia="华文楷体" w:cs="华文楷体"/>
          <w:b/>
          <w:highlight w:val="none"/>
          <w:lang w:val="en-US" w:eastAsia="zh-CN"/>
        </w:rPr>
      </w:pPr>
      <w:bookmarkStart w:id="31" w:name="_Toc23407"/>
      <w:r>
        <w:rPr>
          <w:rFonts w:hint="eastAsia" w:ascii="华文楷体" w:hAnsi="华文楷体" w:eastAsia="华文楷体" w:cs="华文楷体"/>
          <w:b/>
          <w:highlight w:val="none"/>
          <w:lang w:val="en-US" w:eastAsia="zh-CN"/>
        </w:rPr>
        <w:t>（一）耕地地力管理要求</w:t>
      </w:r>
      <w:bookmarkEnd w:id="31"/>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1.耕地质量等级管理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依据国家标准GB/T 33469—2016《耕地质量等级》，在高标准都市农田建设前后分别开展耕地质量调查、取土化验与质量等级变更等耕地质量等级调查评价工作。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（2）建立耕地质量管理信息系统，加强信息交流与共享，及时更新耕地质量等级调查评价数据。</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高标准都市农田建成后，开展耕地质量等级年度变更评价与数据库更新，科学评估项目建设成效。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加强信息交流与共享，完善部门间信息共享机制,及时反映耕地质量变化情况，实现农田建设、保护、利用信息的互通共享。</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2.耕地质量提升管理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高标准都市农田建成后，采取测土配方施肥、增施有机肥、秸秆还田、种植绿肥、水肥一体化、深耕深松少免耕结合技术、污染耕地修复治理技术、酸化耕地改良等综合措施，提升高标准都市农田耕地质量。</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3.耕地保养监督管理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耕地使用者合理利用耕地，保护耕地质量，采用有利于保护、提高耕地质量的耕作模式和技术措施，防止耕地质量等级下降。</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耕地使用者应当对耕地耕作层进行保护和培肥。</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主管部门指导耕地使用者合理使用肥料、农药、农用薄膜等农业投入品。</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4.耕地地力监测评价</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高标准都市农田建成后，实行耕地质量长期定位监测制度，按照NY/T 1119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2019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耕地质量监测技术规程</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规定对耕地利用情况实行长期监测。</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统筹规划建设耕地质量监测点，包括耕地肥力监测、土壤墒情监测、重金属污染监测、农田氮磷流失监测等。</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高标准都市农田耕地质量监测点按照监测技术规范要求进行建设，并设置统一标志。</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主管部门定期开展耕地质量调查和评价，并上报耕地质量状况。</w:t>
      </w:r>
    </w:p>
    <w:p>
      <w:pPr>
        <w:pStyle w:val="4"/>
        <w:bidi w:val="0"/>
        <w:ind w:firstLine="320" w:firstLineChars="100"/>
        <w:rPr>
          <w:rFonts w:hint="eastAsia" w:ascii="华文楷体" w:hAnsi="华文楷体" w:eastAsia="华文楷体" w:cs="华文楷体"/>
          <w:b/>
          <w:highlight w:val="none"/>
          <w:lang w:val="en-US" w:eastAsia="zh-CN"/>
        </w:rPr>
      </w:pPr>
      <w:bookmarkStart w:id="32" w:name="_Toc14933"/>
      <w:r>
        <w:rPr>
          <w:rFonts w:hint="eastAsia" w:ascii="华文楷体" w:hAnsi="华文楷体" w:eastAsia="华文楷体" w:cs="华文楷体"/>
          <w:b/>
          <w:highlight w:val="none"/>
          <w:lang w:val="en-US" w:eastAsia="zh-CN"/>
        </w:rPr>
        <w:t>（二）土壤健康管理要求</w:t>
      </w:r>
      <w:bookmarkEnd w:id="32"/>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1.土壤环境质量管理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（1）</w:t>
      </w:r>
      <w:r>
        <w:rPr>
          <w:rFonts w:hint="eastAsia" w:ascii="仿宋_GB2312" w:hAnsi="仿宋_GB2312" w:eastAsia="仿宋_GB2312" w:cs="仿宋_GB2312"/>
          <w:b w:val="0"/>
          <w:bCs w:val="0"/>
          <w:kern w:val="2"/>
          <w:sz w:val="32"/>
          <w:szCs w:val="32"/>
          <w:highlight w:val="none"/>
          <w:lang w:val="en-US" w:eastAsia="zh-CN" w:bidi="ar-SA"/>
        </w:rPr>
        <w:t>高标准都市农田土壤环境质量应当确保作物生长正常，土壤环境质量符合HJ/T 332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2006</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食用农产品产地环境质量评价标准</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SA"/>
        </w:rPr>
        <w:t>或其他耕地土壤环境质量相关标准的规定。</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（2）</w:t>
      </w:r>
      <w:r>
        <w:rPr>
          <w:rFonts w:hint="eastAsia" w:ascii="仿宋_GB2312" w:hAnsi="仿宋_GB2312" w:eastAsia="仿宋_GB2312" w:cs="仿宋_GB2312"/>
          <w:b w:val="0"/>
          <w:bCs w:val="0"/>
          <w:kern w:val="2"/>
          <w:sz w:val="32"/>
          <w:szCs w:val="32"/>
          <w:highlight w:val="none"/>
          <w:lang w:val="en-US" w:eastAsia="zh-CN" w:bidi="ar-SA"/>
        </w:rPr>
        <w:t>禁止在高标准都市农田内倾倒、堆积矿业固体废物、工业固体废物、放射性固体废物、城镇生活垃圾、城镇建筑垃圾、医院垃圾以及未经处理的农业固体废弃物。</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CN" w:bidi="ar-SA"/>
        </w:rPr>
        <w:t>禁止使用国家和地方明令禁止、淘汰或者未经许可的农业投入品，禁止将城镇生活垃圾、污泥、工业废物直接用作肥料。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（4）</w:t>
      </w:r>
      <w:r>
        <w:rPr>
          <w:rFonts w:hint="eastAsia" w:ascii="仿宋_GB2312" w:hAnsi="仿宋_GB2312" w:eastAsia="仿宋_GB2312" w:cs="仿宋_GB2312"/>
          <w:b w:val="0"/>
          <w:bCs w:val="0"/>
          <w:kern w:val="2"/>
          <w:sz w:val="32"/>
          <w:szCs w:val="32"/>
          <w:highlight w:val="none"/>
          <w:lang w:val="en-US" w:eastAsia="zh-CN" w:bidi="ar-SA"/>
        </w:rPr>
        <w:t>按照NY/T 1119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2019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耕地质量监测技术规程</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SA"/>
        </w:rPr>
        <w:t>规定的方法测定高标准都市农田土壤健康状况，包括清洁程度、生物多样性。</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2.土壤质量提升</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根据土壤酸化、贫瘠化等障碍因素，通过施用土壤调理剂、有机肥，实施秸秆还田、种植绿肥，水旱轮作，耕层深松深耕等措施，提升高标准都市农田土壤肥力。</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（1）酸化耕地改良</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根据土壤酸化程度，以施用土壤调理剂或石灰质为主，改良酸性土壤。其中土壤调理剂50-100公斤/亩、石灰质用量控制在70-200公斤/亩（石灰不应年年施）。</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（3）土壤培肥</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通过施有机肥、深耕深松、秸秆还田、种植绿肥等措施，使耕地地力保持或持续提高，高标准都市农田建成3年后推荐土壤有机质含量不小于20g/kg。实施测土配方施肥，覆盖率达到95%以上，养分比例适宜作物生长。</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3.土壤污染防治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（1）一般规定</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坚持绿色发展，生态优先，推广测土配方施肥、水肥一体化、绿色防控、农膜回收、保护性耕作等技术，加强耕地安全利用和污染风险管控，改善农田生态环境。遵照国家有关环境保护标准和技术规范，开展土壤污染预防、土壤污染状况调查、环境监测、环境质量类别划分、分类管理。加强项目区农用地土壤环境信息统计工作，健全农用地土壤环境信息档案。加强农用地土壤污染防治知识宣传，提高农业生产者的农用地土壤环境保护意识，引导农业生产者合理使用肥料、农药、兽药、农用薄膜等农业投入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（2）监督管理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定期对项目周边有土壤环境重点监管企业的区域的开展农田土壤环境监测，并上传农用地环境信息系统。</w:t>
      </w:r>
      <w:r>
        <w:rPr>
          <w:rFonts w:hint="eastAsia" w:ascii="仿宋_GB2312" w:hAnsi="仿宋_GB2312" w:eastAsia="仿宋_GB2312" w:cs="仿宋_GB2312"/>
          <w:kern w:val="2"/>
          <w:sz w:val="32"/>
          <w:szCs w:val="32"/>
          <w:highlight w:val="none"/>
          <w:lang w:val="en-US" w:eastAsia="zh-CN" w:bidi="ar-SA"/>
        </w:rPr>
        <w:t>农田内禁止排放、倾倒、使用污泥、清淤底泥、尾矿（渣）等可能对土壤造成污染的固体废物。禁止向农田灌溉渠道排放工业废水或者医疗污水。农田灌溉用水符合GB 5084-2021《农田灌溉水质标准》的规定，防止污染土壤、地下水和农产品。</w:t>
      </w:r>
      <w:r>
        <w:rPr>
          <w:rFonts w:hint="eastAsia" w:ascii="仿宋_GB2312" w:hAnsi="仿宋_GB2312" w:eastAsia="仿宋_GB2312" w:cs="仿宋_GB2312"/>
          <w:b w:val="0"/>
          <w:bCs w:val="0"/>
          <w:kern w:val="2"/>
          <w:sz w:val="32"/>
          <w:szCs w:val="32"/>
          <w:highlight w:val="none"/>
          <w:lang w:val="en-US" w:eastAsia="zh-CN" w:bidi="ar-SA"/>
        </w:rPr>
        <w:t>加强农药、化肥、污水灌溉使用管理和农业废弃物处理处置，防止重金属和持久性有机污染物对土壤造成污染。</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（3）治理与修复</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受委托从事农用地土壤污染防治相关活动的专业机构</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以及受委托从事治理与修复效果评估的第三方机构</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应当遵守有关环境保护标准和技术规范，并对其出具的技术文件的真实性、准确性、完整性负责。</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（4）风险管控</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项目区</w:t>
      </w:r>
      <w:r>
        <w:rPr>
          <w:rFonts w:hint="eastAsia" w:ascii="仿宋_GB2312" w:hAnsi="仿宋_GB2312" w:eastAsia="仿宋_GB2312" w:cs="仿宋_GB2312"/>
          <w:kern w:val="2"/>
          <w:sz w:val="32"/>
          <w:szCs w:val="32"/>
          <w:highlight w:val="none"/>
          <w:lang w:val="en-US" w:eastAsia="zh-CN" w:bidi="ar-SA"/>
        </w:rPr>
        <w:t>内禁止新建有色金属采选、冶炼、皮革、石化、药品制造、电镀、印染、铅蓄电池制造等项目，严格控制周边新建严重影响土壤环境质量的项目，防止周边区域大气污染物沉降影响土壤环境质量。</w:t>
      </w:r>
      <w:r>
        <w:rPr>
          <w:rFonts w:hint="eastAsia" w:ascii="仿宋_GB2312" w:hAnsi="仿宋_GB2312" w:eastAsia="仿宋_GB2312" w:cs="仿宋_GB2312"/>
          <w:b w:val="0"/>
          <w:bCs w:val="0"/>
          <w:kern w:val="2"/>
          <w:sz w:val="32"/>
          <w:szCs w:val="32"/>
          <w:highlight w:val="none"/>
          <w:lang w:val="en-US" w:eastAsia="zh-CN" w:bidi="ar-SA"/>
        </w:rPr>
        <w:t>加强</w:t>
      </w:r>
      <w:r>
        <w:rPr>
          <w:rFonts w:hint="eastAsia" w:ascii="仿宋_GB2312" w:hAnsi="仿宋_GB2312" w:eastAsia="仿宋_GB2312" w:cs="仿宋_GB2312"/>
          <w:kern w:val="2"/>
          <w:sz w:val="32"/>
          <w:szCs w:val="32"/>
          <w:highlight w:val="none"/>
          <w:lang w:val="en-US" w:eastAsia="zh-CN" w:bidi="ar-SA"/>
        </w:rPr>
        <w:t>农药、化肥、农膜等农业投入品使用的环境监管，严格控制污水灌溉，建立重点农田灌溉水水源调查、评估、监测及预警制度。建立土壤污染应急机制，及时上报突发环境事件对土壤环境的影响程度、范围和应对措施，积极采取措施，避免土壤污染。根据不同区域的农产品质量安全情况，组织实施耕地土壤与农产品协同监测，开展风险评估，根据监测评估结果，优化调整安全利用措施，并将监测结果及时上传农用地环境信息系统。</w:t>
      </w:r>
    </w:p>
    <w:p>
      <w:pPr>
        <w:pStyle w:val="3"/>
        <w:bidi w:val="0"/>
        <w:rPr>
          <w:rFonts w:hint="eastAsia" w:ascii="黑体" w:hAnsi="黑体" w:eastAsia="黑体" w:cs="黑体"/>
          <w:b/>
          <w:sz w:val="32"/>
          <w:szCs w:val="32"/>
          <w:highlight w:val="none"/>
          <w:lang w:val="en-US" w:eastAsia="zh-CN"/>
        </w:rPr>
      </w:pPr>
      <w:bookmarkStart w:id="33" w:name="_Toc16129"/>
      <w:bookmarkStart w:id="34" w:name="_Toc7878"/>
      <w:r>
        <w:rPr>
          <w:rFonts w:hint="eastAsia" w:ascii="黑体" w:hAnsi="黑体" w:eastAsia="黑体" w:cs="黑体"/>
          <w:b/>
          <w:sz w:val="32"/>
          <w:szCs w:val="32"/>
          <w:highlight w:val="none"/>
          <w:lang w:val="en-US" w:eastAsia="zh-CN"/>
        </w:rPr>
        <w:t>五、农业生产管理</w:t>
      </w:r>
      <w:bookmarkEnd w:id="33"/>
      <w:r>
        <w:rPr>
          <w:rFonts w:hint="eastAsia" w:ascii="黑体" w:hAnsi="黑体" w:eastAsia="黑体" w:cs="黑体"/>
          <w:b/>
          <w:sz w:val="32"/>
          <w:szCs w:val="32"/>
          <w:highlight w:val="none"/>
          <w:lang w:val="en-US" w:eastAsia="zh-CN"/>
        </w:rPr>
        <w:t>指引</w:t>
      </w:r>
      <w:bookmarkEnd w:id="34"/>
    </w:p>
    <w:p>
      <w:pPr>
        <w:pStyle w:val="4"/>
        <w:bidi w:val="0"/>
        <w:ind w:firstLine="320" w:firstLineChars="100"/>
        <w:rPr>
          <w:rFonts w:hint="eastAsia" w:ascii="华文楷体" w:hAnsi="华文楷体" w:eastAsia="华文楷体" w:cs="华文楷体"/>
          <w:b/>
          <w:highlight w:val="none"/>
          <w:lang w:val="en-US" w:eastAsia="zh-CN"/>
        </w:rPr>
      </w:pPr>
      <w:bookmarkStart w:id="35" w:name="_Toc1468"/>
      <w:r>
        <w:rPr>
          <w:rFonts w:hint="eastAsia" w:ascii="华文楷体" w:hAnsi="华文楷体" w:eastAsia="华文楷体" w:cs="华文楷体"/>
          <w:b/>
          <w:highlight w:val="none"/>
          <w:lang w:val="en-US" w:eastAsia="zh-CN"/>
        </w:rPr>
        <w:t>（一）种植管护要求</w:t>
      </w:r>
      <w:bookmarkEnd w:id="35"/>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1.管护职责</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管护责任人为土地承包经营者，应当在农业农村部门技术指导下进行种植管护。</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项目管护期限内，在保证前3年（后3年鼓励）每年至少种植一造水稻或水生农作物的基础上，年度内还可以轮作甘薯、马铃薯、蔬菜、油菜、豆科植物、花生、绿肥等农作物，也可临时性地种植对耕作层没有破坏作用的农作物，通过轮种进一步提高项目地力。</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依据生产过程的关键点管控要求，结合实际栽种情况，做好栽培、水肥、病虫害防控等过程管理。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建立农业投入品管理制度，含投入品管理体系、市场准入制度、监督管理制度、项目区允许使用的农药清单及肥料使用准则、项目区允许使用的投入品销售及使用监管措施等。</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2.种管技术指导</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遵循以下规定因地制宜采取增施有机肥、土壤调理剂、种植绿肥、秸秆还田等技术模式，改善土壤生态环境、增加土壤有机质含量，提升耕地地力：</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水源比较充足的田块采取增施商品有机肥、秸秆还田、增施土壤调理剂、种植绿肥等综合技术模式；</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水源不足的田块以增施有机肥和土壤调理剂为主；</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部分偏砂或偏粘的田块采取掺泥入砂或掺砂入泥办法，改变其砂、壤比例。</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3.种植状况督查</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高标准都市农田内禁止种植乔木、灌木、果树、茶树等对耕作层有影响的树木。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严格规范高标准都市农田上农业生产经营活动，不得占用农田从事林果业以及挖塘养鱼、非法取土等破坏耕作层的行为，不得闲置、荒芜高标准都市农田。</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综合运用卫星遥感等现代信息技术手段，对高标准都市农田种粮情况进行监测评价。</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4.生产经营档案管理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kern w:val="2"/>
          <w:sz w:val="32"/>
          <w:szCs w:val="32"/>
          <w:highlight w:val="none"/>
          <w:lang w:val="en-US" w:eastAsia="zh-CN" w:bidi="ar-SA"/>
        </w:rPr>
        <w:t>高标准都市农田项目主管部门和管护责任人建立健全项目后期管护档案，及时收集后期管护有关资料。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（2）在高标准都市农田从事农业生产经营的单位和个人依法建立、健全农业生产经营档案，保证可追溯。</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（3）建立和保存包括农作物种子来源、产地、数量、质量、销售去向、销售日期和有关责任人员等内容的生产经营档案。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生产经营档案应当保存如下资料：投入品购买记录、田间生产管理与投入品使用记录、收获记录、仓储记录、交售记录样本，其中田间生产管理与投入品使用记录内容应当包括生产地块编号、种植者、作物名称、品种、种植面积、播种或移栽时间、土壤耕作情况、施肥时间、施肥量、病虫草害防治施药时间、用药品种、剂型规格及数量等。</w:t>
      </w:r>
    </w:p>
    <w:p>
      <w:pPr>
        <w:pStyle w:val="4"/>
        <w:bidi w:val="0"/>
        <w:ind w:firstLine="320" w:firstLineChars="100"/>
        <w:rPr>
          <w:rFonts w:hint="eastAsia" w:ascii="华文楷体" w:hAnsi="华文楷体" w:eastAsia="华文楷体" w:cs="华文楷体"/>
          <w:b/>
          <w:highlight w:val="none"/>
          <w:lang w:val="en-US" w:eastAsia="zh-CN"/>
        </w:rPr>
      </w:pPr>
      <w:bookmarkStart w:id="36" w:name="_Toc3309"/>
      <w:r>
        <w:rPr>
          <w:rFonts w:hint="eastAsia" w:ascii="华文楷体" w:hAnsi="华文楷体" w:eastAsia="华文楷体" w:cs="华文楷体"/>
          <w:b/>
          <w:highlight w:val="none"/>
          <w:lang w:val="en-US" w:eastAsia="zh-CN"/>
        </w:rPr>
        <w:t>（二）病虫害防治要求</w:t>
      </w:r>
      <w:bookmarkEnd w:id="36"/>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1.监测与预报</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建立农作物病虫害监测制度，定期开展农作物病虫害监测，按照规定及时报告农作物病虫害监测信息。包括但不限于：</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农作物病虫害发生的种类、时间、范围、程度；</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害虫主要天敌种类、分布与种群消长情况；</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影响农作物病虫害发生的田间气候；</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其他需要监测的内容。</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2.预防与控制</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落实“预防为主、防治综合”的植保方针，开展病虫害生态防治。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根据农业生产情况、气候条件、农作物病虫害常年发生情况、监测预报情况以及发生趋势等因素制定农作物病虫害预防控制方案，内容包括预防控制目标、重点区域、防治阈值、预防控制措施和保障措施等方面。</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健全农作物病虫害防治体系，并组织开展农作物病虫害抗药性监测评估，为农业生产经营者提供农作物病虫害预防控制技术培训、指导、服务。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农田使用者采用包衣、拌种、消毒等种子处理措施，采取合理轮作、深耕除草、覆盖除草、土壤消毒、清除农作物病残体等健康栽培管理措施，预防农作物病虫害。</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农田使用者开展农作物病虫害防治使用农药时，应当遵守农药安全、合理使用制度，严格按照农药标签或者说明书使用农药。</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3.应急处置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组织制定应急预案，开展应急业务培训和演练，储备必要的应急物资。</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农作物病虫害暴发时，立即启动应急响应，采取下列措施：</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划定应急处置的范围和面积；</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组织和调集应急处置队伍；</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启用应急备用药剂、机械等物资；</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组织应急处置行动。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4.专业化服务</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农业生产经营者依据《农作物病虫害专业化防治服务管理办法》采用具备相应的设施设备、技术人员、田间作业人员以及规范的管理制个专业化病虫害防治服务组织。</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（2）农药使用按照标签规定的使用范围、安全间隔期用药，不得超范围用药。</w:t>
      </w:r>
      <w:r>
        <w:rPr>
          <w:rFonts w:hint="eastAsia" w:ascii="仿宋_GB2312" w:hAnsi="仿宋_GB2312" w:eastAsia="仿宋_GB2312" w:cs="仿宋_GB2312"/>
          <w:kern w:val="2"/>
          <w:sz w:val="32"/>
          <w:szCs w:val="32"/>
          <w:highlight w:val="none"/>
          <w:lang w:val="en-US" w:eastAsia="zh-CN" w:bidi="ar-SA"/>
        </w:rPr>
        <w:t>剧毒、高毒农药禁止用于高标准都市农田区卫生害虫的防治，禁止用于蔬菜、瓜果菌类、中草药材等的生产，禁止用于水生植物的病虫害防治。</w:t>
      </w:r>
    </w:p>
    <w:p>
      <w:pPr>
        <w:pStyle w:val="4"/>
        <w:bidi w:val="0"/>
        <w:ind w:firstLine="320" w:firstLineChars="100"/>
        <w:rPr>
          <w:rFonts w:hint="eastAsia" w:ascii="华文楷体" w:hAnsi="华文楷体" w:eastAsia="华文楷体" w:cs="华文楷体"/>
          <w:b/>
          <w:highlight w:val="none"/>
          <w:lang w:val="en-US" w:eastAsia="zh-CN"/>
        </w:rPr>
      </w:pPr>
      <w:bookmarkStart w:id="37" w:name="_Toc6222"/>
      <w:r>
        <w:rPr>
          <w:rFonts w:hint="eastAsia" w:ascii="华文楷体" w:hAnsi="华文楷体" w:eastAsia="华文楷体" w:cs="华文楷体"/>
          <w:b/>
          <w:highlight w:val="none"/>
          <w:lang w:val="en-US" w:eastAsia="zh-CN"/>
        </w:rPr>
        <w:t>（三）自然灾害应急</w:t>
      </w:r>
      <w:bookmarkEnd w:id="37"/>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做好农业重大自然灾害的应急处置和灾后农业生产恢复工作，最大限度地减轻重大自然灾害对农业造成的损失，保证农业生产安全、有序、可持续发展，维护社会稳定。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突发性台风、强热带风暴、冰雹、地震、暴雨洪涝、低温雨雪冰冻灾害和长时间干旱等农业重大自然灾害的应急处置和灾后农业生产恢复，参照《广东省农业重大自然灾害突发事件应急预案》。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农业重大自然灾害发生区涉及重大动物疫情的，按照《广东省突发重大动物疫情应急预案》规定执行；涉及农业重大有害生物突发事件的，按照《广东省农业重大有害生物突发事件应急预案》规定执行。</w:t>
      </w:r>
    </w:p>
    <w:p>
      <w:pPr>
        <w:pStyle w:val="3"/>
        <w:bidi w:val="0"/>
        <w:rPr>
          <w:rFonts w:hint="eastAsia" w:ascii="黑体" w:hAnsi="黑体" w:eastAsia="黑体" w:cs="黑体"/>
          <w:b/>
          <w:sz w:val="32"/>
          <w:szCs w:val="32"/>
          <w:highlight w:val="none"/>
          <w:lang w:val="en-US" w:eastAsia="zh-CN"/>
        </w:rPr>
      </w:pPr>
      <w:bookmarkStart w:id="38" w:name="_Toc16992"/>
      <w:bookmarkStart w:id="39" w:name="_Toc21436"/>
      <w:r>
        <w:rPr>
          <w:rFonts w:hint="eastAsia" w:ascii="黑体" w:hAnsi="黑体" w:eastAsia="黑体" w:cs="黑体"/>
          <w:b/>
          <w:sz w:val="32"/>
          <w:szCs w:val="32"/>
          <w:highlight w:val="none"/>
          <w:lang w:val="en-US" w:eastAsia="zh-CN"/>
        </w:rPr>
        <w:t>六、设施维护管理</w:t>
      </w:r>
      <w:bookmarkEnd w:id="38"/>
      <w:r>
        <w:rPr>
          <w:rFonts w:hint="eastAsia" w:ascii="黑体" w:hAnsi="黑体" w:eastAsia="黑体" w:cs="黑体"/>
          <w:b/>
          <w:sz w:val="32"/>
          <w:szCs w:val="32"/>
          <w:highlight w:val="none"/>
          <w:lang w:val="en-US" w:eastAsia="zh-CN"/>
        </w:rPr>
        <w:t>指引</w:t>
      </w:r>
      <w:bookmarkEnd w:id="39"/>
    </w:p>
    <w:p>
      <w:pPr>
        <w:pStyle w:val="4"/>
        <w:bidi w:val="0"/>
        <w:ind w:firstLine="320" w:firstLineChars="100"/>
        <w:rPr>
          <w:rFonts w:hint="eastAsia" w:ascii="华文楷体" w:hAnsi="华文楷体" w:eastAsia="华文楷体" w:cs="华文楷体"/>
          <w:b/>
          <w:highlight w:val="none"/>
          <w:lang w:val="en-US" w:eastAsia="zh-CN"/>
        </w:rPr>
      </w:pPr>
      <w:bookmarkStart w:id="40" w:name="_Toc1905"/>
      <w:r>
        <w:rPr>
          <w:rFonts w:hint="eastAsia" w:ascii="华文楷体" w:hAnsi="华文楷体" w:eastAsia="华文楷体" w:cs="华文楷体"/>
          <w:b/>
          <w:highlight w:val="none"/>
          <w:lang w:val="en-US" w:eastAsia="zh-CN"/>
        </w:rPr>
        <w:t>（一）管护职责要求</w:t>
      </w:r>
      <w:bookmarkEnd w:id="40"/>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高标准都市农田建成后，编制、更新相关图、表、册，完善数据库，设立统一标识，落实保护责任，实行特殊保护。</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2.建立政府引导，行业部门监管，农户、农村集体经济组织管理，专业管护人员以及专业协会等共同参与的管护体系。</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落实管护责任。按照“谁受益、谁管护，谁使用、谁管护”的原则，明确管护主体、管护责任和管护义务，办理移交手续，签订后期管护合同。管护主体对各项工程设施进行经常性检查维护，确保长期有效稳定利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4.在建成的高标准都市农田区设置</w:t>
      </w:r>
      <w:r>
        <w:rPr>
          <w:rFonts w:hint="eastAsia" w:ascii="仿宋_GB2312" w:hAnsi="仿宋_GB2312" w:eastAsia="仿宋_GB2312" w:cs="仿宋_GB2312"/>
          <w:sz w:val="32"/>
          <w:szCs w:val="32"/>
          <w:highlight w:val="none"/>
          <w:lang w:val="en-US" w:eastAsia="zh-CN"/>
        </w:rPr>
        <w:t>竣工公示牌</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公开项目名称、项目批准单位、主管单位、实施单位、总投资及构成、项目区位置和面积、建设时间以及</w:t>
      </w:r>
      <w:r>
        <w:rPr>
          <w:rFonts w:hint="eastAsia" w:ascii="仿宋_GB2312" w:hAnsi="仿宋_GB2312" w:eastAsia="仿宋_GB2312" w:cs="仿宋_GB2312"/>
          <w:kern w:val="2"/>
          <w:sz w:val="32"/>
          <w:szCs w:val="32"/>
          <w:highlight w:val="none"/>
          <w:lang w:val="en-US" w:eastAsia="zh-CN" w:bidi="ar-SA"/>
        </w:rPr>
        <w:t>管护主体、管护内容、管护区域、管护职责、监督举报电话等</w:t>
      </w:r>
      <w:r>
        <w:rPr>
          <w:rFonts w:hint="eastAsia" w:ascii="仿宋_GB2312" w:hAnsi="仿宋_GB2312" w:eastAsia="仿宋_GB2312" w:cs="仿宋_GB2312"/>
          <w:sz w:val="32"/>
          <w:szCs w:val="32"/>
          <w:highlight w:val="none"/>
          <w:lang w:val="en-US" w:eastAsia="zh-CN"/>
        </w:rPr>
        <w:t>管护信息。</w:t>
      </w:r>
    </w:p>
    <w:p>
      <w:pPr>
        <w:pStyle w:val="4"/>
        <w:bidi w:val="0"/>
        <w:ind w:firstLine="320" w:firstLineChars="100"/>
        <w:rPr>
          <w:rFonts w:hint="eastAsia" w:ascii="华文楷体" w:hAnsi="华文楷体" w:eastAsia="华文楷体" w:cs="华文楷体"/>
          <w:b/>
          <w:highlight w:val="none"/>
          <w:lang w:val="en-US" w:eastAsia="zh-CN"/>
        </w:rPr>
      </w:pPr>
      <w:bookmarkStart w:id="41" w:name="_Toc32323"/>
      <w:r>
        <w:rPr>
          <w:rFonts w:hint="eastAsia" w:ascii="华文楷体" w:hAnsi="华文楷体" w:eastAsia="华文楷体" w:cs="华文楷体"/>
          <w:b/>
          <w:highlight w:val="none"/>
          <w:lang w:val="en-US" w:eastAsia="zh-CN"/>
        </w:rPr>
        <w:t>（二）管护范围要求</w:t>
      </w:r>
      <w:bookmarkEnd w:id="41"/>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高标准都市农田建设项目建后管护范围包括：</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已建成的有良好的水利与水土保持设施的耕地；</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kern w:val="2"/>
          <w:sz w:val="32"/>
          <w:szCs w:val="32"/>
          <w:highlight w:val="none"/>
          <w:lang w:val="en-US" w:eastAsia="zh-CN" w:bidi="ar-SA"/>
        </w:rPr>
        <w:t>农田水利工程设施，高效水灌溉项目、高标准梯田项项目、水源工程、输配水工程、排水工程、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渠系建（构）筑物；</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农田输配电设施，输电线路、变配电、电气设备、弱电等工程设施；</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道路、农田防护工程设施，田间道路、生产路等；农田防护林、防风林、水源涵养林、水土保持林、固堤护岸林、护路林等。</w:t>
      </w:r>
    </w:p>
    <w:p>
      <w:pPr>
        <w:pStyle w:val="4"/>
        <w:bidi w:val="0"/>
        <w:ind w:firstLine="320" w:firstLineChars="100"/>
        <w:rPr>
          <w:rFonts w:hint="eastAsia" w:ascii="华文楷体" w:hAnsi="华文楷体" w:eastAsia="华文楷体" w:cs="华文楷体"/>
          <w:b/>
          <w:highlight w:val="none"/>
          <w:lang w:val="en-US" w:eastAsia="zh-CN"/>
        </w:rPr>
      </w:pPr>
      <w:bookmarkStart w:id="42" w:name="_Toc22574"/>
      <w:r>
        <w:rPr>
          <w:rFonts w:hint="eastAsia" w:ascii="华文楷体" w:hAnsi="华文楷体" w:eastAsia="华文楷体" w:cs="华文楷体"/>
          <w:b/>
          <w:highlight w:val="none"/>
          <w:lang w:val="en-US" w:eastAsia="zh-CN"/>
        </w:rPr>
        <w:t>（三）管护方式要求</w:t>
      </w:r>
      <w:bookmarkEnd w:id="42"/>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管护主体对农田工程设施开展必要的日常维护、专项管护、局部整修和年修，包括：</w:t>
      </w:r>
    </w:p>
    <w:p>
      <w:pPr>
        <w:pStyle w:val="25"/>
        <w:keepNext w:val="0"/>
        <w:keepLines w:val="0"/>
        <w:pageBreakBefore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日常巡视检查，泵站、闸门设备的日常保养维护；</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中小沟渠、沉砂池等日常清淤；</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防范机耕路超载超标车辆通行等日常管护；</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对较大规模的沟渠进行维修清淤、道路修整、设备大修、更换等</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专项管护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及时处理工程局部或表面轻微的缺陷和损坏的</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专项管护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,保持工程的完整、安全与正常运用；</w:t>
      </w:r>
    </w:p>
    <w:p>
      <w:pPr>
        <w:pStyle w:val="25"/>
        <w:keepNext w:val="0"/>
        <w:keepLines w:val="0"/>
        <w:pageBreakBefore w:val="0"/>
        <w:numPr>
          <w:ilvl w:val="-1"/>
          <w:numId w:val="0"/>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每年进行的、对日常养护不能解决的工程损坏的修复。</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维修养护不包括工程设施扩建、续建、改造。</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3.管护程序包括制定管护方案、确定管护主体、落实管护资金、签订管护协议、加强专项检查等。</w:t>
      </w:r>
    </w:p>
    <w:p>
      <w:pPr>
        <w:pStyle w:val="4"/>
        <w:bidi w:val="0"/>
        <w:ind w:firstLine="320" w:firstLineChars="100"/>
        <w:rPr>
          <w:rFonts w:hint="eastAsia" w:ascii="华文楷体" w:hAnsi="华文楷体" w:eastAsia="华文楷体" w:cs="华文楷体"/>
          <w:b/>
          <w:highlight w:val="none"/>
          <w:lang w:val="en-US" w:eastAsia="zh-CN"/>
        </w:rPr>
      </w:pPr>
      <w:bookmarkStart w:id="43" w:name="_Toc29368"/>
      <w:r>
        <w:rPr>
          <w:rFonts w:hint="eastAsia" w:ascii="华文楷体" w:hAnsi="华文楷体" w:eastAsia="华文楷体" w:cs="华文楷体"/>
          <w:b/>
          <w:highlight w:val="none"/>
          <w:lang w:val="en-US" w:eastAsia="zh-CN"/>
        </w:rPr>
        <w:t>（四）保障措施</w:t>
      </w:r>
      <w:bookmarkEnd w:id="43"/>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建立管护经费稳定保障机制，引导和撬动社会资金、用好涉农统筹整合资金等多渠道筹集管护资金。</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管护定额及标准参照《小型农田水利工程维修养护定额（试行）》等工程管护的定额。</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严格资金管理，管护资金主要用于维修农田水利设施、购置简易维修工具和运行监测设备、推进管护信息化建设、支付管护人员补助等。</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建立巡查和回访制度，监督检查管护主体责任和经费的落实情况，加强对建后管护工作的检查督导。</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制定建后管护奖惩办法，将高标准都市农田建后管护与推进高标准都市农田建设同部署、同督查、同考核、同奖惩。</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用好信息技术，以技术信息化促进管护现代化，整合农田设施管护信息平台、用水用电监管平台、农田设施问题举报系统等终端平台，应用物联网、大数据等数字技术，在线管理机井等设施档案，实时监测运行状况，动态更新数据，增强监管能力，提高管护效能。</w:t>
      </w:r>
    </w:p>
    <w:p>
      <w:pPr>
        <w:pStyle w:val="3"/>
        <w:bidi w:val="0"/>
        <w:rPr>
          <w:rFonts w:hint="eastAsia" w:ascii="黑体" w:hAnsi="黑体" w:eastAsia="黑体" w:cs="黑体"/>
          <w:b/>
          <w:sz w:val="32"/>
          <w:szCs w:val="32"/>
          <w:highlight w:val="none"/>
          <w:lang w:val="en-US" w:eastAsia="zh-CN"/>
        </w:rPr>
      </w:pPr>
      <w:bookmarkStart w:id="44" w:name="_Toc25599"/>
      <w:bookmarkStart w:id="45" w:name="_Toc16363"/>
      <w:r>
        <w:rPr>
          <w:rFonts w:hint="eastAsia" w:ascii="黑体" w:hAnsi="黑体" w:eastAsia="黑体" w:cs="黑体"/>
          <w:b/>
          <w:sz w:val="32"/>
          <w:szCs w:val="32"/>
          <w:highlight w:val="none"/>
          <w:lang w:val="en-US" w:eastAsia="zh-CN"/>
        </w:rPr>
        <w:t>七、风险防控</w:t>
      </w:r>
      <w:bookmarkEnd w:id="44"/>
      <w:r>
        <w:rPr>
          <w:rFonts w:hint="eastAsia" w:ascii="黑体" w:hAnsi="黑体" w:eastAsia="黑体" w:cs="黑体"/>
          <w:b/>
          <w:sz w:val="32"/>
          <w:szCs w:val="32"/>
          <w:highlight w:val="none"/>
          <w:lang w:val="en-US" w:eastAsia="zh-CN"/>
        </w:rPr>
        <w:t>指引</w:t>
      </w:r>
      <w:bookmarkEnd w:id="45"/>
    </w:p>
    <w:p>
      <w:pPr>
        <w:pStyle w:val="4"/>
        <w:bidi w:val="0"/>
        <w:ind w:firstLine="320" w:firstLineChars="100"/>
        <w:rPr>
          <w:rFonts w:hint="eastAsia" w:ascii="华文楷体" w:hAnsi="华文楷体" w:eastAsia="华文楷体" w:cs="华文楷体"/>
          <w:b/>
          <w:highlight w:val="none"/>
          <w:lang w:val="en-US" w:eastAsia="zh-CN"/>
        </w:rPr>
      </w:pPr>
      <w:bookmarkStart w:id="46" w:name="_Toc202"/>
      <w:r>
        <w:rPr>
          <w:rFonts w:hint="eastAsia" w:ascii="华文楷体" w:hAnsi="华文楷体" w:eastAsia="华文楷体" w:cs="华文楷体"/>
          <w:b/>
          <w:highlight w:val="none"/>
          <w:lang w:val="en-US" w:eastAsia="zh-CN"/>
        </w:rPr>
        <w:t>（一）加强制度建设要求</w:t>
      </w:r>
      <w:bookmarkEnd w:id="46"/>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1.建立健全项目管理制度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统一规范土地平整、土壤培肥改良、灌溉排水、田间道路、农田防护与生态环境保持等建设要求，指导农田基础设施建设、土壤健康状况提升与耕地地力提升建设同步规划设计，同步推进建设。</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2.建立健全内部控制制度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制定、实施内部控制制度，对高标准都市农田建设项目管理风险进行预防和控制，加强事前、事中、事后的监督检查，发现问题及时纠正。严肃工作纪律，树立良好作风，强化风险意识，推进项目建设做到公开透明、廉洁高效，做好高标准都市农田建设项目建设管理风险防控。</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3.建立健全公开公示制度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照《中华人民共和国政府信息公开条例》等有关规定，公开高标准都市农田建设项目建设相关信息，接受社会监督。建立高标准都市农田建设项目市场主体信用信息管理机制，将参与高标准都市农田建设项目建设的勘察、设计、施工、监理、监测、咨询、招标代理、质量检测、机械制造等单位和相关人员纳入信用管理。</w:t>
      </w:r>
    </w:p>
    <w:p>
      <w:pPr>
        <w:pStyle w:val="4"/>
        <w:bidi w:val="0"/>
        <w:ind w:firstLine="320" w:firstLineChars="100"/>
        <w:rPr>
          <w:rFonts w:hint="eastAsia" w:ascii="华文楷体" w:hAnsi="华文楷体" w:eastAsia="华文楷体" w:cs="华文楷体"/>
          <w:b/>
          <w:highlight w:val="none"/>
          <w:lang w:val="en-US" w:eastAsia="zh-CN"/>
        </w:rPr>
      </w:pPr>
      <w:bookmarkStart w:id="47" w:name="_Toc2040"/>
      <w:r>
        <w:rPr>
          <w:rFonts w:hint="eastAsia" w:ascii="华文楷体" w:hAnsi="华文楷体" w:eastAsia="华文楷体" w:cs="华文楷体"/>
          <w:b/>
          <w:highlight w:val="none"/>
          <w:lang w:val="en-US" w:eastAsia="zh-CN"/>
        </w:rPr>
        <w:t>（二）强化监督检查要求</w:t>
      </w:r>
      <w:bookmarkEnd w:id="47"/>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1.高标准都市农田建设实行多方监督，并实行日常稽查、绩效考评和年终考核制度。</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高标准都市农田建设项目全部竣工验收后，在项目区设立统一规范的公示标牌和标志，将项目建设单位、设计单位、施工单位、监理单位、项目年度、建设区域、投资规模以及管护主体等信息进行公示，接受社会和群众监督。</w:t>
      </w:r>
    </w:p>
    <w:p>
      <w:pPr>
        <w:pStyle w:val="4"/>
        <w:bidi w:val="0"/>
        <w:ind w:firstLine="320" w:firstLineChars="100"/>
        <w:rPr>
          <w:rFonts w:hint="eastAsia" w:ascii="华文楷体" w:hAnsi="华文楷体" w:eastAsia="华文楷体" w:cs="华文楷体"/>
          <w:b/>
          <w:highlight w:val="none"/>
          <w:lang w:val="en-US" w:eastAsia="zh-CN"/>
        </w:rPr>
      </w:pPr>
      <w:bookmarkStart w:id="48" w:name="_Toc2941"/>
      <w:r>
        <w:rPr>
          <w:rFonts w:hint="eastAsia" w:ascii="华文楷体" w:hAnsi="华文楷体" w:eastAsia="华文楷体" w:cs="华文楷体"/>
          <w:b/>
          <w:highlight w:val="none"/>
          <w:lang w:val="en-US" w:eastAsia="zh-CN"/>
        </w:rPr>
        <w:t>（三）加强资金监管要求</w:t>
      </w:r>
      <w:bookmarkEnd w:id="48"/>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高标准都市农田建设项目资金管理遵循落实资金、统筹安排、突出重点、规范管理、及时到位、专款专用、绩效管理、奖优罚劣的原则。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严格执行报账制，做到专人管理、专账核算、专款专用，认真核实施工单位上报的建设内容和工程量。</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严禁挤占、滞留、挪用项目资金，严禁超范围、超标准使用项目资金，严禁虚报冒领、骗取套取项目资金。</w:t>
      </w:r>
    </w:p>
    <w:p>
      <w:pPr>
        <w:pStyle w:val="4"/>
        <w:bidi w:val="0"/>
        <w:ind w:firstLine="320" w:firstLineChars="100"/>
        <w:rPr>
          <w:rFonts w:hint="eastAsia" w:ascii="华文楷体" w:hAnsi="华文楷体" w:eastAsia="华文楷体" w:cs="华文楷体"/>
          <w:b/>
          <w:highlight w:val="none"/>
          <w:lang w:val="en-US" w:eastAsia="zh-CN"/>
        </w:rPr>
      </w:pPr>
      <w:bookmarkStart w:id="49" w:name="_Toc4721"/>
      <w:r>
        <w:rPr>
          <w:rFonts w:hint="eastAsia" w:ascii="华文楷体" w:hAnsi="华文楷体" w:eastAsia="华文楷体" w:cs="华文楷体"/>
          <w:b/>
          <w:highlight w:val="none"/>
          <w:lang w:val="en-US" w:eastAsia="zh-CN"/>
        </w:rPr>
        <w:t>（四）强化措施落实要求</w:t>
      </w:r>
      <w:bookmarkEnd w:id="49"/>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高标准都市农田建设项目由上至下实行绩效考评。绩效考评工作按照相关规定规范开展，考评结果作为各级耕地保护责任目标履行情况考核的重要依据。</w:t>
      </w:r>
      <w:bookmarkStart w:id="50" w:name="标准参考文献"/>
      <w:bookmarkEnd w:id="50"/>
    </w:p>
    <w:p>
      <w:pPr>
        <w:pStyle w:val="5"/>
        <w:ind w:left="0" w:leftChars="0" w:firstLine="0" w:firstLineChars="0"/>
        <w:rPr>
          <w:rFonts w:hint="eastAsia" w:ascii="仿宋_GB2312" w:hAnsi="仿宋_GB2312" w:eastAsia="仿宋_GB2312" w:cs="仿宋_GB2312"/>
          <w:sz w:val="32"/>
          <w:szCs w:val="32"/>
          <w:highlight w:val="none"/>
          <w:lang w:val="en-US" w:eastAsia="zh-CN"/>
        </w:rPr>
      </w:pPr>
    </w:p>
    <w:sectPr>
      <w:footerReference r:id="rId4" w:type="default"/>
      <w:pgSz w:w="11906" w:h="16838"/>
      <w:pgMar w:top="1440" w:right="1800" w:bottom="1497"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81B6F-9E78-45F3-8D65-D59458B90B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70F0720-E7A2-4C10-8D23-6DDAB5C08CAA}"/>
  </w:font>
  <w:font w:name="华文楷体">
    <w:panose1 w:val="02010600040101010101"/>
    <w:charset w:val="86"/>
    <w:family w:val="auto"/>
    <w:pitch w:val="default"/>
    <w:sig w:usb0="00000287" w:usb1="080F0000" w:usb2="00000000" w:usb3="00000000" w:csb0="0004009F" w:csb1="DFD70000"/>
    <w:embedRegular r:id="rId3" w:fontKey="{36FBCC40-22F0-469F-900D-96FBBBA5E1B7}"/>
  </w:font>
  <w:font w:name="楷体_GB2312">
    <w:panose1 w:val="02010609030101010101"/>
    <w:charset w:val="86"/>
    <w:family w:val="modern"/>
    <w:pitch w:val="default"/>
    <w:sig w:usb0="00000000" w:usb1="00000000" w:usb2="00000000" w:usb3="00000000" w:csb0="00000000" w:csb1="00000000"/>
    <w:embedRegular r:id="rId4" w:fontKey="{A056CD00-E270-446B-9174-33C43FEAD860}"/>
  </w:font>
  <w:font w:name="方正楷体_GB2312">
    <w:panose1 w:val="02000000000000000000"/>
    <w:charset w:val="86"/>
    <w:family w:val="auto"/>
    <w:pitch w:val="default"/>
    <w:sig w:usb0="00000000" w:usb1="00000000" w:usb2="00000000" w:usb3="00000000" w:csb0="00000000" w:csb1="00000000"/>
    <w:embedRegular r:id="rId5" w:fontKey="{2B60E1F6-5372-42EF-AC96-4F178C3A043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25"/>
      <w:lvlText w:val="%1."/>
      <w:lvlJc w:val="left"/>
      <w:pPr>
        <w:tabs>
          <w:tab w:val="left" w:pos="780"/>
        </w:tabs>
        <w:ind w:left="780" w:leftChars="200" w:hanging="360" w:hangingChars="200"/>
      </w:pPr>
    </w:lvl>
  </w:abstractNum>
  <w:abstractNum w:abstractNumId="1">
    <w:nsid w:val="3786DBEC"/>
    <w:multiLevelType w:val="multilevel"/>
    <w:tmpl w:val="3786DBEC"/>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FB8D685"/>
    <w:multiLevelType w:val="multilevel"/>
    <w:tmpl w:val="3FB8D685"/>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18CC70"/>
    <w:multiLevelType w:val="singleLevel"/>
    <w:tmpl w:val="4718CC70"/>
    <w:lvl w:ilvl="0" w:tentative="0">
      <w:start w:val="4"/>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mJhZTRmZjhlMWI1NzZlZDFkNzlkZjVjNDY2OTAifQ=="/>
  </w:docVars>
  <w:rsids>
    <w:rsidRoot w:val="33FC39F9"/>
    <w:rsid w:val="03831236"/>
    <w:rsid w:val="044A7432"/>
    <w:rsid w:val="16595146"/>
    <w:rsid w:val="1A863BD2"/>
    <w:rsid w:val="1E5D1903"/>
    <w:rsid w:val="1EC13FF0"/>
    <w:rsid w:val="246819EB"/>
    <w:rsid w:val="275B2A76"/>
    <w:rsid w:val="28987EE3"/>
    <w:rsid w:val="2CAA0505"/>
    <w:rsid w:val="2E76670C"/>
    <w:rsid w:val="31531851"/>
    <w:rsid w:val="31DB48B2"/>
    <w:rsid w:val="32FD6215"/>
    <w:rsid w:val="33FC39F9"/>
    <w:rsid w:val="394A2C6F"/>
    <w:rsid w:val="3E7E7642"/>
    <w:rsid w:val="3F997CF7"/>
    <w:rsid w:val="40383C64"/>
    <w:rsid w:val="46E833BF"/>
    <w:rsid w:val="482F19AD"/>
    <w:rsid w:val="483C2E6B"/>
    <w:rsid w:val="498F6EDA"/>
    <w:rsid w:val="53413565"/>
    <w:rsid w:val="58361E12"/>
    <w:rsid w:val="587877A2"/>
    <w:rsid w:val="58B75CC9"/>
    <w:rsid w:val="59AD6BD6"/>
    <w:rsid w:val="5A026F22"/>
    <w:rsid w:val="60CD491F"/>
    <w:rsid w:val="62440073"/>
    <w:rsid w:val="631D33EC"/>
    <w:rsid w:val="668D3636"/>
    <w:rsid w:val="67FB3202"/>
    <w:rsid w:val="694110E9"/>
    <w:rsid w:val="69967687"/>
    <w:rsid w:val="6A1759D5"/>
    <w:rsid w:val="6BF60DE5"/>
    <w:rsid w:val="6C994D92"/>
    <w:rsid w:val="6EFC474B"/>
    <w:rsid w:val="71035A81"/>
    <w:rsid w:val="751D0C5C"/>
    <w:rsid w:val="76CD220E"/>
    <w:rsid w:val="7780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footer"/>
    <w:basedOn w:val="1"/>
    <w:semiHidden/>
    <w:qFormat/>
    <w:uiPriority w:val="0"/>
    <w:pPr>
      <w:tabs>
        <w:tab w:val="center" w:pos="4153"/>
        <w:tab w:val="right" w:pos="8306"/>
      </w:tabs>
      <w:snapToGrid w:val="0"/>
      <w:ind w:right="210" w:rightChars="100"/>
      <w:jc w:val="righ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Subtitle"/>
    <w:basedOn w:val="1"/>
    <w:next w:val="1"/>
    <w:qFormat/>
    <w:uiPriority w:val="11"/>
    <w:pPr>
      <w:spacing w:before="240" w:after="60" w:line="312" w:lineRule="auto"/>
      <w:jc w:val="center"/>
      <w:outlineLvl w:val="1"/>
    </w:pPr>
    <w:rPr>
      <w:b/>
      <w:kern w:val="28"/>
      <w:sz w:val="32"/>
      <w:szCs w:val="32"/>
    </w:rPr>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page number"/>
    <w:basedOn w:val="14"/>
    <w:semiHidden/>
    <w:qFormat/>
    <w:uiPriority w:val="0"/>
    <w:rPr>
      <w:rFonts w:ascii="Times New Roman" w:hAnsi="Times New Roman" w:eastAsia="宋体"/>
      <w:sz w:val="18"/>
    </w:rPr>
  </w:style>
  <w:style w:type="character" w:styleId="17">
    <w:name w:val="Emphasis"/>
    <w:basedOn w:val="14"/>
    <w:qFormat/>
    <w:uiPriority w:val="0"/>
  </w:style>
  <w:style w:type="character" w:styleId="18">
    <w:name w:val="Hyperlink"/>
    <w:basedOn w:val="14"/>
    <w:qFormat/>
    <w:uiPriority w:val="0"/>
    <w:rPr>
      <w:color w:val="0000FF"/>
      <w:u w:val="single"/>
    </w:rPr>
  </w:style>
  <w:style w:type="character" w:styleId="19">
    <w:name w:val="HTML Cite"/>
    <w:basedOn w:val="14"/>
    <w:qFormat/>
    <w:uiPriority w:val="0"/>
  </w:style>
  <w:style w:type="paragraph" w:customStyle="1" w:styleId="20">
    <w:name w:val="一级条标题"/>
    <w:next w:val="21"/>
    <w:qFormat/>
    <w:uiPriority w:val="0"/>
    <w:pPr>
      <w:spacing w:beforeLines="50" w:afterLines="50"/>
    </w:pPr>
    <w:rPr>
      <w:rFonts w:ascii="黑体" w:hAnsi="Times New Roman" w:eastAsia="黑体" w:cs="Times New Roman"/>
      <w:sz w:val="21"/>
      <w:szCs w:val="21"/>
      <w:lang w:val="en-US" w:eastAsia="zh-CN" w:bidi="ar-SA"/>
    </w:rPr>
  </w:style>
  <w:style w:type="paragraph" w:customStyle="1" w:styleId="21">
    <w:name w:val="段"/>
    <w:qFormat/>
    <w:uiPriority w:val="0"/>
    <w:pPr>
      <w:ind w:firstLine="200" w:firstLineChars="200"/>
      <w:jc w:val="both"/>
    </w:pPr>
    <w:rPr>
      <w:rFonts w:ascii="宋体" w:hAnsi="Times New Roman" w:eastAsia="宋体" w:cs="Times New Roman"/>
      <w:sz w:val="21"/>
      <w:lang w:val="en-US" w:eastAsia="zh-CN" w:bidi="ar-SA"/>
    </w:rPr>
  </w:style>
  <w:style w:type="paragraph" w:styleId="22">
    <w:name w:val="List Paragraph"/>
    <w:basedOn w:val="1"/>
    <w:qFormat/>
    <w:uiPriority w:val="99"/>
    <w:pPr>
      <w:ind w:firstLine="420" w:firstLineChars="200"/>
    </w:pPr>
  </w:style>
  <w:style w:type="paragraph" w:customStyle="1" w:styleId="23">
    <w:name w:val="章标题"/>
    <w:next w:val="2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bsharetext"/>
    <w:basedOn w:val="14"/>
    <w:qFormat/>
    <w:uiPriority w:val="0"/>
  </w:style>
  <w:style w:type="paragraph" w:customStyle="1" w:styleId="31">
    <w:name w:val="文件正文"/>
    <w:basedOn w:val="10"/>
    <w:qFormat/>
    <w:uiPriority w:val="2"/>
    <w:pPr>
      <w:spacing w:before="0" w:after="0" w:line="560" w:lineRule="exact"/>
      <w:ind w:firstLine="622" w:firstLineChars="200"/>
      <w:jc w:val="both"/>
      <w:outlineLvl w:val="9"/>
    </w:pPr>
    <w:rPr>
      <w:rFonts w:ascii="仿宋_GB2312" w:hAnsi="仿宋_GB2312" w:eastAsia="仿宋_GB2312" w:cs="仿宋_GB2312"/>
      <w:b w:val="0"/>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10507</Words>
  <Characters>10884</Characters>
  <Lines>0</Lines>
  <Paragraphs>0</Paragraphs>
  <TotalTime>1</TotalTime>
  <ScaleCrop>false</ScaleCrop>
  <LinksUpToDate>false</LinksUpToDate>
  <CharactersWithSpaces>11048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2022-07-08T03:21:00Z</dcterms:created>
  <dc:creator>123</dc:creator>
  <cp:lastModifiedBy>胡熠</cp:lastModifiedBy>
  <dcterms:modified xsi:type="dcterms:W3CDTF">2022-11-30T01:47:18Z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A7E15C53547749D197953EC970BC8142</vt:lpwstr>
  </property>
</Properties>
</file>