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ageBreakBefore w:val="0"/>
        <w:kinsoku/>
        <w:wordWrap/>
        <w:overflowPunct/>
        <w:topLinePunct w:val="0"/>
        <w:autoSpaceDE/>
        <w:autoSpaceDN/>
        <w:bidi w:val="0"/>
        <w:spacing w:before="0" w:after="0" w:line="560" w:lineRule="exact"/>
        <w:textAlignment w:val="auto"/>
        <w:rPr>
          <w:sz w:val="44"/>
          <w:szCs w:val="44"/>
          <w:highlight w:val="none"/>
        </w:rPr>
      </w:pPr>
    </w:p>
    <w:p>
      <w:pPr>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项目采购需求文件</w:t>
      </w:r>
    </w:p>
    <w:p>
      <w:pPr>
        <w:pageBreakBefore w:val="0"/>
        <w:kinsoku/>
        <w:wordWrap/>
        <w:overflowPunct/>
        <w:topLinePunct w:val="0"/>
        <w:autoSpaceDE/>
        <w:autoSpaceDN/>
        <w:bidi w:val="0"/>
        <w:spacing w:line="560" w:lineRule="exact"/>
        <w:jc w:val="center"/>
        <w:textAlignment w:val="auto"/>
        <w:rPr>
          <w:rFonts w:ascii="黑体" w:eastAsia="黑体"/>
          <w:sz w:val="44"/>
          <w:szCs w:val="44"/>
          <w:highlight w:val="none"/>
        </w:rPr>
      </w:pPr>
    </w:p>
    <w:p>
      <w:pPr>
        <w:pageBreakBefore w:val="0"/>
        <w:kinsoku/>
        <w:wordWrap/>
        <w:overflowPunct/>
        <w:topLinePunct w:val="0"/>
        <w:autoSpaceDE/>
        <w:autoSpaceDN/>
        <w:bidi w:val="0"/>
        <w:spacing w:line="560" w:lineRule="exact"/>
        <w:jc w:val="center"/>
        <w:textAlignment w:val="auto"/>
        <w:rPr>
          <w:rFonts w:ascii="黑体" w:eastAsia="黑体"/>
          <w:sz w:val="36"/>
          <w:szCs w:val="36"/>
          <w:highlight w:val="none"/>
        </w:rPr>
      </w:pPr>
      <w:r>
        <w:rPr>
          <w:rFonts w:hint="eastAsia" w:ascii="黑体" w:eastAsia="黑体"/>
          <w:sz w:val="36"/>
          <w:szCs w:val="36"/>
          <w:highlight w:val="none"/>
        </w:rPr>
        <w:t>目  录</w:t>
      </w:r>
    </w:p>
    <w:p>
      <w:pPr>
        <w:pageBreakBefore w:val="0"/>
        <w:kinsoku/>
        <w:wordWrap/>
        <w:overflowPunct/>
        <w:topLinePunct w:val="0"/>
        <w:autoSpaceDE/>
        <w:autoSpaceDN/>
        <w:bidi w:val="0"/>
        <w:spacing w:line="560" w:lineRule="exact"/>
        <w:textAlignment w:val="auto"/>
        <w:rPr>
          <w:rFonts w:ascii="仿宋_GB2312" w:eastAsia="仿宋_GB2312"/>
          <w:sz w:val="32"/>
          <w:szCs w:val="32"/>
          <w:highlight w:val="none"/>
        </w:rPr>
      </w:pPr>
      <w:r>
        <w:rPr>
          <w:rFonts w:hint="eastAsia" w:ascii="仿宋_GB2312" w:eastAsia="仿宋_GB2312"/>
          <w:sz w:val="32"/>
          <w:szCs w:val="32"/>
          <w:highlight w:val="none"/>
        </w:rPr>
        <w:t>第一章：竞选邀请</w:t>
      </w:r>
    </w:p>
    <w:p>
      <w:pPr>
        <w:pageBreakBefore w:val="0"/>
        <w:kinsoku/>
        <w:wordWrap/>
        <w:overflowPunct/>
        <w:topLinePunct w:val="0"/>
        <w:autoSpaceDE/>
        <w:autoSpaceDN/>
        <w:bidi w:val="0"/>
        <w:spacing w:line="560" w:lineRule="exact"/>
        <w:textAlignment w:val="auto"/>
        <w:rPr>
          <w:rFonts w:ascii="仿宋_GB2312" w:eastAsia="仿宋_GB2312"/>
          <w:sz w:val="32"/>
          <w:szCs w:val="32"/>
          <w:highlight w:val="none"/>
        </w:rPr>
      </w:pPr>
      <w:r>
        <w:rPr>
          <w:rFonts w:hint="eastAsia" w:ascii="仿宋_GB2312" w:eastAsia="仿宋_GB2312"/>
          <w:sz w:val="32"/>
          <w:szCs w:val="32"/>
          <w:highlight w:val="none"/>
        </w:rPr>
        <w:t>第二章：采购项目要求</w:t>
      </w:r>
    </w:p>
    <w:p>
      <w:pPr>
        <w:pageBreakBefore w:val="0"/>
        <w:kinsoku/>
        <w:wordWrap/>
        <w:overflowPunct/>
        <w:topLinePunct w:val="0"/>
        <w:autoSpaceDE/>
        <w:autoSpaceDN/>
        <w:bidi w:val="0"/>
        <w:spacing w:line="560" w:lineRule="exact"/>
        <w:textAlignment w:val="auto"/>
        <w:rPr>
          <w:rFonts w:ascii="仿宋_GB2312" w:eastAsia="仿宋_GB2312"/>
          <w:sz w:val="32"/>
          <w:szCs w:val="32"/>
          <w:highlight w:val="none"/>
        </w:rPr>
      </w:pPr>
      <w:r>
        <w:rPr>
          <w:rFonts w:hint="eastAsia" w:ascii="仿宋_GB2312" w:eastAsia="仿宋_GB2312"/>
          <w:sz w:val="32"/>
          <w:szCs w:val="32"/>
          <w:highlight w:val="none"/>
        </w:rPr>
        <w:t xml:space="preserve">        第一部分   项目说明</w:t>
      </w:r>
    </w:p>
    <w:p>
      <w:pPr>
        <w:pageBreakBefore w:val="0"/>
        <w:kinsoku/>
        <w:wordWrap/>
        <w:overflowPunct/>
        <w:topLinePunct w:val="0"/>
        <w:autoSpaceDE/>
        <w:autoSpaceDN/>
        <w:bidi w:val="0"/>
        <w:spacing w:line="560" w:lineRule="exact"/>
        <w:textAlignment w:val="auto"/>
        <w:rPr>
          <w:rFonts w:ascii="仿宋_GB2312" w:eastAsia="仿宋_GB2312"/>
          <w:sz w:val="32"/>
          <w:szCs w:val="32"/>
          <w:highlight w:val="none"/>
        </w:rPr>
      </w:pPr>
      <w:r>
        <w:rPr>
          <w:rFonts w:hint="eastAsia" w:ascii="仿宋_GB2312" w:eastAsia="仿宋_GB2312"/>
          <w:sz w:val="32"/>
          <w:szCs w:val="32"/>
          <w:highlight w:val="none"/>
        </w:rPr>
        <w:t xml:space="preserve">        第二部分   项目评分</w:t>
      </w:r>
    </w:p>
    <w:p>
      <w:pPr>
        <w:pageBreakBefore w:val="0"/>
        <w:kinsoku/>
        <w:wordWrap/>
        <w:overflowPunct/>
        <w:topLinePunct w:val="0"/>
        <w:autoSpaceDE/>
        <w:autoSpaceDN/>
        <w:bidi w:val="0"/>
        <w:spacing w:line="560" w:lineRule="exact"/>
        <w:ind w:firstLine="1280" w:firstLineChars="400"/>
        <w:textAlignment w:val="auto"/>
        <w:rPr>
          <w:rFonts w:ascii="仿宋_GB2312" w:eastAsia="仿宋_GB2312"/>
          <w:sz w:val="32"/>
          <w:szCs w:val="32"/>
          <w:highlight w:val="none"/>
        </w:rPr>
      </w:pPr>
      <w:r>
        <w:rPr>
          <w:rFonts w:hint="eastAsia" w:ascii="仿宋_GB2312" w:eastAsia="仿宋_GB2312"/>
          <w:sz w:val="32"/>
          <w:szCs w:val="32"/>
          <w:highlight w:val="none"/>
        </w:rPr>
        <w:t>第三部分   供应商资格要求</w:t>
      </w:r>
    </w:p>
    <w:p>
      <w:pPr>
        <w:pageBreakBefore w:val="0"/>
        <w:kinsoku/>
        <w:wordWrap/>
        <w:overflowPunct/>
        <w:topLinePunct w:val="0"/>
        <w:autoSpaceDE/>
        <w:autoSpaceDN/>
        <w:bidi w:val="0"/>
        <w:spacing w:line="560" w:lineRule="exact"/>
        <w:ind w:firstLine="1280" w:firstLineChars="400"/>
        <w:textAlignment w:val="auto"/>
        <w:rPr>
          <w:rFonts w:ascii="仿宋_GB2312" w:eastAsia="仿宋_GB2312"/>
          <w:sz w:val="32"/>
          <w:szCs w:val="32"/>
          <w:highlight w:val="none"/>
        </w:rPr>
      </w:pPr>
      <w:r>
        <w:rPr>
          <w:rFonts w:hint="eastAsia" w:ascii="仿宋_GB2312" w:eastAsia="仿宋_GB2312"/>
          <w:sz w:val="32"/>
          <w:szCs w:val="32"/>
          <w:highlight w:val="none"/>
        </w:rPr>
        <w:t>第四部分   采购需求文件的构成及递交</w:t>
      </w:r>
    </w:p>
    <w:p>
      <w:pPr>
        <w:pageBreakBefore w:val="0"/>
        <w:kinsoku/>
        <w:wordWrap/>
        <w:overflowPunct/>
        <w:topLinePunct w:val="0"/>
        <w:autoSpaceDE/>
        <w:autoSpaceDN/>
        <w:bidi w:val="0"/>
        <w:spacing w:line="560" w:lineRule="exact"/>
        <w:textAlignment w:val="auto"/>
        <w:rPr>
          <w:rFonts w:ascii="仿宋_GB2312" w:eastAsia="仿宋_GB2312"/>
          <w:sz w:val="32"/>
          <w:szCs w:val="32"/>
          <w:highlight w:val="none"/>
        </w:rPr>
      </w:pPr>
      <w:r>
        <w:rPr>
          <w:rFonts w:hint="eastAsia" w:ascii="仿宋_GB2312" w:eastAsia="仿宋_GB2312"/>
          <w:sz w:val="32"/>
          <w:szCs w:val="32"/>
          <w:highlight w:val="none"/>
        </w:rPr>
        <w:t>第三章：附件</w:t>
      </w:r>
    </w:p>
    <w:p>
      <w:pPr>
        <w:pageBreakBefore w:val="0"/>
        <w:kinsoku/>
        <w:wordWrap/>
        <w:overflowPunct/>
        <w:topLinePunct w:val="0"/>
        <w:autoSpaceDE/>
        <w:autoSpaceDN/>
        <w:bidi w:val="0"/>
        <w:spacing w:line="560" w:lineRule="exact"/>
        <w:textAlignment w:val="auto"/>
        <w:rPr>
          <w:rFonts w:ascii="仿宋_GB2312" w:eastAsia="仿宋_GB2312"/>
          <w:sz w:val="32"/>
          <w:szCs w:val="32"/>
          <w:highlight w:val="none"/>
        </w:rPr>
      </w:pPr>
      <w:r>
        <w:rPr>
          <w:rFonts w:hint="eastAsia" w:ascii="仿宋_GB2312" w:eastAsia="仿宋_GB2312"/>
          <w:sz w:val="32"/>
          <w:szCs w:val="32"/>
          <w:highlight w:val="none"/>
        </w:rPr>
        <w:t xml:space="preserve">        1.响应一览表</w:t>
      </w:r>
    </w:p>
    <w:p>
      <w:pPr>
        <w:pageBreakBefore w:val="0"/>
        <w:kinsoku/>
        <w:wordWrap/>
        <w:overflowPunct/>
        <w:topLinePunct w:val="0"/>
        <w:autoSpaceDE/>
        <w:autoSpaceDN/>
        <w:bidi w:val="0"/>
        <w:spacing w:line="560" w:lineRule="exact"/>
        <w:ind w:firstLine="1280" w:firstLineChars="400"/>
        <w:textAlignment w:val="auto"/>
        <w:rPr>
          <w:rFonts w:ascii="仿宋_GB2312" w:eastAsia="仿宋_GB2312"/>
          <w:sz w:val="32"/>
          <w:szCs w:val="32"/>
          <w:highlight w:val="none"/>
        </w:rPr>
      </w:pPr>
      <w:r>
        <w:rPr>
          <w:rFonts w:hint="eastAsia" w:ascii="仿宋_GB2312" w:eastAsia="仿宋_GB2312"/>
          <w:sz w:val="32"/>
          <w:szCs w:val="32"/>
          <w:highlight w:val="none"/>
        </w:rPr>
        <w:t>2.政府采购履约情况评价表</w:t>
      </w:r>
    </w:p>
    <w:p>
      <w:pPr>
        <w:pageBreakBefore w:val="0"/>
        <w:kinsoku/>
        <w:wordWrap/>
        <w:overflowPunct/>
        <w:topLinePunct w:val="0"/>
        <w:autoSpaceDE/>
        <w:autoSpaceDN/>
        <w:bidi w:val="0"/>
        <w:spacing w:line="560" w:lineRule="exact"/>
        <w:textAlignment w:val="auto"/>
        <w:rPr>
          <w:rFonts w:ascii="仿宋_GB2312" w:eastAsia="仿宋_GB2312"/>
          <w:sz w:val="32"/>
          <w:szCs w:val="32"/>
          <w:highlight w:val="none"/>
        </w:rPr>
      </w:pP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highlight w:val="none"/>
        </w:rPr>
      </w:pP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highlight w:val="none"/>
        </w:rPr>
      </w:pP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highlight w:val="none"/>
        </w:rPr>
      </w:pP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highlight w:val="none"/>
        </w:rPr>
      </w:pP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highlight w:val="none"/>
        </w:rPr>
        <w:sectPr>
          <w:headerReference r:id="rId3" w:type="default"/>
          <w:footerReference r:id="rId4" w:type="default"/>
          <w:pgSz w:w="11906" w:h="16838"/>
          <w:pgMar w:top="2098" w:right="1474" w:bottom="1984" w:left="1587" w:header="851" w:footer="992" w:gutter="0"/>
          <w:pgNumType w:fmt="numberInDash"/>
          <w:cols w:space="720" w:num="1"/>
          <w:docGrid w:type="lines" w:linePitch="312" w:charSpace="0"/>
        </w:sectPr>
      </w:pPr>
    </w:p>
    <w:p>
      <w:pPr>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cs="黑体"/>
          <w:sz w:val="36"/>
          <w:szCs w:val="36"/>
          <w:highlight w:val="none"/>
        </w:rPr>
      </w:pPr>
      <w:r>
        <w:rPr>
          <w:rFonts w:hint="eastAsia" w:ascii="黑体" w:hAnsi="黑体" w:eastAsia="黑体" w:cs="黑体"/>
          <w:sz w:val="36"/>
          <w:szCs w:val="36"/>
          <w:highlight w:val="none"/>
        </w:rPr>
        <w:t>第一章  竞选邀请</w:t>
      </w:r>
    </w:p>
    <w:p>
      <w:pPr>
        <w:pageBreakBefore w:val="0"/>
        <w:kinsoku/>
        <w:wordWrap/>
        <w:overflowPunct/>
        <w:topLinePunct w:val="0"/>
        <w:autoSpaceDE/>
        <w:autoSpaceDN/>
        <w:bidi w:val="0"/>
        <w:adjustRightInd/>
        <w:snapToGrid/>
        <w:spacing w:line="560" w:lineRule="exact"/>
        <w:textAlignment w:val="auto"/>
        <w:rPr>
          <w:rFonts w:ascii="仿宋_GB2312" w:eastAsia="仿宋_GB2312"/>
          <w:sz w:val="32"/>
          <w:szCs w:val="32"/>
          <w:highlight w:val="none"/>
          <w:u w:val="single"/>
        </w:rPr>
      </w:pP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highlight w:val="none"/>
        </w:rPr>
        <w:t>一、采购项目名称：</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ascii="仿宋_GB2312" w:hAnsi="仿宋_GB2312" w:eastAsia="仿宋_GB2312" w:cs="仿宋_GB2312"/>
          <w:sz w:val="32"/>
          <w:szCs w:val="32"/>
        </w:rPr>
        <w:t>年</w:t>
      </w:r>
      <w:r>
        <w:rPr>
          <w:rFonts w:hint="eastAsia" w:ascii="仿宋_GB2312" w:hAnsi="仿宋_GB2312" w:eastAsia="仿宋_GB2312" w:cs="仿宋_GB2312"/>
          <w:b w:val="0"/>
          <w:sz w:val="32"/>
          <w:szCs w:val="32"/>
        </w:rPr>
        <w:t>旅游景区景点</w:t>
      </w:r>
      <w:r>
        <w:rPr>
          <w:rFonts w:hint="eastAsia" w:ascii="仿宋_GB2312" w:hAnsi="仿宋_GB2312" w:eastAsia="仿宋_GB2312" w:cs="仿宋_GB2312"/>
          <w:b w:val="0"/>
          <w:sz w:val="32"/>
          <w:szCs w:val="32"/>
          <w:lang w:val="en-US" w:eastAsia="zh-CN"/>
        </w:rPr>
        <w:t>公共安全隐患</w:t>
      </w:r>
      <w:r>
        <w:rPr>
          <w:rFonts w:hint="eastAsia" w:ascii="仿宋_GB2312" w:hAnsi="仿宋_GB2312" w:eastAsia="仿宋_GB2312" w:cs="仿宋_GB2312"/>
          <w:b w:val="0"/>
          <w:sz w:val="32"/>
          <w:szCs w:val="32"/>
        </w:rPr>
        <w:t>专项</w:t>
      </w:r>
      <w:r>
        <w:rPr>
          <w:rFonts w:hint="eastAsia" w:ascii="仿宋_GB2312" w:hAnsi="仿宋_GB2312" w:eastAsia="仿宋_GB2312" w:cs="仿宋_GB2312"/>
          <w:b w:val="0"/>
          <w:sz w:val="32"/>
          <w:szCs w:val="32"/>
          <w:lang w:val="en-US" w:eastAsia="zh-CN"/>
        </w:rPr>
        <w:t>排查</w:t>
      </w:r>
      <w:r>
        <w:rPr>
          <w:rFonts w:hint="eastAsia" w:ascii="仿宋_GB2312" w:hAnsi="仿宋_GB2312" w:eastAsia="仿宋_GB2312" w:cs="仿宋_GB2312"/>
          <w:b w:val="0"/>
          <w:sz w:val="32"/>
          <w:szCs w:val="32"/>
        </w:rPr>
        <w:t>服务</w:t>
      </w:r>
    </w:p>
    <w:p>
      <w:pPr>
        <w:spacing w:line="56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二、警示条款：</w:t>
      </w:r>
      <w:r>
        <w:rPr>
          <w:rFonts w:hint="eastAsia" w:ascii="仿宋_GB2312" w:hAnsi="仿宋_GB2312" w:eastAsia="仿宋_GB2312" w:cs="仿宋_GB2312"/>
          <w:sz w:val="32"/>
          <w:szCs w:val="32"/>
        </w:rPr>
        <w:t>光明区文化广电旅游体育局有权对所有投标供应商就本项目招标文件要求提供的相关证明材料（原件）进行审查。供应商提供虚假资料被查实的，则可能面临被取消本项目中标资格、列入不良行为记录名单且三年内禁止参与本单位采购活动的风险。</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highlight w:val="none"/>
        </w:rPr>
        <w:t>三、答疑事项：</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日18时前凡有任何疑问的，请径向我单位咨询，逾期不予受理。</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、采购时间：</w:t>
      </w:r>
      <w:r>
        <w:rPr>
          <w:rFonts w:hint="eastAsia" w:ascii="仿宋_GB2312" w:hAnsi="仿宋_GB2312" w:eastAsia="仿宋_GB2312" w:cs="仿宋_GB2312"/>
          <w:sz w:val="32"/>
          <w:szCs w:val="32"/>
        </w:rPr>
        <w:t>所有投标文件纸质版应于202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日18时00分(北京时间)之前提交6份到我单位，同时提供电子版或扫描版材料发送到（wgltcyk@szgm.gov.cn）。</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五、组织评审：</w:t>
      </w:r>
      <w:r>
        <w:rPr>
          <w:rFonts w:hint="eastAsia" w:ascii="仿宋_GB2312" w:hAnsi="仿宋_GB2312" w:eastAsia="仿宋_GB2312" w:cs="仿宋_GB2312"/>
          <w:sz w:val="32"/>
          <w:szCs w:val="32"/>
          <w:highlight w:val="none"/>
        </w:rPr>
        <w:t>如需参加评审，时间、地点另行</w:t>
      </w:r>
      <w:r>
        <w:rPr>
          <w:rFonts w:ascii="仿宋_GB2312" w:hAnsi="仿宋_GB2312" w:eastAsia="仿宋_GB2312" w:cs="仿宋_GB2312"/>
          <w:sz w:val="32"/>
          <w:szCs w:val="32"/>
          <w:highlight w:val="none"/>
        </w:rPr>
        <w:t>通知</w:t>
      </w:r>
      <w:r>
        <w:rPr>
          <w:rFonts w:hint="eastAsia" w:ascii="仿宋_GB2312" w:hAnsi="仿宋_GB2312" w:eastAsia="仿宋_GB2312" w:cs="仿宋_GB2312"/>
          <w:sz w:val="32"/>
          <w:szCs w:val="32"/>
          <w:highlight w:val="none"/>
        </w:rPr>
        <w:t>。</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六、采购结果公示：</w:t>
      </w:r>
      <w:r>
        <w:rPr>
          <w:rFonts w:hint="eastAsia" w:ascii="仿宋_GB2312" w:hAnsi="仿宋_GB2312" w:eastAsia="仿宋_GB2312" w:cs="仿宋_GB2312"/>
          <w:sz w:val="32"/>
          <w:szCs w:val="32"/>
          <w:highlight w:val="none"/>
        </w:rPr>
        <w:t>确定后将在光明区政府在线网站公示</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日。</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highlight w:val="none"/>
        </w:rPr>
        <w:t>七、免责声明：</w:t>
      </w:r>
      <w:r>
        <w:rPr>
          <w:rFonts w:hint="eastAsia" w:ascii="仿宋_GB2312" w:hAnsi="仿宋_GB2312" w:eastAsia="仿宋_GB2312" w:cs="仿宋_GB2312"/>
          <w:sz w:val="32"/>
          <w:szCs w:val="32"/>
        </w:rPr>
        <w:t>在采购过程或合同执行过程中，若因</w:t>
      </w:r>
      <w:r>
        <w:rPr>
          <w:rFonts w:hint="eastAsia" w:ascii="仿宋_GB2312" w:hAnsi="仿宋_GB2312" w:eastAsia="仿宋_GB2312" w:cs="仿宋_GB2312"/>
          <w:sz w:val="32"/>
          <w:szCs w:val="32"/>
          <w:lang w:val="en-US" w:eastAsia="zh-CN"/>
        </w:rPr>
        <w:t>公共卫生事件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自然灾害、社会异常事件</w:t>
      </w:r>
      <w:r>
        <w:rPr>
          <w:rFonts w:hint="eastAsia" w:ascii="仿宋_GB2312" w:hAnsi="仿宋_GB2312" w:eastAsia="仿宋_GB2312" w:cs="仿宋_GB2312"/>
          <w:sz w:val="32"/>
          <w:szCs w:val="32"/>
        </w:rPr>
        <w:t>等不可抗力因素，导</w:t>
      </w:r>
      <w:r>
        <w:rPr>
          <w:rFonts w:hint="eastAsia" w:ascii="仿宋_GB2312" w:hAnsi="仿宋_GB2312" w:eastAsia="仿宋_GB2312" w:cs="仿宋_GB2312"/>
          <w:sz w:val="32"/>
          <w:szCs w:val="32"/>
          <w:lang w:val="en-US" w:eastAsia="zh-CN"/>
        </w:rPr>
        <w:t>致</w:t>
      </w:r>
      <w:r>
        <w:rPr>
          <w:rFonts w:hint="eastAsia" w:ascii="仿宋_GB2312" w:hAnsi="仿宋_GB2312" w:eastAsia="仿宋_GB2312" w:cs="仿宋_GB2312"/>
          <w:sz w:val="32"/>
          <w:szCs w:val="32"/>
        </w:rPr>
        <w:t>检查工作延期或取消，经甲、乙双方共同协商，可延迟或终止本次采购或合同。</w:t>
      </w:r>
    </w:p>
    <w:p>
      <w:pPr>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highlight w:val="none"/>
        </w:rPr>
      </w:pPr>
      <w:r>
        <w:rPr>
          <w:rFonts w:hint="eastAsia" w:ascii="黑体" w:hAnsi="黑体" w:eastAsia="黑体" w:cs="黑体"/>
          <w:sz w:val="32"/>
          <w:szCs w:val="32"/>
          <w:highlight w:val="none"/>
        </w:rPr>
        <w:t>八、如有疑问请与我们联系，联系方式：</w:t>
      </w:r>
    </w:p>
    <w:p>
      <w:pPr>
        <w:spacing w:line="560" w:lineRule="exact"/>
        <w:ind w:firstLine="640" w:firstLineChars="200"/>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rPr>
        <w:t>详细地址：</w:t>
      </w:r>
      <w:r>
        <w:rPr>
          <w:rFonts w:hint="eastAsia" w:ascii="仿宋_GB2312" w:hAnsi="仿宋_GB2312" w:eastAsia="仿宋_GB2312" w:cs="仿宋_GB2312"/>
          <w:sz w:val="32"/>
          <w:szCs w:val="32"/>
          <w:highlight w:val="none"/>
          <w:lang w:val="en-US" w:eastAsia="zh-CN"/>
        </w:rPr>
        <w:t>深圳市</w:t>
      </w:r>
      <w:r>
        <w:rPr>
          <w:rFonts w:hint="eastAsia" w:ascii="仿宋_GB2312" w:hAnsi="仿宋_GB2312" w:eastAsia="仿宋_GB2312" w:cs="仿宋_GB2312"/>
          <w:sz w:val="32"/>
          <w:szCs w:val="32"/>
        </w:rPr>
        <w:t>光明区</w:t>
      </w:r>
      <w:r>
        <w:rPr>
          <w:rFonts w:hint="eastAsia" w:ascii="仿宋_GB2312" w:hAnsi="仿宋_GB2312" w:eastAsia="仿宋_GB2312" w:cs="仿宋_GB2312"/>
          <w:sz w:val="32"/>
          <w:szCs w:val="32"/>
          <w:lang w:val="en-US" w:eastAsia="zh-CN"/>
        </w:rPr>
        <w:t>玉塘街道同仁路科润大厦A座16楼1617</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室</w:t>
      </w:r>
    </w:p>
    <w:p>
      <w:pPr>
        <w:pageBreakBefore w:val="0"/>
        <w:kinsoku/>
        <w:wordWrap/>
        <w:overflowPunct/>
        <w:topLinePunct w:val="0"/>
        <w:autoSpaceDE/>
        <w:autoSpaceDN/>
        <w:bidi w:val="0"/>
        <w:adjustRightInd/>
        <w:snapToGrid/>
        <w:spacing w:line="560" w:lineRule="exact"/>
        <w:ind w:firstLine="640" w:firstLineChars="200"/>
        <w:textAlignment w:val="auto"/>
        <w:outlineLvl w:val="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rPr>
        <w:t>咨询电话：</w:t>
      </w:r>
      <w:r>
        <w:rPr>
          <w:rFonts w:hint="eastAsia" w:ascii="仿宋_GB2312" w:hAnsi="仿宋_GB2312" w:eastAsia="仿宋_GB2312" w:cs="仿宋_GB2312"/>
          <w:sz w:val="32"/>
          <w:szCs w:val="32"/>
          <w:lang w:val="en-US" w:eastAsia="zh-CN"/>
        </w:rPr>
        <w:t>0755-</w:t>
      </w:r>
      <w:r>
        <w:rPr>
          <w:rFonts w:hint="eastAsia" w:ascii="仿宋_GB2312" w:hAnsi="仿宋_GB2312" w:eastAsia="仿宋_GB2312" w:cs="仿宋_GB2312"/>
          <w:sz w:val="32"/>
          <w:szCs w:val="32"/>
        </w:rPr>
        <w:t>8821</w:t>
      </w:r>
      <w:r>
        <w:rPr>
          <w:rFonts w:hint="eastAsia" w:ascii="仿宋_GB2312" w:hAnsi="仿宋_GB2312" w:eastAsia="仿宋_GB2312" w:cs="仿宋_GB2312"/>
          <w:sz w:val="32"/>
          <w:szCs w:val="32"/>
          <w:lang w:val="en-US" w:eastAsia="zh-CN"/>
        </w:rPr>
        <w:t>3429</w:t>
      </w:r>
    </w:p>
    <w:p>
      <w:pPr>
        <w:pageBreakBefore w:val="0"/>
        <w:widowControl/>
        <w:kinsoku/>
        <w:wordWrap/>
        <w:overflowPunct/>
        <w:topLinePunct w:val="0"/>
        <w:autoSpaceDE/>
        <w:autoSpaceDN/>
        <w:bidi w:val="0"/>
        <w:adjustRightInd/>
        <w:snapToGrid/>
        <w:spacing w:line="560" w:lineRule="exact"/>
        <w:ind w:firstLine="640"/>
        <w:jc w:val="left"/>
        <w:textAlignment w:val="auto"/>
        <w:rPr>
          <w:rFonts w:ascii="仿宋_GB2312" w:hAnsi="仿宋_GB2312" w:eastAsia="仿宋_GB2312" w:cs="仿宋_GB2312"/>
          <w:kern w:val="0"/>
          <w:sz w:val="32"/>
          <w:szCs w:val="32"/>
          <w:highlight w:val="none"/>
          <w:lang w:bidi="ar"/>
        </w:rPr>
      </w:pPr>
    </w:p>
    <w:p>
      <w:pPr>
        <w:pageBreakBefore w:val="0"/>
        <w:widowControl/>
        <w:kinsoku/>
        <w:wordWrap/>
        <w:overflowPunct/>
        <w:topLinePunct w:val="0"/>
        <w:autoSpaceDE/>
        <w:autoSpaceDN/>
        <w:bidi w:val="0"/>
        <w:adjustRightInd/>
        <w:snapToGrid/>
        <w:spacing w:line="560" w:lineRule="exact"/>
        <w:ind w:firstLine="640"/>
        <w:jc w:val="left"/>
        <w:textAlignment w:val="auto"/>
        <w:rPr>
          <w:rFonts w:ascii="仿宋_GB2312" w:hAnsi="仿宋_GB2312" w:eastAsia="仿宋_GB2312" w:cs="仿宋_GB2312"/>
          <w:kern w:val="0"/>
          <w:sz w:val="32"/>
          <w:szCs w:val="32"/>
          <w:highlight w:val="none"/>
          <w:lang w:bidi="ar"/>
        </w:rPr>
      </w:pPr>
    </w:p>
    <w:p>
      <w:pPr>
        <w:pageBreakBefore w:val="0"/>
        <w:widowControl/>
        <w:kinsoku/>
        <w:wordWrap/>
        <w:overflowPunct/>
        <w:topLinePunct w:val="0"/>
        <w:autoSpaceDE/>
        <w:autoSpaceDN/>
        <w:bidi w:val="0"/>
        <w:adjustRightInd/>
        <w:snapToGrid/>
        <w:spacing w:line="560" w:lineRule="exact"/>
        <w:ind w:firstLine="640"/>
        <w:jc w:val="right"/>
        <w:textAlignment w:val="auto"/>
        <w:outlineLvl w:val="0"/>
        <w:rPr>
          <w:rFonts w:ascii="仿宋_GB2312" w:hAnsi="仿宋_GB2312" w:eastAsia="仿宋_GB2312" w:cs="仿宋_GB2312"/>
          <w:kern w:val="0"/>
          <w:sz w:val="32"/>
          <w:szCs w:val="32"/>
          <w:highlight w:val="none"/>
          <w:lang w:bidi="ar"/>
        </w:rPr>
      </w:pPr>
      <w:r>
        <w:rPr>
          <w:rFonts w:hint="eastAsia" w:ascii="仿宋_GB2312" w:hAnsi="仿宋_GB2312" w:eastAsia="仿宋_GB2312" w:cs="仿宋_GB2312"/>
          <w:kern w:val="0"/>
          <w:sz w:val="32"/>
          <w:szCs w:val="32"/>
          <w:highlight w:val="none"/>
          <w:lang w:bidi="ar"/>
        </w:rPr>
        <w:t>　　光明区文化广电旅游体育局</w:t>
      </w:r>
    </w:p>
    <w:p>
      <w:pPr>
        <w:pageBreakBefore w:val="0"/>
        <w:widowControl/>
        <w:kinsoku/>
        <w:wordWrap/>
        <w:overflowPunct/>
        <w:topLinePunct w:val="0"/>
        <w:autoSpaceDE/>
        <w:autoSpaceDN/>
        <w:bidi w:val="0"/>
        <w:adjustRightInd/>
        <w:snapToGrid/>
        <w:spacing w:line="560" w:lineRule="exact"/>
        <w:ind w:firstLine="5440" w:firstLineChars="1700"/>
        <w:textAlignment w:val="auto"/>
        <w:outlineLvl w:val="0"/>
        <w:rPr>
          <w:rFonts w:ascii="仿宋_GB2312" w:hAnsi="仿宋_GB2312" w:eastAsia="仿宋_GB2312" w:cs="仿宋_GB2312"/>
          <w:kern w:val="0"/>
          <w:sz w:val="32"/>
          <w:szCs w:val="32"/>
          <w:highlight w:val="none"/>
          <w:lang w:bidi="ar"/>
        </w:rPr>
      </w:pPr>
      <w:r>
        <w:rPr>
          <w:rFonts w:hint="eastAsia" w:ascii="仿宋_GB2312" w:hAnsi="仿宋_GB2312" w:eastAsia="仿宋_GB2312" w:cs="仿宋_GB2312"/>
          <w:kern w:val="0"/>
          <w:sz w:val="32"/>
          <w:szCs w:val="32"/>
          <w:highlight w:val="none"/>
          <w:lang w:bidi="ar"/>
        </w:rPr>
        <w:t>202</w:t>
      </w:r>
      <w:r>
        <w:rPr>
          <w:rFonts w:hint="eastAsia" w:ascii="仿宋_GB2312" w:hAnsi="仿宋_GB2312" w:eastAsia="仿宋_GB2312" w:cs="仿宋_GB2312"/>
          <w:kern w:val="0"/>
          <w:sz w:val="32"/>
          <w:szCs w:val="32"/>
          <w:highlight w:val="none"/>
          <w:lang w:val="en-US" w:eastAsia="zh-CN" w:bidi="ar"/>
        </w:rPr>
        <w:t>3</w:t>
      </w:r>
      <w:r>
        <w:rPr>
          <w:rFonts w:hint="eastAsia" w:ascii="仿宋_GB2312" w:hAnsi="仿宋_GB2312" w:eastAsia="仿宋_GB2312" w:cs="仿宋_GB2312"/>
          <w:kern w:val="0"/>
          <w:sz w:val="32"/>
          <w:szCs w:val="32"/>
          <w:highlight w:val="none"/>
          <w:lang w:bidi="ar"/>
        </w:rPr>
        <w:t>年</w:t>
      </w:r>
      <w:r>
        <w:rPr>
          <w:rFonts w:hint="eastAsia" w:ascii="仿宋_GB2312" w:hAnsi="仿宋_GB2312" w:eastAsia="仿宋_GB2312" w:cs="仿宋_GB2312"/>
          <w:kern w:val="0"/>
          <w:sz w:val="32"/>
          <w:szCs w:val="32"/>
          <w:highlight w:val="none"/>
          <w:lang w:val="en-US" w:eastAsia="zh-CN" w:bidi="ar"/>
        </w:rPr>
        <w:t>2</w:t>
      </w:r>
      <w:r>
        <w:rPr>
          <w:rFonts w:hint="eastAsia" w:ascii="仿宋_GB2312" w:hAnsi="仿宋_GB2312" w:eastAsia="仿宋_GB2312" w:cs="仿宋_GB2312"/>
          <w:kern w:val="0"/>
          <w:sz w:val="32"/>
          <w:szCs w:val="32"/>
          <w:highlight w:val="none"/>
          <w:lang w:bidi="ar"/>
        </w:rPr>
        <w:t>月</w:t>
      </w:r>
      <w:r>
        <w:rPr>
          <w:rFonts w:hint="eastAsia" w:ascii="仿宋_GB2312" w:hAnsi="仿宋_GB2312" w:eastAsia="仿宋_GB2312" w:cs="仿宋_GB2312"/>
          <w:kern w:val="0"/>
          <w:sz w:val="32"/>
          <w:szCs w:val="32"/>
          <w:highlight w:val="none"/>
          <w:lang w:val="en-US" w:eastAsia="zh-CN" w:bidi="ar"/>
        </w:rPr>
        <w:t>14</w:t>
      </w:r>
      <w:r>
        <w:rPr>
          <w:rFonts w:hint="eastAsia" w:ascii="仿宋_GB2312" w:hAnsi="仿宋_GB2312" w:eastAsia="仿宋_GB2312" w:cs="仿宋_GB2312"/>
          <w:kern w:val="0"/>
          <w:sz w:val="32"/>
          <w:szCs w:val="32"/>
          <w:highlight w:val="none"/>
          <w:lang w:bidi="ar"/>
        </w:rPr>
        <w:t>日</w:t>
      </w:r>
    </w:p>
    <w:p>
      <w:pPr>
        <w:pStyle w:val="7"/>
        <w:pageBreakBefore w:val="0"/>
        <w:kinsoku/>
        <w:wordWrap/>
        <w:overflowPunct/>
        <w:topLinePunct w:val="0"/>
        <w:autoSpaceDE/>
        <w:autoSpaceDN/>
        <w:bidi w:val="0"/>
        <w:adjustRightInd/>
        <w:snapToGrid/>
        <w:spacing w:before="0" w:after="0" w:line="560" w:lineRule="exact"/>
        <w:textAlignment w:val="auto"/>
        <w:rPr>
          <w:highlight w:val="none"/>
        </w:rPr>
      </w:pPr>
    </w:p>
    <w:p>
      <w:pPr>
        <w:pageBreakBefore w:val="0"/>
        <w:kinsoku/>
        <w:wordWrap/>
        <w:overflowPunct/>
        <w:topLinePunct w:val="0"/>
        <w:autoSpaceDE/>
        <w:autoSpaceDN/>
        <w:bidi w:val="0"/>
        <w:spacing w:line="560" w:lineRule="exact"/>
        <w:textAlignment w:val="auto"/>
        <w:rPr>
          <w:highlight w:val="none"/>
        </w:rPr>
        <w:sectPr>
          <w:pgSz w:w="11906" w:h="16838"/>
          <w:pgMar w:top="2098" w:right="1474" w:bottom="1984" w:left="1587" w:header="851" w:footer="992" w:gutter="0"/>
          <w:pgNumType w:fmt="numberInDash"/>
          <w:cols w:space="720" w:num="1"/>
          <w:docGrid w:type="lines" w:linePitch="312" w:charSpace="0"/>
        </w:sectPr>
      </w:pPr>
    </w:p>
    <w:p>
      <w:pPr>
        <w:pageBreakBefore w:val="0"/>
        <w:widowControl/>
        <w:kinsoku/>
        <w:wordWrap/>
        <w:overflowPunct/>
        <w:topLinePunct w:val="0"/>
        <w:autoSpaceDE/>
        <w:autoSpaceDN/>
        <w:bidi w:val="0"/>
        <w:spacing w:line="560" w:lineRule="exact"/>
        <w:jc w:val="center"/>
        <w:textAlignment w:val="auto"/>
        <w:rPr>
          <w:rFonts w:ascii="黑体" w:hAnsi="黑体" w:eastAsia="黑体" w:cs="黑体"/>
          <w:sz w:val="36"/>
          <w:szCs w:val="36"/>
          <w:highlight w:val="none"/>
        </w:rPr>
      </w:pPr>
      <w:r>
        <w:rPr>
          <w:rFonts w:hint="eastAsia" w:ascii="黑体" w:hAnsi="黑体" w:eastAsia="黑体" w:cs="黑体"/>
          <w:sz w:val="36"/>
          <w:szCs w:val="36"/>
          <w:highlight w:val="none"/>
        </w:rPr>
        <w:t>第二章  采购项目要求</w:t>
      </w: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highlight w:val="none"/>
        </w:rPr>
      </w:pPr>
    </w:p>
    <w:p>
      <w:pPr>
        <w:pageBreakBefore w:val="0"/>
        <w:kinsoku/>
        <w:wordWrap/>
        <w:overflowPunct/>
        <w:topLinePunct w:val="0"/>
        <w:autoSpaceDE/>
        <w:autoSpaceDN/>
        <w:bidi w:val="0"/>
        <w:spacing w:line="560" w:lineRule="exact"/>
        <w:ind w:firstLine="720" w:firstLineChars="200"/>
        <w:textAlignment w:val="auto"/>
        <w:rPr>
          <w:rFonts w:ascii="仿宋_GB2312" w:eastAsia="仿宋_GB2312"/>
          <w:sz w:val="36"/>
          <w:szCs w:val="36"/>
          <w:highlight w:val="none"/>
        </w:rPr>
      </w:pPr>
      <w:r>
        <w:rPr>
          <w:rFonts w:hint="eastAsia" w:ascii="黑体" w:hAnsi="黑体" w:eastAsia="黑体" w:cs="黑体"/>
          <w:sz w:val="36"/>
          <w:szCs w:val="36"/>
          <w:highlight w:val="none"/>
        </w:rPr>
        <w:t>第一部分  项目说明</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仿宋"/>
          <w:color w:val="000000"/>
          <w:sz w:val="32"/>
          <w:szCs w:val="32"/>
          <w:highlight w:val="none"/>
        </w:rPr>
      </w:pPr>
      <w:r>
        <w:rPr>
          <w:rFonts w:hint="eastAsia" w:ascii="黑体" w:hAnsi="黑体" w:eastAsia="黑体" w:cs="黑体"/>
          <w:bCs/>
          <w:sz w:val="32"/>
          <w:szCs w:val="32"/>
          <w:highlight w:val="none"/>
        </w:rPr>
        <w:t>一、</w:t>
      </w:r>
      <w:r>
        <w:rPr>
          <w:rFonts w:hint="eastAsia" w:ascii="黑体" w:hAnsi="黑体" w:eastAsia="黑体" w:cs="仿宋"/>
          <w:color w:val="000000"/>
          <w:sz w:val="32"/>
          <w:szCs w:val="32"/>
          <w:highlight w:val="none"/>
        </w:rPr>
        <w:t>采购项目概况</w:t>
      </w:r>
    </w:p>
    <w:tbl>
      <w:tblPr>
        <w:tblStyle w:val="12"/>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7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项目名称</w:t>
            </w:r>
          </w:p>
        </w:tc>
        <w:tc>
          <w:tcPr>
            <w:tcW w:w="779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2023年旅游景区景点公共安全隐患专项排查服务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color w:val="000000"/>
                <w:sz w:val="28"/>
                <w:szCs w:val="28"/>
              </w:rPr>
              <w:t>服务范围</w:t>
            </w:r>
          </w:p>
        </w:tc>
        <w:tc>
          <w:tcPr>
            <w:tcW w:w="7790"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color w:val="000000"/>
                <w:sz w:val="28"/>
                <w:szCs w:val="28"/>
              </w:rPr>
              <w:t>深圳市光明区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color w:val="000000"/>
                <w:sz w:val="28"/>
                <w:szCs w:val="28"/>
              </w:rPr>
              <w:t>服务时间</w:t>
            </w:r>
          </w:p>
        </w:tc>
        <w:tc>
          <w:tcPr>
            <w:tcW w:w="7790"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color w:val="000000"/>
                <w:sz w:val="28"/>
                <w:szCs w:val="28"/>
              </w:rPr>
              <w:t>202</w:t>
            </w:r>
            <w:r>
              <w:rPr>
                <w:rFonts w:hint="eastAsia" w:ascii="仿宋_GB2312" w:hAnsi="仿宋_GB2312" w:eastAsia="仿宋_GB2312" w:cs="仿宋_GB2312"/>
                <w:bCs/>
                <w:color w:val="000000"/>
                <w:sz w:val="28"/>
                <w:szCs w:val="28"/>
                <w:lang w:val="en-US" w:eastAsia="zh-CN"/>
              </w:rPr>
              <w:t>3</w:t>
            </w:r>
            <w:r>
              <w:rPr>
                <w:rFonts w:hint="eastAsia" w:ascii="仿宋_GB2312" w:hAnsi="仿宋_GB2312" w:eastAsia="仿宋_GB2312" w:cs="仿宋_GB2312"/>
                <w:bCs/>
                <w:color w:val="000000"/>
                <w:sz w:val="28"/>
                <w:szCs w:val="28"/>
              </w:rPr>
              <w:t>年</w:t>
            </w:r>
            <w:r>
              <w:rPr>
                <w:rFonts w:hint="eastAsia" w:ascii="仿宋_GB2312" w:hAnsi="仿宋_GB2312" w:eastAsia="仿宋_GB2312" w:cs="仿宋_GB2312"/>
                <w:bCs/>
                <w:color w:val="000000"/>
                <w:sz w:val="28"/>
                <w:szCs w:val="28"/>
                <w:lang w:val="en-US" w:eastAsia="zh-CN"/>
              </w:rPr>
              <w:t>2</w:t>
            </w:r>
            <w:r>
              <w:rPr>
                <w:rFonts w:hint="eastAsia" w:ascii="仿宋_GB2312" w:hAnsi="仿宋_GB2312" w:eastAsia="仿宋_GB2312" w:cs="仿宋_GB2312"/>
                <w:bCs/>
                <w:color w:val="000000"/>
                <w:sz w:val="28"/>
                <w:szCs w:val="28"/>
              </w:rPr>
              <w:t>月-202</w:t>
            </w:r>
            <w:r>
              <w:rPr>
                <w:rFonts w:hint="eastAsia" w:ascii="仿宋_GB2312" w:hAnsi="仿宋_GB2312" w:eastAsia="仿宋_GB2312" w:cs="仿宋_GB2312"/>
                <w:bCs/>
                <w:color w:val="000000"/>
                <w:sz w:val="28"/>
                <w:szCs w:val="28"/>
                <w:lang w:val="en-US" w:eastAsia="zh-CN"/>
              </w:rPr>
              <w:t>4</w:t>
            </w:r>
            <w:r>
              <w:rPr>
                <w:rFonts w:hint="eastAsia" w:ascii="仿宋_GB2312" w:hAnsi="仿宋_GB2312" w:eastAsia="仿宋_GB2312" w:cs="仿宋_GB2312"/>
                <w:bCs/>
                <w:color w:val="000000"/>
                <w:sz w:val="28"/>
                <w:szCs w:val="28"/>
              </w:rPr>
              <w:t>年2月</w:t>
            </w:r>
            <w:r>
              <w:rPr>
                <w:rFonts w:hint="eastAsia" w:ascii="仿宋_GB2312" w:hAnsi="仿宋_GB2312" w:eastAsia="仿宋_GB2312" w:cs="仿宋_GB2312"/>
                <w:bCs/>
                <w:color w:val="000000"/>
                <w:sz w:val="28"/>
                <w:szCs w:val="28"/>
                <w:lang w:eastAsia="zh-CN"/>
              </w:rPr>
              <w:t>（</w:t>
            </w:r>
            <w:r>
              <w:rPr>
                <w:rFonts w:hint="eastAsia" w:ascii="仿宋_GB2312" w:hAnsi="仿宋_GB2312" w:eastAsia="仿宋_GB2312" w:cs="仿宋_GB2312"/>
                <w:bCs/>
                <w:color w:val="000000"/>
                <w:sz w:val="28"/>
                <w:szCs w:val="28"/>
                <w:lang w:val="en-US" w:eastAsia="zh-CN"/>
              </w:rPr>
              <w:t>具体以合同约定为准</w:t>
            </w:r>
            <w:r>
              <w:rPr>
                <w:rFonts w:hint="eastAsia" w:ascii="仿宋_GB2312" w:hAnsi="仿宋_GB2312" w:eastAsia="仿宋_GB2312" w:cs="仿宋_GB2312"/>
                <w:bCs/>
                <w:color w:val="00000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采购单位</w:t>
            </w:r>
          </w:p>
        </w:tc>
        <w:tc>
          <w:tcPr>
            <w:tcW w:w="779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深圳市光明区文化广电旅游体育局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sz w:val="28"/>
                <w:szCs w:val="28"/>
              </w:rPr>
              <w:t>服务内容</w:t>
            </w:r>
          </w:p>
        </w:tc>
        <w:tc>
          <w:tcPr>
            <w:tcW w:w="7790"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sz w:val="28"/>
                <w:szCs w:val="28"/>
              </w:rPr>
              <w:t>对包括光明农场大观园、欢乐田园、滑草游乐园、</w:t>
            </w:r>
            <w:r>
              <w:rPr>
                <w:rFonts w:hint="eastAsia" w:ascii="仿宋_GB2312" w:hAnsi="仿宋_GB2312" w:eastAsia="仿宋_GB2312" w:cs="仿宋_GB2312"/>
                <w:bCs/>
                <w:color w:val="000000"/>
                <w:sz w:val="28"/>
                <w:szCs w:val="28"/>
                <w:lang w:eastAsia="zh-CN"/>
              </w:rPr>
              <w:t>红木古镇</w:t>
            </w:r>
            <w:r>
              <w:rPr>
                <w:rFonts w:hint="eastAsia" w:ascii="仿宋_GB2312" w:hAnsi="仿宋_GB2312" w:eastAsia="仿宋_GB2312" w:cs="仿宋_GB2312"/>
                <w:bCs/>
                <w:color w:val="000000"/>
                <w:sz w:val="28"/>
                <w:szCs w:val="28"/>
              </w:rPr>
              <w:t>场所在内，以及其他区文化广电旅游体育局认为有必要的场所，进行建筑物结构安全、消防设施安全、用电设备安全、特种设备安全等项目的安全综合检查（具体以合同约定为准）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控制金额</w:t>
            </w:r>
          </w:p>
        </w:tc>
        <w:tc>
          <w:tcPr>
            <w:tcW w:w="779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25万元（报价高于预算价格以上无效）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完 工 期</w:t>
            </w:r>
          </w:p>
        </w:tc>
        <w:tc>
          <w:tcPr>
            <w:tcW w:w="779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color w:val="000000"/>
                <w:sz w:val="28"/>
                <w:szCs w:val="28"/>
              </w:rPr>
              <w:t>202</w:t>
            </w:r>
            <w:r>
              <w:rPr>
                <w:rFonts w:hint="eastAsia" w:ascii="仿宋_GB2312" w:hAnsi="仿宋_GB2312" w:eastAsia="仿宋_GB2312" w:cs="仿宋_GB2312"/>
                <w:bCs/>
                <w:color w:val="000000"/>
                <w:sz w:val="28"/>
                <w:szCs w:val="28"/>
                <w:lang w:val="en-US" w:eastAsia="zh-CN"/>
              </w:rPr>
              <w:t>4</w:t>
            </w:r>
            <w:r>
              <w:rPr>
                <w:rFonts w:hint="eastAsia" w:ascii="仿宋_GB2312" w:hAnsi="仿宋_GB2312" w:eastAsia="仿宋_GB2312" w:cs="仿宋_GB2312"/>
                <w:bCs/>
                <w:color w:val="000000"/>
                <w:sz w:val="28"/>
                <w:szCs w:val="28"/>
              </w:rPr>
              <w:t>年2月</w:t>
            </w:r>
          </w:p>
        </w:tc>
      </w:tr>
    </w:tbl>
    <w:p>
      <w:pPr>
        <w:pStyle w:val="16"/>
        <w:pageBreakBefore w:val="0"/>
        <w:kinsoku/>
        <w:wordWrap/>
        <w:overflowPunct/>
        <w:topLinePunct w:val="0"/>
        <w:autoSpaceDE/>
        <w:autoSpaceDN/>
        <w:bidi w:val="0"/>
        <w:spacing w:before="0" w:beforeLines="0" w:after="0" w:afterLines="0" w:line="560" w:lineRule="exact"/>
        <w:ind w:firstLine="640" w:firstLineChars="200"/>
        <w:textAlignment w:val="auto"/>
        <w:rPr>
          <w:rFonts w:ascii="黑体" w:hAnsi="黑体" w:cs="黑体"/>
          <w:bCs/>
          <w:sz w:val="32"/>
          <w:szCs w:val="32"/>
          <w:highlight w:val="none"/>
        </w:rPr>
      </w:pPr>
      <w:r>
        <w:rPr>
          <w:rFonts w:hint="eastAsia" w:ascii="黑体" w:hAnsi="黑体" w:cs="黑体"/>
          <w:bCs/>
          <w:sz w:val="32"/>
          <w:szCs w:val="32"/>
          <w:highlight w:val="none"/>
        </w:rPr>
        <w:t>二、</w:t>
      </w:r>
      <w:r>
        <w:rPr>
          <w:rFonts w:hint="eastAsia" w:ascii="黑体" w:hAnsi="黑体" w:cs="仿宋"/>
          <w:color w:val="000000"/>
          <w:sz w:val="32"/>
          <w:szCs w:val="32"/>
          <w:highlight w:val="none"/>
        </w:rPr>
        <w:t>项目管理和服务要求</w:t>
      </w:r>
    </w:p>
    <w:p>
      <w:pPr>
        <w:spacing w:line="56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（一）检查对象：</w:t>
      </w:r>
      <w:r>
        <w:rPr>
          <w:rFonts w:hint="eastAsia" w:ascii="仿宋_GB2312" w:hAnsi="仿宋_GB2312" w:eastAsia="仿宋_GB2312" w:cs="仿宋_GB2312"/>
          <w:sz w:val="32"/>
          <w:szCs w:val="32"/>
        </w:rPr>
        <w:t>对包括光明农场大观园、欢乐田园、滑草游乐园、</w:t>
      </w:r>
      <w:r>
        <w:rPr>
          <w:rFonts w:hint="eastAsia" w:ascii="仿宋_GB2312" w:hAnsi="仿宋_GB2312" w:eastAsia="仿宋_GB2312" w:cs="仿宋_GB2312"/>
          <w:sz w:val="32"/>
          <w:szCs w:val="32"/>
          <w:lang w:eastAsia="zh-CN"/>
        </w:rPr>
        <w:t>红木古镇</w:t>
      </w:r>
      <w:r>
        <w:rPr>
          <w:rFonts w:hint="eastAsia" w:ascii="仿宋_GB2312" w:hAnsi="仿宋_GB2312" w:eastAsia="仿宋_GB2312" w:cs="仿宋_GB2312"/>
          <w:sz w:val="32"/>
          <w:szCs w:val="32"/>
        </w:rPr>
        <w:t>场所在内，以及其他区文化广电旅游体育局认为有必要的场所，进行综合检查。</w:t>
      </w:r>
    </w:p>
    <w:p>
      <w:pPr>
        <w:spacing w:line="56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（二）检查内容：</w:t>
      </w:r>
      <w:r>
        <w:rPr>
          <w:rFonts w:hint="eastAsia" w:ascii="仿宋_GB2312" w:hAnsi="仿宋_GB2312" w:eastAsia="仿宋_GB2312" w:cs="仿宋_GB2312"/>
          <w:sz w:val="32"/>
          <w:szCs w:val="32"/>
        </w:rPr>
        <w:t>包括但不限于建筑物结构安全、消防设施安全、用电设备安全、特种设备安全、风险点排查，以及警示标语、防护设施设置等项目的安全综合检查。</w:t>
      </w:r>
    </w:p>
    <w:p>
      <w:pPr>
        <w:spacing w:line="560" w:lineRule="exact"/>
        <w:ind w:firstLine="643" w:firstLineChars="200"/>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（三）检查要求：</w:t>
      </w:r>
    </w:p>
    <w:p>
      <w:pPr>
        <w:spacing w:line="560" w:lineRule="exact"/>
        <w:ind w:firstLine="643"/>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1.日常检查：</w:t>
      </w:r>
      <w:r>
        <w:rPr>
          <w:rFonts w:hint="eastAsia" w:ascii="仿宋_GB2312" w:hAnsi="仿宋_GB2312" w:eastAsia="仿宋_GB2312" w:cs="仿宋_GB2312"/>
          <w:sz w:val="32"/>
          <w:szCs w:val="32"/>
        </w:rPr>
        <w:t>对上述场所，每次检查需派出不少于2名注册安全工程师 (或不低于上述资质的安全类资格证)，具有3年以上安全检查工作经历的安全专家，出具相应检查报告，指出问题，并跟进整改情况，出具整改报告。</w:t>
      </w:r>
    </w:p>
    <w:p>
      <w:pPr>
        <w:spacing w:line="560" w:lineRule="exact"/>
        <w:ind w:firstLine="64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初定每年对上述景区景点检查，进行定期检查，出具单次检查报告，以及上半年度、全年安全生产检查工作报告。（具体以合同约定为准）</w:t>
      </w:r>
    </w:p>
    <w:p>
      <w:pPr>
        <w:pStyle w:val="16"/>
        <w:spacing w:beforeLines="0" w:afterLines="0"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2.专项检查：</w:t>
      </w:r>
      <w:r>
        <w:rPr>
          <w:rFonts w:hint="eastAsia" w:ascii="仿宋_GB2312" w:hAnsi="仿宋_GB2312" w:eastAsia="仿宋_GB2312" w:cs="仿宋_GB2312"/>
          <w:sz w:val="32"/>
          <w:szCs w:val="32"/>
        </w:rPr>
        <w:t>重点节假日及安全生产重要防范期</w:t>
      </w:r>
      <w:r>
        <w:rPr>
          <w:rFonts w:hint="eastAsia" w:ascii="仿宋_GB2312" w:hAnsi="仿宋_GB2312" w:eastAsia="仿宋_GB2312" w:cs="仿宋_GB2312"/>
          <w:sz w:val="32"/>
          <w:szCs w:val="32"/>
          <w:lang w:eastAsia="zh-CN"/>
        </w:rPr>
        <w:t>（包括但不限于：三防专项、一线三排、安全生产月、安全生产万里行、安全生产南粤行、防灾减灾日、消防安全月、岁末年初安全生产、年终岁尾、今冬明春等</w:t>
      </w:r>
      <w:r>
        <w:rPr>
          <w:rFonts w:hint="eastAsia" w:ascii="仿宋_GB2312" w:hAnsi="仿宋_GB2312" w:eastAsia="仿宋_GB2312" w:cs="仿宋_GB2312"/>
          <w:sz w:val="32"/>
          <w:szCs w:val="32"/>
          <w:lang w:val="en-US" w:eastAsia="zh-CN"/>
        </w:rPr>
        <w:t>和按需开展的</w:t>
      </w:r>
      <w:r>
        <w:rPr>
          <w:rFonts w:hint="eastAsia" w:ascii="仿宋_GB2312" w:hAnsi="仿宋_GB2312" w:eastAsia="仿宋_GB2312" w:cs="仿宋_GB2312"/>
          <w:sz w:val="32"/>
          <w:szCs w:val="32"/>
          <w:lang w:eastAsia="zh-CN"/>
        </w:rPr>
        <w:t>专项演练或培训）</w:t>
      </w:r>
      <w:r>
        <w:rPr>
          <w:rFonts w:hint="eastAsia" w:ascii="仿宋_GB2312" w:hAnsi="仿宋_GB2312" w:eastAsia="仿宋_GB2312" w:cs="仿宋_GB2312"/>
          <w:sz w:val="32"/>
          <w:szCs w:val="32"/>
        </w:rPr>
        <w:t>，应我局要求，派出上述专业技术人员，配合我局进行专项安全生产检查，并出具专项检查报告。初定专项检查次数不少于10次。（具体以合同约定为准）</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仿宋"/>
          <w:color w:val="000000"/>
          <w:sz w:val="32"/>
          <w:szCs w:val="32"/>
          <w:highlight w:val="none"/>
        </w:rPr>
      </w:pPr>
      <w:r>
        <w:rPr>
          <w:rFonts w:hint="eastAsia" w:ascii="黑体" w:hAnsi="黑体" w:eastAsia="黑体" w:cs="仿宋"/>
          <w:color w:val="000000"/>
          <w:sz w:val="32"/>
          <w:szCs w:val="32"/>
          <w:highlight w:val="none"/>
        </w:rPr>
        <w:t>三、商务需求</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报价要求：本项目服务费采用包干制，应包括服务成本、法定税费和企业的利润。由投标供应商根据采购文件所提供的资料自行测算投标报价；一经中标，报价总价作为中标供应商与采购人签定的合同金额，合同期限内不做调整。</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（二）付款方式：双方合同中协商。</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（三）履约担保金：双方合同中协商。</w:t>
      </w:r>
    </w:p>
    <w:p>
      <w:pPr>
        <w:pStyle w:val="16"/>
        <w:pageBreakBefore w:val="0"/>
        <w:kinsoku/>
        <w:wordWrap/>
        <w:overflowPunct/>
        <w:topLinePunct w:val="0"/>
        <w:autoSpaceDE/>
        <w:autoSpaceDN/>
        <w:bidi w:val="0"/>
        <w:spacing w:before="0" w:beforeLines="0" w:after="0" w:afterLines="0"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（四）违约责任：双方合同中协商。</w:t>
      </w:r>
    </w:p>
    <w:p>
      <w:pPr>
        <w:pStyle w:val="16"/>
        <w:pageBreakBefore w:val="0"/>
        <w:kinsoku/>
        <w:wordWrap/>
        <w:overflowPunct/>
        <w:topLinePunct w:val="0"/>
        <w:autoSpaceDE/>
        <w:autoSpaceDN/>
        <w:bidi w:val="0"/>
        <w:spacing w:before="0" w:beforeLines="0" w:after="0" w:afterLines="0" w:line="560" w:lineRule="exact"/>
        <w:ind w:firstLine="640" w:firstLineChars="200"/>
        <w:textAlignment w:val="auto"/>
        <w:rPr>
          <w:rFonts w:ascii="黑体" w:hAnsi="黑体" w:cs="黑体"/>
          <w:bCs/>
          <w:sz w:val="32"/>
          <w:szCs w:val="32"/>
          <w:highlight w:val="none"/>
        </w:rPr>
      </w:pPr>
      <w:r>
        <w:rPr>
          <w:rFonts w:hint="eastAsia" w:ascii="黑体" w:hAnsi="黑体" w:cs="黑体"/>
          <w:bCs/>
          <w:sz w:val="32"/>
          <w:szCs w:val="32"/>
          <w:highlight w:val="none"/>
        </w:rPr>
        <w:t>四、其他要求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（一）因中标单位原因，未能按规定时间完成有关工作的，每延误一天，采购方可在支付合同余款中扣除合同价款千分之一。中标单位延误超过30天，采购方有权单方解除合同并要求中标单位赔偿损失。</w:t>
      </w:r>
    </w:p>
    <w:p>
      <w:pPr>
        <w:spacing w:line="560" w:lineRule="exact"/>
        <w:ind w:firstLine="640" w:firstLineChars="200"/>
        <w:rPr>
          <w:rFonts w:ascii="黑体" w:hAnsi="黑体" w:eastAsia="黑体" w:cs="黑体"/>
          <w:sz w:val="36"/>
          <w:szCs w:val="36"/>
          <w:highlight w:val="none"/>
        </w:rPr>
      </w:pPr>
      <w:r>
        <w:rPr>
          <w:rFonts w:hint="eastAsia" w:ascii="仿宋_GB2312" w:hAnsi="仿宋_GB2312" w:eastAsia="仿宋_GB2312" w:cs="仿宋_GB2312"/>
          <w:sz w:val="32"/>
          <w:szCs w:val="32"/>
        </w:rPr>
        <w:t>（二）如中标单位提供的咨询服务文件不符合质量要求，必须在采购方提出要求后7天内无条件修改，其费用由中标单位承担。若质量仍不符合项目要求或经修改后仍不符合项目要求的，采购方有权单方解除合同并要求中标单位赔偿损失。</w:t>
      </w:r>
    </w:p>
    <w:p>
      <w:pPr>
        <w:pageBreakBefore w:val="0"/>
        <w:kinsoku/>
        <w:wordWrap/>
        <w:overflowPunct/>
        <w:topLinePunct w:val="0"/>
        <w:autoSpaceDE/>
        <w:autoSpaceDN/>
        <w:bidi w:val="0"/>
        <w:spacing w:line="560" w:lineRule="exact"/>
        <w:ind w:firstLine="720" w:firstLineChars="200"/>
        <w:textAlignment w:val="auto"/>
        <w:rPr>
          <w:rFonts w:ascii="黑体" w:hAnsi="黑体" w:eastAsia="黑体" w:cs="黑体"/>
          <w:sz w:val="36"/>
          <w:szCs w:val="36"/>
          <w:highlight w:val="none"/>
        </w:rPr>
      </w:pPr>
      <w:r>
        <w:rPr>
          <w:rFonts w:hint="eastAsia" w:ascii="黑体" w:hAnsi="黑体" w:eastAsia="黑体" w:cs="黑体"/>
          <w:sz w:val="36"/>
          <w:szCs w:val="36"/>
          <w:highlight w:val="none"/>
        </w:rPr>
        <w:t>第二部分  项目评分</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bCs/>
          <w:sz w:val="32"/>
          <w:szCs w:val="32"/>
          <w:highlight w:val="none"/>
        </w:rPr>
      </w:pPr>
      <w:r>
        <w:rPr>
          <w:rFonts w:hint="eastAsia" w:ascii="黑体" w:hAnsi="黑体" w:eastAsia="黑体" w:cs="黑体"/>
          <w:bCs/>
          <w:sz w:val="32"/>
          <w:szCs w:val="32"/>
          <w:highlight w:val="none"/>
        </w:rPr>
        <w:t>一、评审方法</w:t>
      </w: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综合评分法：是指响应文件满足采购需求文件全部实质性要求，且按照评审因素的量化指标评审得分最高的供应商为中选候选供应商的评审方法。</w:t>
      </w:r>
    </w:p>
    <w:p>
      <w:pPr>
        <w:pageBreakBefore w:val="0"/>
        <w:widowControl/>
        <w:kinsoku/>
        <w:wordWrap/>
        <w:overflowPunct/>
        <w:topLinePunct w:val="0"/>
        <w:autoSpaceDE/>
        <w:autoSpaceDN/>
        <w:bidi w:val="0"/>
        <w:spacing w:line="560" w:lineRule="exact"/>
        <w:ind w:firstLine="640" w:firstLineChars="200"/>
        <w:textAlignment w:val="auto"/>
        <w:rPr>
          <w:rFonts w:ascii="黑体" w:hAnsi="黑体" w:eastAsia="黑体" w:cs="黑体"/>
          <w:bCs/>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本项目按响应报价</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20分、诚信情况10分、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资质经验</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10分、业绩情况20分、项目团队10分、方案质量30分六大</w:t>
      </w:r>
      <w:r>
        <w:rPr>
          <w:rFonts w:hint="eastAsia" w:ascii="仿宋_GB2312" w:hAnsi="仿宋_GB2312" w:eastAsia="仿宋_GB2312" w:cs="仿宋_GB2312"/>
          <w:color w:val="000000" w:themeColor="text1"/>
          <w:sz w:val="32"/>
          <w:szCs w:val="32"/>
          <w:highlight w:val="none"/>
          <w14:textFill>
            <w14:solidFill>
              <w14:schemeClr w14:val="tx1"/>
            </w14:solidFill>
          </w14:textFill>
        </w:rPr>
        <w:t>要素，总分100分采取综合评分。</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bCs/>
          <w:sz w:val="32"/>
          <w:szCs w:val="32"/>
          <w:highlight w:val="none"/>
        </w:rPr>
      </w:pPr>
      <w:r>
        <w:rPr>
          <w:rFonts w:hint="eastAsia" w:ascii="黑体" w:hAnsi="黑体" w:eastAsia="黑体" w:cs="黑体"/>
          <w:bCs/>
          <w:sz w:val="32"/>
          <w:szCs w:val="32"/>
          <w:highlight w:val="none"/>
        </w:rPr>
        <w:t>二、价格分计算方法说明</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采用低价优先法计算，即满足采购需求文件要求且响应价格最低的响应报价为评审基准价，其价格分为满分。</w:t>
      </w:r>
    </w:p>
    <w:p>
      <w:pPr>
        <w:pageBreakBefore w:val="0"/>
        <w:widowControl/>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评审过程中，不得去掉报价中的最高报价和最低报价。</w:t>
      </w:r>
    </w:p>
    <w:p>
      <w:pPr>
        <w:pageBreakBefore w:val="0"/>
        <w:widowControl/>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注：供应商不得以低于成本的报价竞选，供应商报价低于本项目财政预算15%时，评审委员会有权要求其对成本构成进行说明；如供应商没有附上合理的理由或不按要求提供低价说明，可视为不被接受有风险的报价。</w:t>
      </w:r>
    </w:p>
    <w:p>
      <w:pPr>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rPr>
      </w:pPr>
      <w:r>
        <w:rPr>
          <w:rFonts w:hint="eastAsia" w:ascii="黑体" w:hAnsi="黑体" w:eastAsia="黑体" w:cs="黑体"/>
          <w:bCs/>
          <w:sz w:val="32"/>
          <w:szCs w:val="32"/>
          <w:highlight w:val="none"/>
          <w:lang w:val="en-US" w:eastAsia="zh-CN"/>
        </w:rPr>
        <w:t>三、</w:t>
      </w:r>
      <w:r>
        <w:rPr>
          <w:rFonts w:hint="eastAsia" w:ascii="黑体" w:hAnsi="黑体" w:eastAsia="黑体" w:cs="黑体"/>
          <w:bCs/>
          <w:sz w:val="32"/>
          <w:szCs w:val="32"/>
          <w:highlight w:val="none"/>
        </w:rPr>
        <w:t>项目评分表</w:t>
      </w:r>
    </w:p>
    <w:tbl>
      <w:tblPr>
        <w:tblStyle w:val="12"/>
        <w:tblW w:w="55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
        <w:gridCol w:w="1232"/>
        <w:gridCol w:w="7310"/>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15"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序号</w:t>
            </w:r>
          </w:p>
        </w:tc>
        <w:tc>
          <w:tcPr>
            <w:tcW w:w="607" w:type="pct"/>
            <w:tcBorders>
              <w:top w:val="single" w:color="000000" w:sz="4" w:space="0"/>
              <w:left w:val="nil"/>
              <w:bottom w:val="single" w:color="000000" w:sz="4" w:space="0"/>
              <w:right w:val="single" w:color="000000" w:sz="4" w:space="0"/>
            </w:tcBorders>
            <w:noWrap w:val="0"/>
            <w:vAlign w:val="center"/>
          </w:tcPr>
          <w:p>
            <w:pPr>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评审内容</w:t>
            </w:r>
          </w:p>
        </w:tc>
        <w:tc>
          <w:tcPr>
            <w:tcW w:w="3603" w:type="pct"/>
            <w:tcBorders>
              <w:top w:val="single" w:color="000000" w:sz="4" w:space="0"/>
              <w:left w:val="nil"/>
              <w:bottom w:val="single" w:color="000000" w:sz="4" w:space="0"/>
              <w:right w:val="single" w:color="000000" w:sz="4" w:space="0"/>
            </w:tcBorders>
            <w:noWrap w:val="0"/>
            <w:vAlign w:val="center"/>
          </w:tcPr>
          <w:p>
            <w:pPr>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评审细则</w:t>
            </w:r>
          </w:p>
        </w:tc>
        <w:tc>
          <w:tcPr>
            <w:tcW w:w="374" w:type="pct"/>
            <w:tcBorders>
              <w:top w:val="single" w:color="000000" w:sz="4" w:space="0"/>
              <w:left w:val="nil"/>
              <w:bottom w:val="single" w:color="000000" w:sz="4" w:space="0"/>
              <w:right w:val="single" w:color="000000" w:sz="4" w:space="0"/>
            </w:tcBorders>
            <w:noWrap w:val="0"/>
            <w:vAlign w:val="center"/>
          </w:tcPr>
          <w:p>
            <w:pPr>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415" w:type="pct"/>
            <w:tcBorders>
              <w:top w:val="single" w:color="000000" w:sz="4" w:space="0"/>
              <w:left w:val="single" w:color="000000" w:sz="4" w:space="0"/>
              <w:right w:val="single" w:color="000000" w:sz="4" w:space="0"/>
            </w:tcBorders>
            <w:noWrap w:val="0"/>
            <w:vAlign w:val="center"/>
          </w:tcPr>
          <w:p>
            <w:pPr>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w:t>
            </w:r>
          </w:p>
        </w:tc>
        <w:tc>
          <w:tcPr>
            <w:tcW w:w="607" w:type="pct"/>
            <w:tcBorders>
              <w:top w:val="single" w:color="000000" w:sz="4" w:space="0"/>
              <w:left w:val="nil"/>
              <w:right w:val="single" w:color="000000" w:sz="4" w:space="0"/>
            </w:tcBorders>
            <w:noWrap w:val="0"/>
            <w:vAlign w:val="center"/>
          </w:tcPr>
          <w:p>
            <w:pPr>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响应报价</w:t>
            </w:r>
          </w:p>
        </w:tc>
        <w:tc>
          <w:tcPr>
            <w:tcW w:w="3603" w:type="pct"/>
            <w:tcBorders>
              <w:top w:val="single" w:color="000000" w:sz="4" w:space="0"/>
              <w:left w:val="nil"/>
              <w:bottom w:val="single" w:color="000000" w:sz="4" w:space="0"/>
              <w:right w:val="single" w:color="000000" w:sz="4" w:space="0"/>
            </w:tcBorders>
            <w:noWrap w:val="0"/>
            <w:vAlign w:val="center"/>
          </w:tcPr>
          <w:p>
            <w:pPr>
              <w:pageBreakBefore w:val="0"/>
              <w:kinsoku/>
              <w:wordWrap/>
              <w:overflowPunct/>
              <w:topLinePunct w:val="0"/>
              <w:autoSpaceDE/>
              <w:autoSpaceDN/>
              <w:bidi w:val="0"/>
              <w:spacing w:line="560" w:lineRule="exact"/>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价格分计算方法：（评标基准价/响应报价）×100×20%</w:t>
            </w:r>
          </w:p>
        </w:tc>
        <w:tc>
          <w:tcPr>
            <w:tcW w:w="374" w:type="pct"/>
            <w:tcBorders>
              <w:top w:val="single" w:color="000000" w:sz="4" w:space="0"/>
              <w:left w:val="nil"/>
              <w:bottom w:val="single" w:color="000000" w:sz="4" w:space="0"/>
              <w:right w:val="single" w:color="000000" w:sz="4" w:space="0"/>
            </w:tcBorders>
            <w:noWrap w:val="0"/>
            <w:vAlign w:val="center"/>
          </w:tcPr>
          <w:p>
            <w:pPr>
              <w:pageBreakBefore w:val="0"/>
              <w:kinsoku/>
              <w:wordWrap/>
              <w:overflowPunct/>
              <w:topLinePunct w:val="0"/>
              <w:autoSpaceDE/>
              <w:autoSpaceDN/>
              <w:bidi w:val="0"/>
              <w:spacing w:line="560" w:lineRule="exact"/>
              <w:jc w:val="center"/>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415" w:type="pct"/>
            <w:tcBorders>
              <w:top w:val="single" w:color="000000"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2</w:t>
            </w:r>
          </w:p>
        </w:tc>
        <w:tc>
          <w:tcPr>
            <w:tcW w:w="607" w:type="pct"/>
            <w:tcBorders>
              <w:top w:val="single" w:color="000000" w:sz="4" w:space="0"/>
              <w:left w:val="nil"/>
              <w:right w:val="single" w:color="000000" w:sz="4" w:space="0"/>
            </w:tcBorders>
            <w:noWrap w:val="0"/>
            <w:vAlign w:val="center"/>
          </w:tcPr>
          <w:p>
            <w:pPr>
              <w:pStyle w:val="9"/>
              <w:pageBreakBefore w:val="0"/>
              <w:kinsoku/>
              <w:wordWrap/>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诚信情况</w:t>
            </w:r>
          </w:p>
        </w:tc>
        <w:tc>
          <w:tcPr>
            <w:tcW w:w="3603" w:type="pct"/>
            <w:tcBorders>
              <w:top w:val="single" w:color="000000" w:sz="4" w:space="0"/>
              <w:left w:val="nil"/>
              <w:bottom w:val="single" w:color="000000" w:sz="4" w:space="0"/>
              <w:right w:val="single" w:color="000000" w:sz="4" w:space="0"/>
            </w:tcBorders>
            <w:noWrap w:val="0"/>
            <w:vAlign w:val="center"/>
          </w:tcPr>
          <w:p>
            <w:pPr>
              <w:pStyle w:val="9"/>
              <w:pageBreakBefore w:val="0"/>
              <w:kinsoku/>
              <w:wordWrap/>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需提供信用中国查询情况材料，响应文件中未体现导致评分小组无法判断的不得分。</w:t>
            </w:r>
          </w:p>
        </w:tc>
        <w:tc>
          <w:tcPr>
            <w:tcW w:w="374" w:type="pct"/>
            <w:tcBorders>
              <w:top w:val="single" w:color="000000" w:sz="4" w:space="0"/>
              <w:left w:val="nil"/>
              <w:bottom w:val="single" w:color="000000" w:sz="4" w:space="0"/>
              <w:right w:val="single" w:color="000000" w:sz="4" w:space="0"/>
            </w:tcBorders>
            <w:noWrap w:val="0"/>
            <w:vAlign w:val="center"/>
          </w:tcPr>
          <w:p>
            <w:pPr>
              <w:pageBreakBefore w:val="0"/>
              <w:widowControl/>
              <w:kinsoku/>
              <w:wordWrap/>
              <w:overflowPunct/>
              <w:topLinePunct w:val="0"/>
              <w:autoSpaceDE/>
              <w:autoSpaceDN/>
              <w:bidi w:val="0"/>
              <w:spacing w:line="560" w:lineRule="exact"/>
              <w:jc w:val="center"/>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8" w:hRule="atLeast"/>
          <w:jc w:val="center"/>
        </w:trPr>
        <w:tc>
          <w:tcPr>
            <w:tcW w:w="415" w:type="pct"/>
            <w:tcBorders>
              <w:top w:val="single" w:color="000000" w:sz="4" w:space="0"/>
              <w:left w:val="single" w:color="000000" w:sz="4" w:space="0"/>
              <w:right w:val="single" w:color="000000" w:sz="4" w:space="0"/>
            </w:tcBorders>
            <w:noWrap w:val="0"/>
            <w:vAlign w:val="center"/>
          </w:tcPr>
          <w:p>
            <w:pPr>
              <w:pageBreakBefore w:val="0"/>
              <w:kinsoku/>
              <w:wordWrap/>
              <w:overflowPunct/>
              <w:topLinePunct w:val="0"/>
              <w:autoSpaceDE/>
              <w:autoSpaceDN/>
              <w:bidi w:val="0"/>
              <w:spacing w:line="560" w:lineRule="exact"/>
              <w:jc w:val="center"/>
              <w:textAlignment w:val="auto"/>
              <w:rPr>
                <w:rFonts w:hint="default"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3</w:t>
            </w:r>
          </w:p>
        </w:tc>
        <w:tc>
          <w:tcPr>
            <w:tcW w:w="607" w:type="pct"/>
            <w:tcBorders>
              <w:top w:val="single" w:color="000000" w:sz="4" w:space="0"/>
              <w:left w:val="nil"/>
              <w:right w:val="single" w:color="000000" w:sz="4" w:space="0"/>
            </w:tcBorders>
            <w:noWrap w:val="0"/>
            <w:vAlign w:val="center"/>
          </w:tcPr>
          <w:p>
            <w:pPr>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highlight w:val="none"/>
                <w:shd w:val="clear"/>
                <w:lang w:val="en-US" w:eastAsia="zh-CN" w:bidi="ar"/>
              </w:rPr>
              <w:t>资质经验</w:t>
            </w:r>
          </w:p>
        </w:tc>
        <w:tc>
          <w:tcPr>
            <w:tcW w:w="3603" w:type="pct"/>
            <w:tcBorders>
              <w:top w:val="single" w:color="000000" w:sz="4" w:space="0"/>
              <w:left w:val="nil"/>
              <w:bottom w:val="single" w:color="000000" w:sz="4" w:space="0"/>
              <w:right w:val="single" w:color="000000" w:sz="4" w:space="0"/>
            </w:tcBorders>
            <w:noWrap w:val="0"/>
            <w:vAlign w:val="center"/>
          </w:tcPr>
          <w:p>
            <w:pPr>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kern w:val="0"/>
                <w:sz w:val="24"/>
                <w:szCs w:val="32"/>
                <w:lang w:val="en-US" w:eastAsia="zh-CN" w:bidi="ar"/>
              </w:rPr>
              <w:t>服务保证：</w:t>
            </w:r>
            <w:r>
              <w:rPr>
                <w:rFonts w:hint="eastAsia" w:ascii="仿宋_GB2312" w:hAnsi="仿宋_GB2312" w:eastAsia="仿宋_GB2312" w:cs="仿宋_GB2312"/>
                <w:color w:val="000000"/>
                <w:kern w:val="0"/>
                <w:sz w:val="24"/>
                <w:szCs w:val="32"/>
                <w:lang w:val="en-US" w:eastAsia="zh-CN" w:bidi="ar"/>
              </w:rPr>
              <w:t>投标人在深圳市有固定服务网点（即投标人在深圳市注册或设有分公司）,经营范围需有安全检查等资质的得10分，无不得分；</w:t>
            </w:r>
          </w:p>
        </w:tc>
        <w:tc>
          <w:tcPr>
            <w:tcW w:w="374" w:type="pct"/>
            <w:tcBorders>
              <w:top w:val="single" w:color="000000" w:sz="4" w:space="0"/>
              <w:left w:val="nil"/>
              <w:bottom w:val="single" w:color="000000" w:sz="4" w:space="0"/>
              <w:right w:val="single" w:color="000000" w:sz="4" w:space="0"/>
            </w:tcBorders>
            <w:noWrap w:val="0"/>
            <w:vAlign w:val="center"/>
          </w:tcPr>
          <w:p>
            <w:pPr>
              <w:pageBreakBefore w:val="0"/>
              <w:widowControl/>
              <w:kinsoku/>
              <w:wordWrap/>
              <w:overflowPunct/>
              <w:topLinePunct w:val="0"/>
              <w:autoSpaceDE/>
              <w:autoSpaceDN/>
              <w:bidi w:val="0"/>
              <w:spacing w:line="560" w:lineRule="exact"/>
              <w:jc w:val="center"/>
              <w:textAlignment w:val="auto"/>
              <w:rPr>
                <w:rFonts w:hint="default"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8" w:hRule="atLeast"/>
          <w:jc w:val="center"/>
        </w:trPr>
        <w:tc>
          <w:tcPr>
            <w:tcW w:w="415" w:type="pct"/>
            <w:tcBorders>
              <w:top w:val="single" w:color="000000" w:sz="4" w:space="0"/>
              <w:left w:val="single" w:color="000000" w:sz="4" w:space="0"/>
              <w:right w:val="single" w:color="000000" w:sz="4" w:space="0"/>
            </w:tcBorders>
            <w:noWrap w:val="0"/>
            <w:vAlign w:val="center"/>
          </w:tcPr>
          <w:p>
            <w:pPr>
              <w:pageBreakBefore w:val="0"/>
              <w:kinsoku/>
              <w:wordWrap/>
              <w:overflowPunct/>
              <w:topLinePunct w:val="0"/>
              <w:autoSpaceDE/>
              <w:autoSpaceDN/>
              <w:bidi w:val="0"/>
              <w:spacing w:line="560" w:lineRule="exact"/>
              <w:jc w:val="center"/>
              <w:textAlignment w:val="auto"/>
              <w:rPr>
                <w:rFonts w:hint="default"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4</w:t>
            </w:r>
          </w:p>
        </w:tc>
        <w:tc>
          <w:tcPr>
            <w:tcW w:w="607" w:type="pct"/>
            <w:tcBorders>
              <w:top w:val="single" w:color="000000" w:sz="4" w:space="0"/>
              <w:left w:val="nil"/>
              <w:right w:val="single" w:color="000000" w:sz="4" w:space="0"/>
            </w:tcBorders>
            <w:noWrap w:val="0"/>
            <w:vAlign w:val="center"/>
          </w:tcPr>
          <w:p>
            <w:pPr>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highlight w:val="none"/>
                <w:shd w:val="clear"/>
                <w:lang w:val="en-US" w:eastAsia="zh-CN" w:bidi="ar"/>
              </w:rPr>
            </w:pPr>
            <w:r>
              <w:rPr>
                <w:rFonts w:hint="eastAsia" w:ascii="仿宋_GB2312" w:hAnsi="仿宋_GB2312" w:eastAsia="仿宋_GB2312" w:cs="仿宋_GB2312"/>
                <w:color w:val="000000"/>
                <w:kern w:val="0"/>
                <w:sz w:val="24"/>
                <w:highlight w:val="none"/>
                <w:shd w:val="clear"/>
                <w:lang w:val="en-US" w:eastAsia="zh-CN" w:bidi="ar"/>
              </w:rPr>
              <w:t>业绩情况</w:t>
            </w:r>
          </w:p>
        </w:tc>
        <w:tc>
          <w:tcPr>
            <w:tcW w:w="3603" w:type="pct"/>
            <w:tcBorders>
              <w:top w:val="single" w:color="000000" w:sz="4" w:space="0"/>
              <w:left w:val="nil"/>
              <w:bottom w:val="single" w:color="000000" w:sz="4" w:space="0"/>
              <w:right w:val="single" w:color="000000" w:sz="4" w:space="0"/>
            </w:tcBorders>
            <w:noWrap w:val="0"/>
            <w:vAlign w:val="center"/>
          </w:tcPr>
          <w:p>
            <w:pPr>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sz w:val="24"/>
                <w:szCs w:val="24"/>
                <w:highlight w:val="none"/>
              </w:rPr>
              <w:t>20</w:t>
            </w:r>
            <w:r>
              <w:rPr>
                <w:rFonts w:hint="eastAsia" w:ascii="仿宋_GB2312" w:hAnsi="仿宋_GB2312" w:eastAsia="仿宋_GB2312" w:cs="仿宋_GB2312"/>
                <w:sz w:val="24"/>
                <w:szCs w:val="24"/>
                <w:highlight w:val="none"/>
                <w:lang w:val="en-US" w:eastAsia="zh-CN"/>
              </w:rPr>
              <w:t>20</w:t>
            </w:r>
            <w:r>
              <w:rPr>
                <w:rFonts w:hint="eastAsia" w:ascii="仿宋_GB2312" w:hAnsi="仿宋_GB2312" w:eastAsia="仿宋_GB2312" w:cs="仿宋_GB2312"/>
                <w:sz w:val="24"/>
                <w:szCs w:val="24"/>
                <w:highlight w:val="none"/>
              </w:rPr>
              <w:t>年1月1日至今</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合作过</w:t>
            </w:r>
            <w:r>
              <w:rPr>
                <w:rFonts w:hint="eastAsia" w:ascii="仿宋_GB2312" w:hAnsi="仿宋_GB2312" w:eastAsia="仿宋_GB2312" w:cs="仿宋_GB2312"/>
                <w:sz w:val="24"/>
                <w:szCs w:val="24"/>
                <w:highlight w:val="none"/>
                <w:lang w:eastAsia="zh-CN"/>
              </w:rPr>
              <w:t>区级以上政府部门</w:t>
            </w:r>
            <w:r>
              <w:rPr>
                <w:rFonts w:hint="eastAsia" w:ascii="仿宋_GB2312" w:hAnsi="仿宋_GB2312" w:eastAsia="仿宋_GB2312" w:cs="仿宋_GB2312"/>
                <w:sz w:val="24"/>
                <w:szCs w:val="24"/>
                <w:highlight w:val="none"/>
                <w:lang w:val="en-US" w:eastAsia="zh-CN"/>
              </w:rPr>
              <w:t>或大型园区等</w:t>
            </w:r>
            <w:r>
              <w:rPr>
                <w:rFonts w:hint="eastAsia" w:ascii="仿宋_GB2312" w:hAnsi="仿宋_GB2312" w:eastAsia="仿宋_GB2312" w:cs="仿宋_GB2312"/>
                <w:sz w:val="24"/>
                <w:szCs w:val="24"/>
                <w:highlight w:val="none"/>
                <w:lang w:eastAsia="zh-CN"/>
              </w:rPr>
              <w:t>项目（</w:t>
            </w:r>
            <w:r>
              <w:rPr>
                <w:rFonts w:hint="eastAsia" w:ascii="仿宋_GB2312" w:hAnsi="仿宋_GB2312" w:eastAsia="仿宋_GB2312" w:cs="仿宋_GB2312"/>
                <w:sz w:val="24"/>
                <w:szCs w:val="24"/>
                <w:highlight w:val="none"/>
                <w:lang w:val="en-US" w:eastAsia="zh-CN"/>
              </w:rPr>
              <w:t>主要指安全生产检查、应急演练、安全生产培训等</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并能提供相关佐证材料。（佐证材料包括：签约合同、付款凭证或中标公告其一即可，</w:t>
            </w:r>
            <w:r>
              <w:rPr>
                <w:rFonts w:hint="eastAsia" w:ascii="仿宋_GB2312" w:hAnsi="仿宋_GB2312" w:eastAsia="仿宋_GB2312" w:cs="仿宋_GB2312"/>
                <w:sz w:val="24"/>
                <w:szCs w:val="24"/>
                <w:highlight w:val="none"/>
              </w:rPr>
              <w:t>每个得</w:t>
            </w: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szCs w:val="24"/>
                <w:highlight w:val="none"/>
              </w:rPr>
              <w:t>分，满分</w:t>
            </w:r>
            <w:r>
              <w:rPr>
                <w:rFonts w:hint="eastAsia" w:ascii="仿宋_GB2312" w:hAnsi="仿宋_GB2312" w:eastAsia="仿宋_GB2312" w:cs="仿宋_GB2312"/>
                <w:sz w:val="24"/>
                <w:szCs w:val="24"/>
                <w:highlight w:val="none"/>
                <w:lang w:val="en-US" w:eastAsia="zh-CN"/>
              </w:rPr>
              <w:t>20</w:t>
            </w:r>
            <w:r>
              <w:rPr>
                <w:rFonts w:hint="eastAsia" w:ascii="仿宋_GB2312" w:hAnsi="仿宋_GB2312" w:eastAsia="仿宋_GB2312" w:cs="仿宋_GB2312"/>
                <w:sz w:val="24"/>
                <w:szCs w:val="24"/>
                <w:highlight w:val="none"/>
              </w:rPr>
              <w:t>分</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w:t>
            </w:r>
          </w:p>
        </w:tc>
        <w:tc>
          <w:tcPr>
            <w:tcW w:w="374" w:type="pct"/>
            <w:tcBorders>
              <w:top w:val="single" w:color="000000" w:sz="4" w:space="0"/>
              <w:left w:val="nil"/>
              <w:bottom w:val="single" w:color="000000" w:sz="4" w:space="0"/>
              <w:right w:val="single" w:color="000000" w:sz="4" w:space="0"/>
            </w:tcBorders>
            <w:noWrap w:val="0"/>
            <w:vAlign w:val="center"/>
          </w:tcPr>
          <w:p>
            <w:pPr>
              <w:pageBreakBefore w:val="0"/>
              <w:widowControl/>
              <w:kinsoku/>
              <w:wordWrap/>
              <w:overflowPunct/>
              <w:topLinePunct w:val="0"/>
              <w:autoSpaceDE/>
              <w:autoSpaceDN/>
              <w:bidi w:val="0"/>
              <w:spacing w:line="560" w:lineRule="exact"/>
              <w:jc w:val="center"/>
              <w:textAlignment w:val="auto"/>
              <w:rPr>
                <w:rFonts w:hint="default"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5" w:hRule="atLeast"/>
          <w:jc w:val="center"/>
        </w:trPr>
        <w:tc>
          <w:tcPr>
            <w:tcW w:w="415" w:type="pct"/>
            <w:tcBorders>
              <w:top w:val="single" w:color="000000" w:sz="4" w:space="0"/>
              <w:left w:val="single" w:color="000000" w:sz="4" w:space="0"/>
              <w:right w:val="single" w:color="000000" w:sz="4" w:space="0"/>
            </w:tcBorders>
            <w:noWrap w:val="0"/>
            <w:vAlign w:val="center"/>
          </w:tcPr>
          <w:p>
            <w:pPr>
              <w:pageBreakBefore w:val="0"/>
              <w:kinsoku/>
              <w:wordWrap/>
              <w:overflowPunct/>
              <w:topLinePunct w:val="0"/>
              <w:autoSpaceDE/>
              <w:autoSpaceDN/>
              <w:bidi w:val="0"/>
              <w:spacing w:line="560" w:lineRule="exact"/>
              <w:jc w:val="center"/>
              <w:textAlignment w:val="auto"/>
              <w:rPr>
                <w:rFonts w:hint="default"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5</w:t>
            </w:r>
          </w:p>
        </w:tc>
        <w:tc>
          <w:tcPr>
            <w:tcW w:w="607" w:type="pct"/>
            <w:tcBorders>
              <w:top w:val="single" w:color="000000" w:sz="4" w:space="0"/>
              <w:left w:val="nil"/>
              <w:right w:val="single" w:color="000000" w:sz="4" w:space="0"/>
            </w:tcBorders>
            <w:noWrap w:val="0"/>
            <w:vAlign w:val="center"/>
          </w:tcPr>
          <w:p>
            <w:pPr>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项目团队</w:t>
            </w:r>
          </w:p>
        </w:tc>
        <w:tc>
          <w:tcPr>
            <w:tcW w:w="3603" w:type="pct"/>
            <w:tcBorders>
              <w:top w:val="single" w:color="000000" w:sz="4" w:space="0"/>
              <w:left w:val="nil"/>
              <w:bottom w:val="single" w:color="000000" w:sz="4" w:space="0"/>
              <w:right w:val="single" w:color="000000" w:sz="4" w:space="0"/>
            </w:tcBorders>
            <w:noWrap w:val="0"/>
            <w:vAlign w:val="center"/>
          </w:tcPr>
          <w:p>
            <w:pPr>
              <w:pageBreakBefore w:val="0"/>
              <w:numPr>
                <w:ilvl w:val="0"/>
                <w:numId w:val="0"/>
              </w:numPr>
              <w:kinsoku/>
              <w:wordWrap/>
              <w:overflowPunct/>
              <w:topLinePunct w:val="0"/>
              <w:autoSpaceDE/>
              <w:autoSpaceDN/>
              <w:bidi w:val="0"/>
              <w:spacing w:line="560" w:lineRule="exact"/>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bCs/>
                <w:sz w:val="24"/>
                <w:szCs w:val="24"/>
                <w:lang w:val="en-US" w:eastAsia="zh-CN"/>
              </w:rPr>
              <w:t>1.项目团队获奖情况：</w:t>
            </w:r>
            <w:r>
              <w:rPr>
                <w:rFonts w:hint="eastAsia" w:ascii="仿宋_GB2312" w:hAnsi="仿宋_GB2312" w:eastAsia="仿宋_GB2312" w:cs="仿宋_GB2312"/>
                <w:b w:val="0"/>
                <w:bCs w:val="0"/>
                <w:sz w:val="24"/>
                <w:szCs w:val="24"/>
                <w:lang w:val="en-US" w:eastAsia="zh-CN"/>
              </w:rPr>
              <w:t>为本项目配备的团队中有获得注册安全工程师，注册消防工程师，安全评价师等证书的工作人员（每个得1分，最高得5分）</w:t>
            </w:r>
          </w:p>
          <w:p>
            <w:pPr>
              <w:pageBreakBefore w:val="0"/>
              <w:numPr>
                <w:ilvl w:val="0"/>
                <w:numId w:val="0"/>
              </w:numPr>
              <w:kinsoku/>
              <w:wordWrap/>
              <w:overflowPunct/>
              <w:topLinePunct w:val="0"/>
              <w:autoSpaceDE/>
              <w:autoSpaceDN/>
              <w:bidi w:val="0"/>
              <w:spacing w:line="560" w:lineRule="exac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2.项目团队人数：</w:t>
            </w:r>
            <w:r>
              <w:rPr>
                <w:rFonts w:hint="eastAsia" w:ascii="仿宋_GB2312" w:hAnsi="仿宋_GB2312" w:eastAsia="仿宋_GB2312" w:cs="仿宋_GB2312"/>
                <w:b w:val="0"/>
                <w:bCs w:val="0"/>
                <w:sz w:val="24"/>
                <w:szCs w:val="24"/>
                <w:lang w:val="en-US" w:eastAsia="zh-CN"/>
              </w:rPr>
              <w:t>能为本项目配备专门的团队并提供不少于6个月的社保缴纳证明</w:t>
            </w:r>
            <w:r>
              <w:rPr>
                <w:rFonts w:hint="eastAsia" w:ascii="仿宋_GB2312" w:hAnsi="仿宋_GB2312" w:eastAsia="仿宋_GB2312" w:cs="仿宋_GB2312"/>
                <w:b/>
                <w:bCs/>
                <w:sz w:val="24"/>
                <w:szCs w:val="24"/>
                <w:lang w:val="en-US" w:eastAsia="zh-CN"/>
              </w:rPr>
              <w:t>，</w:t>
            </w:r>
            <w:r>
              <w:rPr>
                <w:rFonts w:hint="eastAsia" w:ascii="仿宋_GB2312" w:hAnsi="仿宋_GB2312" w:eastAsia="仿宋_GB2312" w:cs="仿宋_GB2312"/>
                <w:b w:val="0"/>
                <w:bCs w:val="0"/>
                <w:sz w:val="24"/>
                <w:szCs w:val="24"/>
                <w:lang w:val="en-US" w:eastAsia="zh-CN"/>
              </w:rPr>
              <w:t>没有的不得分，人数少于5人（不含本数）的，得3分；5-7人的，得4分；8人及以上的，得5分（最高得5分）</w:t>
            </w:r>
          </w:p>
        </w:tc>
        <w:tc>
          <w:tcPr>
            <w:tcW w:w="374" w:type="pct"/>
            <w:tcBorders>
              <w:top w:val="single" w:color="000000" w:sz="4" w:space="0"/>
              <w:left w:val="nil"/>
              <w:bottom w:val="single" w:color="000000" w:sz="4" w:space="0"/>
              <w:right w:val="single" w:color="000000" w:sz="4" w:space="0"/>
            </w:tcBorders>
            <w:noWrap w:val="0"/>
            <w:vAlign w:val="center"/>
          </w:tcPr>
          <w:p>
            <w:pPr>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415" w:type="pct"/>
            <w:vMerge w:val="restart"/>
            <w:tcBorders>
              <w:top w:val="single" w:color="000000" w:sz="4" w:space="0"/>
              <w:left w:val="single" w:color="000000" w:sz="4" w:space="0"/>
              <w:right w:val="single" w:color="000000" w:sz="4" w:space="0"/>
            </w:tcBorders>
            <w:noWrap w:val="0"/>
            <w:vAlign w:val="center"/>
          </w:tcPr>
          <w:p>
            <w:pPr>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kern w:val="0"/>
                <w:sz w:val="24"/>
                <w:lang w:val="en-US" w:eastAsia="zh-CN" w:bidi="ar"/>
              </w:rPr>
            </w:pPr>
          </w:p>
          <w:p>
            <w:pPr>
              <w:pageBreakBefore w:val="0"/>
              <w:kinsoku/>
              <w:wordWrap/>
              <w:overflowPunct/>
              <w:topLinePunct w:val="0"/>
              <w:autoSpaceDE/>
              <w:autoSpaceDN/>
              <w:bidi w:val="0"/>
              <w:spacing w:line="560" w:lineRule="exact"/>
              <w:jc w:val="center"/>
              <w:textAlignment w:val="auto"/>
              <w:rPr>
                <w:rFonts w:hint="default"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6</w:t>
            </w:r>
          </w:p>
          <w:p>
            <w:pPr>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p>
        </w:tc>
        <w:tc>
          <w:tcPr>
            <w:tcW w:w="607" w:type="pct"/>
            <w:vMerge w:val="restart"/>
            <w:tcBorders>
              <w:top w:val="single" w:color="000000" w:sz="4" w:space="0"/>
              <w:left w:val="nil"/>
              <w:right w:val="single" w:color="000000" w:sz="4" w:space="0"/>
            </w:tcBorders>
            <w:noWrap w:val="0"/>
            <w:vAlign w:val="center"/>
          </w:tcPr>
          <w:p>
            <w:pPr>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方案</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质量</w:t>
            </w:r>
          </w:p>
        </w:tc>
        <w:tc>
          <w:tcPr>
            <w:tcW w:w="3603" w:type="pct"/>
            <w:tcBorders>
              <w:top w:val="single" w:color="000000" w:sz="4" w:space="0"/>
              <w:left w:val="nil"/>
              <w:bottom w:val="single" w:color="000000" w:sz="4" w:space="0"/>
              <w:right w:val="single" w:color="000000" w:sz="4" w:space="0"/>
            </w:tcBorders>
            <w:noWrap w:val="0"/>
            <w:vAlign w:val="center"/>
          </w:tcPr>
          <w:p>
            <w:pPr>
              <w:pageBreakBefore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1.可行性：</w:t>
            </w:r>
            <w:r>
              <w:rPr>
                <w:rFonts w:hint="eastAsia" w:ascii="仿宋_GB2312" w:hAnsi="仿宋_GB2312" w:eastAsia="仿宋_GB2312" w:cs="仿宋_GB2312"/>
                <w:sz w:val="24"/>
                <w:szCs w:val="24"/>
                <w:lang w:val="en-US" w:eastAsia="zh-CN"/>
              </w:rPr>
              <w:t>横向对比各投标人提供的方案，是否切合区内旅游实际情况，对我区安全生产现状风险是否有完整性、合理性、可操作性分析。优得11-15分，良得6-10分，一般得1-5分。</w:t>
            </w:r>
          </w:p>
        </w:tc>
        <w:tc>
          <w:tcPr>
            <w:tcW w:w="374" w:type="pct"/>
            <w:tcBorders>
              <w:top w:val="single" w:color="000000" w:sz="4" w:space="0"/>
              <w:left w:val="nil"/>
              <w:bottom w:val="single" w:color="000000" w:sz="4" w:space="0"/>
              <w:right w:val="single" w:color="000000" w:sz="4" w:space="0"/>
            </w:tcBorders>
            <w:noWrap w:val="0"/>
            <w:vAlign w:val="center"/>
          </w:tcPr>
          <w:p>
            <w:pPr>
              <w:pageBreakBefore w:val="0"/>
              <w:widowControl/>
              <w:kinsoku/>
              <w:wordWrap/>
              <w:overflowPunct/>
              <w:topLinePunct w:val="0"/>
              <w:autoSpaceDE/>
              <w:autoSpaceDN/>
              <w:bidi w:val="0"/>
              <w:spacing w:line="560" w:lineRule="exact"/>
              <w:jc w:val="center"/>
              <w:textAlignment w:val="auto"/>
              <w:rPr>
                <w:rFonts w:hint="default"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5" w:type="pct"/>
            <w:vMerge w:val="continue"/>
            <w:tcBorders>
              <w:left w:val="single" w:color="000000" w:sz="4" w:space="0"/>
              <w:right w:val="single" w:color="000000" w:sz="4" w:space="0"/>
            </w:tcBorders>
            <w:noWrap w:val="0"/>
            <w:vAlign w:val="center"/>
          </w:tcPr>
          <w:p>
            <w:pPr>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tc>
        <w:tc>
          <w:tcPr>
            <w:tcW w:w="607" w:type="pct"/>
            <w:vMerge w:val="continue"/>
            <w:tcBorders>
              <w:left w:val="nil"/>
              <w:right w:val="single" w:color="000000" w:sz="4" w:space="0"/>
            </w:tcBorders>
            <w:noWrap w:val="0"/>
            <w:vAlign w:val="center"/>
          </w:tcPr>
          <w:p>
            <w:pPr>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p>
        </w:tc>
        <w:tc>
          <w:tcPr>
            <w:tcW w:w="3603" w:type="pct"/>
            <w:tcBorders>
              <w:top w:val="single" w:color="000000" w:sz="4" w:space="0"/>
              <w:left w:val="nil"/>
              <w:bottom w:val="single" w:color="000000" w:sz="4" w:space="0"/>
              <w:right w:val="single" w:color="000000" w:sz="4" w:space="0"/>
            </w:tcBorders>
            <w:noWrap w:val="0"/>
            <w:vAlign w:val="center"/>
          </w:tcPr>
          <w:p>
            <w:pPr>
              <w:pageBreakBefore w:val="0"/>
              <w:kinsoku/>
              <w:wordWrap/>
              <w:overflowPunct/>
              <w:topLinePunct w:val="0"/>
              <w:autoSpaceDE/>
              <w:autoSpaceDN/>
              <w:bidi w:val="0"/>
              <w:spacing w:line="560" w:lineRule="exact"/>
              <w:textAlignment w:val="auto"/>
              <w:rPr>
                <w:rFonts w:hint="default"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val="en-US" w:eastAsia="zh-CN"/>
                <w14:textFill>
                  <w14:solidFill>
                    <w14:schemeClr w14:val="tx1"/>
                  </w14:solidFill>
                </w14:textFill>
              </w:rPr>
              <w:t>2.全面性：</w:t>
            </w:r>
            <w:r>
              <w:rPr>
                <w:rFonts w:hint="eastAsia" w:ascii="仿宋_GB2312" w:hAnsi="仿宋_GB2312" w:eastAsia="仿宋_GB2312" w:cs="仿宋_GB2312"/>
                <w:sz w:val="24"/>
                <w:szCs w:val="24"/>
                <w:lang w:val="en-US" w:eastAsia="zh-CN"/>
              </w:rPr>
              <w:t>横向对比各投标人提供的方案，</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是否能全面覆盖景区存在的风险点（如恶劣天气、现场突发情况），对各类风险、突发情况有相应的预防措施、应急方案等。</w:t>
            </w:r>
          </w:p>
          <w:p>
            <w:pPr>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横向对比</w:t>
            </w:r>
            <w:r>
              <w:rPr>
                <w:rFonts w:hint="eastAsia" w:ascii="仿宋_GB2312" w:hAnsi="仿宋_GB2312" w:eastAsia="仿宋_GB2312" w:cs="仿宋_GB2312"/>
                <w:sz w:val="24"/>
                <w:szCs w:val="24"/>
                <w:lang w:val="en-US" w:eastAsia="zh-CN"/>
              </w:rPr>
              <w:t>优得11-15分，良得6-10分，一般得1-5分</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tc>
        <w:tc>
          <w:tcPr>
            <w:tcW w:w="374" w:type="pct"/>
            <w:tcBorders>
              <w:top w:val="single" w:color="000000" w:sz="4" w:space="0"/>
              <w:left w:val="nil"/>
              <w:bottom w:val="single" w:color="000000" w:sz="4" w:space="0"/>
              <w:right w:val="single" w:color="000000" w:sz="4" w:space="0"/>
            </w:tcBorders>
            <w:noWrap w:val="0"/>
            <w:vAlign w:val="center"/>
          </w:tcPr>
          <w:p>
            <w:pPr>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4625" w:type="pct"/>
            <w:gridSpan w:val="3"/>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合    计</w:t>
            </w:r>
          </w:p>
        </w:tc>
        <w:tc>
          <w:tcPr>
            <w:tcW w:w="374" w:type="pct"/>
            <w:tcBorders>
              <w:top w:val="single" w:color="000000" w:sz="4" w:space="0"/>
              <w:left w:val="nil"/>
              <w:bottom w:val="single" w:color="000000" w:sz="4" w:space="0"/>
              <w:right w:val="single" w:color="000000" w:sz="4" w:space="0"/>
            </w:tcBorders>
            <w:noWrap w:val="0"/>
            <w:vAlign w:val="center"/>
          </w:tcPr>
          <w:p>
            <w:pPr>
              <w:pageBreakBefore w:val="0"/>
              <w:widowControl/>
              <w:kinsoku/>
              <w:wordWrap/>
              <w:overflowPunct/>
              <w:topLinePunct w:val="0"/>
              <w:autoSpaceDE/>
              <w:autoSpaceDN/>
              <w:bidi w:val="0"/>
              <w:spacing w:line="560" w:lineRule="exact"/>
              <w:jc w:val="center"/>
              <w:textAlignment w:val="auto"/>
              <w:rPr>
                <w:rFonts w:hint="default" w:ascii="仿宋" w:hAnsi="仿宋" w:eastAsia="仿宋" w:cs="仿宋"/>
                <w:b/>
                <w:bCs/>
                <w:kern w:val="0"/>
                <w:sz w:val="24"/>
                <w:szCs w:val="24"/>
                <w:highlight w:val="none"/>
                <w:lang w:val="en-US" w:eastAsia="zh-CN"/>
              </w:rPr>
            </w:pPr>
            <w:r>
              <w:rPr>
                <w:rFonts w:hint="eastAsia" w:ascii="仿宋" w:hAnsi="仿宋" w:eastAsia="仿宋" w:cs="仿宋"/>
                <w:b/>
                <w:bCs/>
                <w:kern w:val="0"/>
                <w:sz w:val="24"/>
                <w:szCs w:val="24"/>
                <w:highlight w:val="none"/>
                <w:lang w:val="en-US" w:eastAsia="zh-CN"/>
              </w:rPr>
              <w:t>100</w:t>
            </w:r>
          </w:p>
        </w:tc>
      </w:tr>
    </w:tbl>
    <w:p>
      <w:pPr>
        <w:pageBreakBefore w:val="0"/>
        <w:kinsoku/>
        <w:wordWrap/>
        <w:overflowPunct/>
        <w:topLinePunct w:val="0"/>
        <w:autoSpaceDE/>
        <w:autoSpaceDN/>
        <w:bidi w:val="0"/>
        <w:spacing w:line="560" w:lineRule="exact"/>
        <w:ind w:firstLine="720" w:firstLineChars="200"/>
        <w:textAlignment w:val="auto"/>
        <w:rPr>
          <w:rFonts w:ascii="黑体" w:hAnsi="黑体" w:eastAsia="黑体" w:cs="黑体"/>
          <w:sz w:val="36"/>
          <w:szCs w:val="36"/>
          <w:highlight w:val="none"/>
        </w:rPr>
      </w:pPr>
      <w:r>
        <w:rPr>
          <w:rFonts w:hint="eastAsia" w:ascii="黑体" w:hAnsi="黑体" w:eastAsia="黑体" w:cs="黑体"/>
          <w:sz w:val="36"/>
          <w:szCs w:val="36"/>
          <w:highlight w:val="none"/>
        </w:rPr>
        <w:t>第三部分   供应商资质要求</w:t>
      </w:r>
    </w:p>
    <w:p>
      <w:pPr>
        <w:pStyle w:val="16"/>
        <w:spacing w:before="156" w:after="156"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（一）符合《中华人民共和国政府采购法》第二十二条要求。</w:t>
      </w:r>
    </w:p>
    <w:p>
      <w:pPr>
        <w:pStyle w:val="16"/>
        <w:spacing w:before="156" w:after="156"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被“信用中国”网站（www.creditchina.gov.cn）中列入失信被执行人或重大税收违法案件当事人名单的供应商、被中国政府采购网（www.ccgp.gov.cn）列入政府采购严重违法失信行为记录名单中被财政部门禁止参加政府采购活动的供应商（处罚决定规定的时间和地域范围内），无资格参加本项目的采购活动。</w:t>
      </w:r>
    </w:p>
    <w:p>
      <w:pPr>
        <w:pStyle w:val="16"/>
        <w:spacing w:before="156" w:after="156"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（三）单位负责人为同一人或者存在控股、管理关系的不同单位，不得同时参加本项目的招标。为本项目提供整体设计、规范编制或者项目管理、监理、检测等服务的供应商，不得再参加本项目招标。</w:t>
      </w:r>
    </w:p>
    <w:p>
      <w:pPr>
        <w:pStyle w:val="16"/>
        <w:spacing w:beforeLines="0" w:afterLines="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（四）本项目不接受联合体投标。</w:t>
      </w:r>
    </w:p>
    <w:p>
      <w:pPr>
        <w:pageBreakBefore w:val="0"/>
        <w:kinsoku/>
        <w:wordWrap/>
        <w:overflowPunct/>
        <w:topLinePunct w:val="0"/>
        <w:autoSpaceDE/>
        <w:autoSpaceDN/>
        <w:bidi w:val="0"/>
        <w:spacing w:line="560" w:lineRule="exact"/>
        <w:ind w:firstLine="720" w:firstLineChars="200"/>
        <w:textAlignment w:val="auto"/>
        <w:rPr>
          <w:rFonts w:ascii="黑体" w:hAnsi="黑体" w:eastAsia="黑体" w:cs="黑体"/>
          <w:sz w:val="36"/>
          <w:szCs w:val="36"/>
          <w:highlight w:val="none"/>
        </w:rPr>
      </w:pPr>
      <w:r>
        <w:rPr>
          <w:rFonts w:hint="eastAsia" w:ascii="黑体" w:hAnsi="黑体" w:eastAsia="黑体" w:cs="黑体"/>
          <w:sz w:val="36"/>
          <w:szCs w:val="36"/>
          <w:highlight w:val="none"/>
        </w:rPr>
        <w:t>第四部分   响应文件的构成及递交</w:t>
      </w:r>
    </w:p>
    <w:p>
      <w:pPr>
        <w:pageBreakBefore w:val="0"/>
        <w:kinsoku/>
        <w:wordWrap/>
        <w:overflowPunct/>
        <w:topLinePunct w:val="0"/>
        <w:autoSpaceDE/>
        <w:autoSpaceDN/>
        <w:bidi w:val="0"/>
        <w:spacing w:line="560" w:lineRule="exact"/>
        <w:ind w:firstLine="640" w:firstLineChars="200"/>
        <w:textAlignment w:val="auto"/>
        <w:rPr>
          <w:rFonts w:ascii="黑体" w:hAnsi="黑体" w:eastAsia="黑体" w:cs="黑体"/>
          <w:bCs/>
          <w:sz w:val="32"/>
          <w:szCs w:val="32"/>
          <w:highlight w:val="none"/>
        </w:rPr>
      </w:pPr>
      <w:r>
        <w:rPr>
          <w:rFonts w:hint="eastAsia" w:ascii="黑体" w:hAnsi="黑体" w:eastAsia="黑体" w:cs="黑体"/>
          <w:bCs/>
          <w:sz w:val="32"/>
          <w:szCs w:val="32"/>
          <w:highlight w:val="none"/>
        </w:rPr>
        <w:t>一、响应文件的构成</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（一）单位营业执照原件扫描件（加盖公章，原件备查；如深圳企业营业执照未反映经营范围，须提供深圳市市场监督管理局网站关于供应商经营范围查询结果的截图）；</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（二）详细清单报价；</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w:t>
      </w:r>
      <w:r>
        <w:rPr>
          <w:rFonts w:hint="eastAsia" w:ascii="仿宋_GB2312" w:hAnsi="仿宋_GB2312" w:eastAsia="仿宋_GB2312" w:cs="仿宋_GB2312"/>
          <w:sz w:val="32"/>
          <w:szCs w:val="32"/>
          <w:lang w:val="en-US" w:eastAsia="zh-CN"/>
        </w:rPr>
        <w:t>安全评价、消防评估</w:t>
      </w:r>
      <w:r>
        <w:rPr>
          <w:rFonts w:hint="eastAsia" w:ascii="仿宋_GB2312" w:hAnsi="仿宋_GB2312" w:eastAsia="仿宋_GB2312" w:cs="仿宋_GB2312"/>
          <w:sz w:val="32"/>
          <w:szCs w:val="32"/>
          <w:highlight w:val="none"/>
        </w:rPr>
        <w:t>等相关资质证书原件扫描件（加盖公章，原件备查）；</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w:t>
      </w:r>
      <w:r>
        <w:rPr>
          <w:rFonts w:hint="eastAsia" w:ascii="仿宋_GB2312" w:hAnsi="仿宋_GB2312" w:eastAsia="仿宋_GB2312" w:cs="仿宋_GB2312"/>
          <w:sz w:val="32"/>
          <w:szCs w:val="32"/>
          <w:highlight w:val="none"/>
          <w:lang w:val="en-US" w:eastAsia="zh-CN"/>
        </w:rPr>
        <w:t>2020年至今</w:t>
      </w:r>
      <w:r>
        <w:rPr>
          <w:rFonts w:hint="eastAsia" w:ascii="仿宋_GB2312" w:hAnsi="仿宋_GB2312" w:eastAsia="仿宋_GB2312" w:cs="仿宋_GB2312"/>
          <w:sz w:val="32"/>
          <w:szCs w:val="32"/>
          <w:highlight w:val="none"/>
        </w:rPr>
        <w:t>同规模项目案例业绩资料；</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（五）项目负责人社保证明</w:t>
      </w:r>
      <w:r>
        <w:rPr>
          <w:rFonts w:hint="eastAsia" w:ascii="仿宋_GB2312" w:hAnsi="仿宋_GB2312" w:eastAsia="仿宋_GB2312" w:cs="仿宋_GB2312"/>
          <w:sz w:val="32"/>
          <w:szCs w:val="32"/>
          <w:highlight w:val="none"/>
          <w:lang w:eastAsia="zh-CN"/>
        </w:rPr>
        <w:t>、学历、</w:t>
      </w:r>
      <w:r>
        <w:rPr>
          <w:rFonts w:hint="eastAsia" w:ascii="仿宋_GB2312" w:hAnsi="仿宋_GB2312" w:eastAsia="仿宋_GB2312" w:cs="仿宋_GB2312"/>
          <w:sz w:val="32"/>
          <w:szCs w:val="32"/>
          <w:highlight w:val="none"/>
        </w:rPr>
        <w:t>职称证书原件扫描件（加盖公章，原件备查）；</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（六）项目团队人员学历证书、职称证书原件扫描件（加盖公章，原件备查）；</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（七）项目服务方案</w:t>
      </w:r>
      <w:r>
        <w:rPr>
          <w:rFonts w:hint="eastAsia" w:ascii="仿宋_GB2312" w:hAnsi="仿宋_GB2312" w:eastAsia="仿宋_GB2312" w:cs="仿宋_GB2312"/>
          <w:sz w:val="32"/>
          <w:szCs w:val="32"/>
          <w:highlight w:val="none"/>
          <w:lang w:eastAsia="zh-CN"/>
        </w:rPr>
        <w:t>；</w:t>
      </w:r>
    </w:p>
    <w:p>
      <w:pPr>
        <w:pStyle w:val="8"/>
        <w:pageBreakBefore w:val="0"/>
        <w:kinsoku/>
        <w:wordWrap/>
        <w:overflowPunct/>
        <w:topLinePunct w:val="0"/>
        <w:autoSpaceDE/>
        <w:autoSpaceDN/>
        <w:bidi w:val="0"/>
        <w:spacing w:line="560" w:lineRule="exact"/>
        <w:textAlignment w:val="auto"/>
        <w:rPr>
          <w:rFonts w:hint="eastAsia"/>
          <w:highlight w:val="none"/>
          <w:lang w:eastAsia="zh-CN"/>
        </w:rPr>
      </w:pPr>
      <w:r>
        <w:rPr>
          <w:rFonts w:hint="eastAsia" w:ascii="仿宋_GB2312" w:hAnsi="仿宋_GB2312" w:eastAsia="仿宋_GB2312" w:cs="仿宋_GB2312"/>
          <w:kern w:val="2"/>
          <w:sz w:val="32"/>
          <w:szCs w:val="32"/>
          <w:highlight w:val="none"/>
          <w:lang w:val="en-US" w:eastAsia="zh-CN" w:bidi="ar-SA"/>
        </w:rPr>
        <w:t>（八）招标文件</w:t>
      </w:r>
      <w:r>
        <w:rPr>
          <w:rFonts w:hint="eastAsia" w:ascii="仿宋_GB2312" w:hAnsi="宋体" w:eastAsia="仿宋_GB2312"/>
          <w:color w:val="000000"/>
          <w:sz w:val="32"/>
          <w:szCs w:val="32"/>
          <w:highlight w:val="none"/>
        </w:rPr>
        <w:t>要求的其它内容或投标人认为需要补充的资料</w:t>
      </w:r>
      <w:r>
        <w:rPr>
          <w:rFonts w:hint="eastAsia" w:ascii="仿宋_GB2312" w:hAnsi="宋体" w:eastAsia="仿宋_GB2312"/>
          <w:color w:val="000000"/>
          <w:sz w:val="32"/>
          <w:szCs w:val="32"/>
          <w:highlight w:val="none"/>
          <w:lang w:eastAsia="zh-CN"/>
        </w:rPr>
        <w:t>。</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黑体" w:hAnsi="黑体" w:eastAsia="黑体" w:cs="黑体"/>
          <w:bCs/>
          <w:sz w:val="32"/>
          <w:szCs w:val="32"/>
          <w:highlight w:val="none"/>
        </w:rPr>
        <w:t>二、响应文件的递交</w:t>
      </w:r>
      <w:r>
        <w:rPr>
          <w:rFonts w:hint="eastAsia" w:ascii="仿宋_GB2312" w:hAnsi="仿宋_GB2312" w:eastAsia="仿宋_GB2312" w:cs="仿宋_GB2312"/>
          <w:sz w:val="32"/>
          <w:szCs w:val="32"/>
          <w:highlight w:val="none"/>
        </w:rPr>
        <w:t>（邮递拒绝到付）</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（一）供应商应准备“响应文件”一式六份，与《响应一览表》（附件1）一同密封</w:t>
      </w:r>
      <w:r>
        <w:rPr>
          <w:rFonts w:hint="eastAsia" w:ascii="仿宋_GB2312" w:hAnsi="仿宋_GB2312" w:eastAsia="仿宋_GB2312" w:cs="仿宋_GB2312"/>
          <w:sz w:val="32"/>
          <w:szCs w:val="32"/>
          <w:highlight w:val="none"/>
          <w:lang w:val="en-US" w:eastAsia="zh-CN"/>
        </w:rPr>
        <w:t>装好</w:t>
      </w:r>
      <w:r>
        <w:rPr>
          <w:rFonts w:hint="eastAsia" w:ascii="仿宋_GB2312" w:hAnsi="仿宋_GB2312" w:eastAsia="仿宋_GB2312" w:cs="仿宋_GB2312"/>
          <w:sz w:val="32"/>
          <w:szCs w:val="32"/>
          <w:highlight w:val="none"/>
        </w:rPr>
        <w:t>，封口处需加盖单位公章，并在封面注明：</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1.响应项目；</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2.供应商名称；</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3.联系人姓名、电话。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同时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电子版或扫描版材料发送到</w:t>
      </w:r>
      <w:r>
        <w:rPr>
          <w:rFonts w:hint="eastAsia" w:ascii="仿宋_GB2312" w:hAnsi="仿宋_GB2312" w:eastAsia="仿宋_GB2312" w:cs="仿宋_GB2312"/>
          <w:sz w:val="32"/>
          <w:szCs w:val="32"/>
          <w:highlight w:val="none"/>
          <w:lang w:val="en-US" w:eastAsia="zh-CN"/>
        </w:rPr>
        <w:t>wgltcyk@szgm.gov.cn。</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（二）响应文件递交截止时间：</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供应商响应文件时间不得迟于响应文件递交截止时间202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16</w:t>
      </w:r>
      <w:r>
        <w:rPr>
          <w:rFonts w:hint="eastAsia" w:ascii="仿宋_GB2312" w:hAnsi="仿宋_GB2312" w:eastAsia="仿宋_GB2312" w:cs="仿宋_GB2312"/>
          <w:sz w:val="32"/>
          <w:szCs w:val="32"/>
          <w:highlight w:val="none"/>
        </w:rPr>
        <w:t>日18时00分(北京时间)。</w:t>
      </w:r>
    </w:p>
    <w:p>
      <w:pPr>
        <w:pageBreakBefore w:val="0"/>
        <w:kinsoku/>
        <w:wordWrap/>
        <w:overflowPunct/>
        <w:topLinePunct w:val="0"/>
        <w:autoSpaceDE/>
        <w:autoSpaceDN/>
        <w:bidi w:val="0"/>
        <w:spacing w:line="560" w:lineRule="exact"/>
        <w:textAlignment w:val="auto"/>
        <w:rPr>
          <w:highlight w:val="none"/>
        </w:rPr>
      </w:pP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highlight w:val="none"/>
        </w:rPr>
        <w:sectPr>
          <w:pgSz w:w="11906" w:h="16838"/>
          <w:pgMar w:top="2098" w:right="1474" w:bottom="1984" w:left="1587" w:header="851" w:footer="992" w:gutter="0"/>
          <w:pgNumType w:fmt="numberInDash"/>
          <w:cols w:space="720" w:num="1"/>
          <w:docGrid w:type="lines" w:linePitch="312" w:charSpace="0"/>
        </w:sectPr>
      </w:pPr>
    </w:p>
    <w:p>
      <w:pPr>
        <w:pageBreakBefore w:val="0"/>
        <w:widowControl/>
        <w:kinsoku/>
        <w:wordWrap/>
        <w:overflowPunct/>
        <w:topLinePunct w:val="0"/>
        <w:autoSpaceDE/>
        <w:autoSpaceDN/>
        <w:bidi w:val="0"/>
        <w:spacing w:line="560" w:lineRule="exact"/>
        <w:jc w:val="center"/>
        <w:textAlignment w:val="auto"/>
        <w:rPr>
          <w:rFonts w:ascii="黑体" w:hAnsi="黑体" w:eastAsia="黑体" w:cs="黑体"/>
          <w:sz w:val="36"/>
          <w:szCs w:val="36"/>
          <w:highlight w:val="none"/>
        </w:rPr>
      </w:pPr>
      <w:r>
        <w:rPr>
          <w:rFonts w:hint="eastAsia" w:ascii="黑体" w:hAnsi="黑体" w:eastAsia="黑体" w:cs="黑体"/>
          <w:sz w:val="36"/>
          <w:szCs w:val="36"/>
          <w:highlight w:val="none"/>
        </w:rPr>
        <w:t>第三章  附件</w:t>
      </w:r>
    </w:p>
    <w:p>
      <w:pPr>
        <w:pageBreakBefore w:val="0"/>
        <w:widowControl/>
        <w:kinsoku/>
        <w:wordWrap/>
        <w:overflowPunct/>
        <w:topLinePunct w:val="0"/>
        <w:autoSpaceDE/>
        <w:autoSpaceDN/>
        <w:bidi w:val="0"/>
        <w:adjustRightInd w:val="0"/>
        <w:snapToGrid w:val="0"/>
        <w:spacing w:line="560" w:lineRule="exact"/>
        <w:jc w:val="center"/>
        <w:textAlignment w:val="auto"/>
        <w:rPr>
          <w:rFonts w:ascii="黑体" w:hAnsi="黑体" w:eastAsia="黑体" w:cs="黑体"/>
          <w:sz w:val="20"/>
          <w:szCs w:val="20"/>
          <w:highlight w:val="none"/>
        </w:rPr>
      </w:pPr>
    </w:p>
    <w:p>
      <w:pPr>
        <w:pageBreakBefore w:val="0"/>
        <w:kinsoku/>
        <w:wordWrap/>
        <w:overflowPunct/>
        <w:topLinePunct w:val="0"/>
        <w:autoSpaceDE/>
        <w:autoSpaceDN/>
        <w:bidi w:val="0"/>
        <w:spacing w:line="560" w:lineRule="exact"/>
        <w:textAlignment w:val="auto"/>
        <w:rPr>
          <w:rFonts w:ascii="黑体" w:hAnsi="黑体" w:eastAsia="黑体" w:cs="黑体"/>
          <w:sz w:val="36"/>
          <w:szCs w:val="36"/>
          <w:highlight w:val="none"/>
        </w:rPr>
      </w:pPr>
      <w:r>
        <w:rPr>
          <w:rFonts w:hint="eastAsia" w:ascii="黑体" w:hAnsi="黑体" w:eastAsia="黑体" w:cs="黑体"/>
          <w:sz w:val="36"/>
          <w:szCs w:val="36"/>
          <w:highlight w:val="none"/>
        </w:rPr>
        <w:t>附件1</w:t>
      </w:r>
    </w:p>
    <w:p>
      <w:pPr>
        <w:pageBreakBefore w:val="0"/>
        <w:kinsoku/>
        <w:wordWrap/>
        <w:overflowPunct/>
        <w:topLinePunct w:val="0"/>
        <w:autoSpaceDE/>
        <w:autoSpaceDN/>
        <w:bidi w:val="0"/>
        <w:spacing w:line="560" w:lineRule="exact"/>
        <w:ind w:firstLine="3360" w:firstLineChars="1050"/>
        <w:textAlignment w:val="auto"/>
        <w:rPr>
          <w:rFonts w:ascii="仿宋_GB2312" w:eastAsia="仿宋_GB2312"/>
          <w:sz w:val="32"/>
          <w:szCs w:val="32"/>
          <w:highlight w:val="none"/>
        </w:rPr>
      </w:pPr>
    </w:p>
    <w:p>
      <w:pPr>
        <w:pageBreakBefore w:val="0"/>
        <w:kinsoku/>
        <w:wordWrap/>
        <w:overflowPunct/>
        <w:topLinePunct w:val="0"/>
        <w:autoSpaceDE/>
        <w:autoSpaceDN/>
        <w:bidi w:val="0"/>
        <w:spacing w:line="560" w:lineRule="exact"/>
        <w:ind w:firstLine="3360" w:firstLineChars="1050"/>
        <w:textAlignment w:val="auto"/>
        <w:rPr>
          <w:rFonts w:ascii="仿宋_GB2312" w:eastAsia="仿宋_GB2312"/>
          <w:sz w:val="32"/>
          <w:szCs w:val="32"/>
          <w:highlight w:val="none"/>
        </w:rPr>
      </w:pPr>
      <w:r>
        <w:rPr>
          <w:rFonts w:hint="eastAsia" w:ascii="仿宋_GB2312" w:eastAsia="仿宋_GB2312"/>
          <w:sz w:val="32"/>
          <w:szCs w:val="32"/>
          <w:highlight w:val="none"/>
        </w:rPr>
        <w:t>响应一览表</w:t>
      </w:r>
    </w:p>
    <w:p>
      <w:pPr>
        <w:pageBreakBefore w:val="0"/>
        <w:kinsoku/>
        <w:wordWrap/>
        <w:overflowPunct/>
        <w:topLinePunct w:val="0"/>
        <w:autoSpaceDE/>
        <w:autoSpaceDN/>
        <w:bidi w:val="0"/>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项目编号：</w:t>
      </w:r>
    </w:p>
    <w:p>
      <w:pPr>
        <w:pageBreakBefore w:val="0"/>
        <w:kinsoku/>
        <w:wordWrap/>
        <w:overflowPunct/>
        <w:topLinePunct w:val="0"/>
        <w:autoSpaceDE/>
        <w:autoSpaceDN/>
        <w:bidi w:val="0"/>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项目名称：</w:t>
      </w:r>
    </w:p>
    <w:p>
      <w:pPr>
        <w:pageBreakBefore w:val="0"/>
        <w:kinsoku/>
        <w:wordWrap/>
        <w:overflowPunct/>
        <w:topLinePunct w:val="0"/>
        <w:autoSpaceDE/>
        <w:autoSpaceDN/>
        <w:bidi w:val="0"/>
        <w:spacing w:after="312" w:afterLines="100"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供应商名称：</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3953"/>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center"/>
          </w:tcPr>
          <w:p>
            <w:pPr>
              <w:pageBreakBefore w:val="0"/>
              <w:kinsoku/>
              <w:wordWrap/>
              <w:overflowPunct/>
              <w:topLinePunct w:val="0"/>
              <w:autoSpaceDE/>
              <w:autoSpaceDN/>
              <w:bidi w:val="0"/>
              <w:spacing w:line="560" w:lineRule="exact"/>
              <w:jc w:val="center"/>
              <w:textAlignment w:val="auto"/>
              <w:rPr>
                <w:rFonts w:ascii="仿宋_GB2312" w:eastAsia="仿宋_GB2312"/>
                <w:sz w:val="32"/>
                <w:szCs w:val="32"/>
                <w:highlight w:val="none"/>
              </w:rPr>
            </w:pPr>
            <w:r>
              <w:rPr>
                <w:rFonts w:hint="eastAsia" w:ascii="仿宋_GB2312" w:eastAsia="仿宋_GB2312"/>
                <w:sz w:val="32"/>
                <w:szCs w:val="32"/>
                <w:highlight w:val="none"/>
              </w:rPr>
              <w:t>序号</w:t>
            </w:r>
          </w:p>
        </w:tc>
        <w:tc>
          <w:tcPr>
            <w:tcW w:w="3953" w:type="dxa"/>
            <w:vAlign w:val="center"/>
          </w:tcPr>
          <w:p>
            <w:pPr>
              <w:pageBreakBefore w:val="0"/>
              <w:kinsoku/>
              <w:wordWrap/>
              <w:overflowPunct/>
              <w:topLinePunct w:val="0"/>
              <w:autoSpaceDE/>
              <w:autoSpaceDN/>
              <w:bidi w:val="0"/>
              <w:spacing w:line="560" w:lineRule="exact"/>
              <w:ind w:firstLine="640" w:firstLineChars="200"/>
              <w:jc w:val="center"/>
              <w:textAlignment w:val="auto"/>
              <w:rPr>
                <w:rFonts w:ascii="仿宋_GB2312" w:eastAsia="仿宋_GB2312"/>
                <w:sz w:val="32"/>
                <w:szCs w:val="32"/>
                <w:highlight w:val="none"/>
              </w:rPr>
            </w:pPr>
            <w:r>
              <w:rPr>
                <w:rFonts w:hint="eastAsia" w:ascii="仿宋_GB2312" w:eastAsia="仿宋_GB2312"/>
                <w:sz w:val="32"/>
                <w:szCs w:val="32"/>
                <w:highlight w:val="none"/>
              </w:rPr>
              <w:t>响应报价</w:t>
            </w:r>
          </w:p>
        </w:tc>
        <w:tc>
          <w:tcPr>
            <w:tcW w:w="2841" w:type="dxa"/>
            <w:vAlign w:val="center"/>
          </w:tcPr>
          <w:p>
            <w:pPr>
              <w:pageBreakBefore w:val="0"/>
              <w:kinsoku/>
              <w:wordWrap/>
              <w:overflowPunct/>
              <w:topLinePunct w:val="0"/>
              <w:autoSpaceDE/>
              <w:autoSpaceDN/>
              <w:bidi w:val="0"/>
              <w:spacing w:line="560" w:lineRule="exact"/>
              <w:ind w:firstLine="640" w:firstLineChars="200"/>
              <w:jc w:val="center"/>
              <w:textAlignment w:val="auto"/>
              <w:rPr>
                <w:rFonts w:ascii="仿宋_GB2312" w:eastAsia="仿宋_GB2312"/>
                <w:sz w:val="32"/>
                <w:szCs w:val="32"/>
                <w:highlight w:val="none"/>
              </w:rPr>
            </w:pPr>
            <w:r>
              <w:rPr>
                <w:rFonts w:hint="eastAsia" w:ascii="仿宋_GB2312" w:eastAsia="仿宋_GB2312"/>
                <w:sz w:val="32"/>
                <w:szCs w:val="3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center"/>
          </w:tcPr>
          <w:p>
            <w:pPr>
              <w:pageBreakBefore w:val="0"/>
              <w:kinsoku/>
              <w:wordWrap/>
              <w:overflowPunct/>
              <w:topLinePunct w:val="0"/>
              <w:autoSpaceDE/>
              <w:autoSpaceDN/>
              <w:bidi w:val="0"/>
              <w:spacing w:line="560" w:lineRule="exact"/>
              <w:ind w:firstLine="640" w:firstLineChars="200"/>
              <w:jc w:val="center"/>
              <w:textAlignment w:val="auto"/>
              <w:rPr>
                <w:rFonts w:ascii="仿宋_GB2312" w:eastAsia="仿宋_GB2312"/>
                <w:sz w:val="32"/>
                <w:szCs w:val="32"/>
                <w:highlight w:val="none"/>
              </w:rPr>
            </w:pPr>
          </w:p>
        </w:tc>
        <w:tc>
          <w:tcPr>
            <w:tcW w:w="3953" w:type="dxa"/>
            <w:vAlign w:val="center"/>
          </w:tcPr>
          <w:p>
            <w:pPr>
              <w:pageBreakBefore w:val="0"/>
              <w:kinsoku/>
              <w:wordWrap/>
              <w:overflowPunct/>
              <w:topLinePunct w:val="0"/>
              <w:autoSpaceDE/>
              <w:autoSpaceDN/>
              <w:bidi w:val="0"/>
              <w:spacing w:line="560" w:lineRule="exact"/>
              <w:ind w:firstLine="640" w:firstLineChars="200"/>
              <w:jc w:val="center"/>
              <w:textAlignment w:val="auto"/>
              <w:rPr>
                <w:rFonts w:ascii="仿宋_GB2312" w:eastAsia="仿宋_GB2312"/>
                <w:sz w:val="32"/>
                <w:szCs w:val="32"/>
                <w:highlight w:val="none"/>
              </w:rPr>
            </w:pPr>
          </w:p>
        </w:tc>
        <w:tc>
          <w:tcPr>
            <w:tcW w:w="2841" w:type="dxa"/>
            <w:vAlign w:val="center"/>
          </w:tcPr>
          <w:p>
            <w:pPr>
              <w:pageBreakBefore w:val="0"/>
              <w:kinsoku/>
              <w:wordWrap/>
              <w:overflowPunct/>
              <w:topLinePunct w:val="0"/>
              <w:autoSpaceDE/>
              <w:autoSpaceDN/>
              <w:bidi w:val="0"/>
              <w:spacing w:line="560" w:lineRule="exact"/>
              <w:ind w:firstLine="640" w:firstLineChars="200"/>
              <w:jc w:val="center"/>
              <w:textAlignment w:val="auto"/>
              <w:rPr>
                <w:rFonts w:ascii="仿宋_GB2312" w:eastAsia="仿宋_GB2312"/>
                <w:sz w:val="32"/>
                <w:szCs w:val="32"/>
                <w:highlight w:val="none"/>
              </w:rPr>
            </w:pPr>
          </w:p>
        </w:tc>
      </w:tr>
    </w:tbl>
    <w:p>
      <w:pPr>
        <w:pageBreakBefore w:val="0"/>
        <w:kinsoku/>
        <w:wordWrap/>
        <w:overflowPunct/>
        <w:topLinePunct w:val="0"/>
        <w:autoSpaceDE/>
        <w:autoSpaceDN/>
        <w:bidi w:val="0"/>
        <w:spacing w:line="560" w:lineRule="exact"/>
        <w:ind w:firstLine="640" w:firstLineChars="200"/>
        <w:textAlignment w:val="auto"/>
        <w:rPr>
          <w:rFonts w:ascii="仿宋_GB2312" w:eastAsia="仿宋_GB2312"/>
          <w:sz w:val="32"/>
          <w:szCs w:val="32"/>
          <w:highlight w:val="none"/>
        </w:rPr>
      </w:pPr>
    </w:p>
    <w:p>
      <w:pPr>
        <w:pageBreakBefore w:val="0"/>
        <w:kinsoku/>
        <w:wordWrap/>
        <w:overflowPunct/>
        <w:topLinePunct w:val="0"/>
        <w:autoSpaceDE/>
        <w:autoSpaceDN/>
        <w:bidi w:val="0"/>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供应商代表签字：</w:t>
      </w:r>
    </w:p>
    <w:p>
      <w:pPr>
        <w:pageBreakBefore w:val="0"/>
        <w:kinsoku/>
        <w:wordWrap/>
        <w:overflowPunct/>
        <w:topLinePunct w:val="0"/>
        <w:autoSpaceDE/>
        <w:autoSpaceDN/>
        <w:bidi w:val="0"/>
        <w:spacing w:line="560" w:lineRule="exact"/>
        <w:ind w:firstLine="640" w:firstLineChars="200"/>
        <w:textAlignment w:val="auto"/>
        <w:rPr>
          <w:rFonts w:ascii="仿宋_GB2312" w:eastAsia="仿宋_GB2312"/>
          <w:sz w:val="32"/>
          <w:szCs w:val="32"/>
          <w:highlight w:val="none"/>
          <w:u w:val="single"/>
        </w:rPr>
      </w:pPr>
      <w:r>
        <w:rPr>
          <w:rFonts w:hint="eastAsia" w:ascii="仿宋_GB2312" w:eastAsia="仿宋_GB2312"/>
          <w:sz w:val="32"/>
          <w:szCs w:val="32"/>
          <w:highlight w:val="none"/>
        </w:rPr>
        <w:t>单位盖章：</w:t>
      </w:r>
    </w:p>
    <w:p>
      <w:pPr>
        <w:pageBreakBefore w:val="0"/>
        <w:kinsoku/>
        <w:wordWrap/>
        <w:overflowPunct/>
        <w:topLinePunct w:val="0"/>
        <w:autoSpaceDE/>
        <w:autoSpaceDN/>
        <w:bidi w:val="0"/>
        <w:spacing w:line="560" w:lineRule="exact"/>
        <w:ind w:firstLine="640" w:firstLineChars="200"/>
        <w:textAlignment w:val="auto"/>
        <w:rPr>
          <w:rFonts w:ascii="仿宋_GB2312" w:eastAsia="仿宋_GB2312"/>
          <w:sz w:val="32"/>
          <w:szCs w:val="32"/>
          <w:highlight w:val="none"/>
          <w:u w:val="single"/>
        </w:rPr>
      </w:pPr>
    </w:p>
    <w:p>
      <w:pPr>
        <w:pageBreakBefore w:val="0"/>
        <w:kinsoku/>
        <w:wordWrap/>
        <w:overflowPunct/>
        <w:topLinePunct w:val="0"/>
        <w:autoSpaceDE/>
        <w:autoSpaceDN/>
        <w:bidi w:val="0"/>
        <w:spacing w:line="560" w:lineRule="exact"/>
        <w:ind w:firstLine="640" w:firstLineChars="200"/>
        <w:textAlignment w:val="auto"/>
        <w:rPr>
          <w:rFonts w:ascii="仿宋_GB2312" w:eastAsia="仿宋_GB2312"/>
          <w:sz w:val="32"/>
          <w:szCs w:val="32"/>
          <w:highlight w:val="none"/>
          <w:u w:val="single"/>
        </w:rPr>
      </w:pPr>
    </w:p>
    <w:p>
      <w:pPr>
        <w:pageBreakBefore w:val="0"/>
        <w:kinsoku/>
        <w:wordWrap/>
        <w:overflowPunct/>
        <w:topLinePunct w:val="0"/>
        <w:autoSpaceDE/>
        <w:autoSpaceDN/>
        <w:bidi w:val="0"/>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供应商联系电话（必填）：</w:t>
      </w:r>
    </w:p>
    <w:p>
      <w:pPr>
        <w:pageBreakBefore w:val="0"/>
        <w:kinsoku/>
        <w:wordWrap/>
        <w:overflowPunct/>
        <w:topLinePunct w:val="0"/>
        <w:autoSpaceDE/>
        <w:autoSpaceDN/>
        <w:bidi w:val="0"/>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日  期：</w:t>
      </w:r>
    </w:p>
    <w:p>
      <w:pPr>
        <w:pageBreakBefore w:val="0"/>
        <w:kinsoku/>
        <w:wordWrap/>
        <w:overflowPunct/>
        <w:topLinePunct w:val="0"/>
        <w:autoSpaceDE/>
        <w:autoSpaceDN/>
        <w:bidi w:val="0"/>
        <w:spacing w:line="560" w:lineRule="exact"/>
        <w:ind w:firstLine="640" w:firstLineChars="200"/>
        <w:textAlignment w:val="auto"/>
        <w:rPr>
          <w:rFonts w:ascii="仿宋_GB2312" w:eastAsia="仿宋_GB2312"/>
          <w:sz w:val="32"/>
          <w:szCs w:val="32"/>
          <w:highlight w:val="none"/>
        </w:rPr>
      </w:pPr>
    </w:p>
    <w:p>
      <w:pPr>
        <w:pageBreakBefore w:val="0"/>
        <w:kinsoku/>
        <w:wordWrap/>
        <w:overflowPunct/>
        <w:topLinePunct w:val="0"/>
        <w:autoSpaceDE/>
        <w:autoSpaceDN/>
        <w:bidi w:val="0"/>
        <w:spacing w:line="560" w:lineRule="exact"/>
        <w:ind w:firstLine="640" w:firstLineChars="200"/>
        <w:textAlignment w:val="auto"/>
        <w:rPr>
          <w:rFonts w:ascii="仿宋_GB2312" w:eastAsia="仿宋_GB2312"/>
          <w:sz w:val="32"/>
          <w:szCs w:val="32"/>
          <w:highlight w:val="none"/>
        </w:rPr>
      </w:pPr>
    </w:p>
    <w:p>
      <w:pPr>
        <w:pageBreakBefore w:val="0"/>
        <w:kinsoku/>
        <w:wordWrap/>
        <w:overflowPunct/>
        <w:topLinePunct w:val="0"/>
        <w:autoSpaceDE/>
        <w:autoSpaceDN/>
        <w:bidi w:val="0"/>
        <w:spacing w:line="560" w:lineRule="exact"/>
        <w:ind w:firstLine="640" w:firstLineChars="200"/>
        <w:textAlignment w:val="auto"/>
        <w:rPr>
          <w:rFonts w:ascii="仿宋_GB2312" w:eastAsia="仿宋_GB2312"/>
          <w:sz w:val="32"/>
          <w:szCs w:val="32"/>
          <w:highlight w:val="none"/>
        </w:rPr>
      </w:pPr>
    </w:p>
    <w:p>
      <w:pPr>
        <w:pageBreakBefore w:val="0"/>
        <w:kinsoku/>
        <w:wordWrap/>
        <w:overflowPunct/>
        <w:topLinePunct w:val="0"/>
        <w:autoSpaceDE/>
        <w:autoSpaceDN/>
        <w:bidi w:val="0"/>
        <w:spacing w:line="560" w:lineRule="exact"/>
        <w:ind w:firstLine="640" w:firstLineChars="200"/>
        <w:textAlignment w:val="auto"/>
        <w:rPr>
          <w:rFonts w:ascii="仿宋_GB2312" w:eastAsia="仿宋_GB2312"/>
          <w:sz w:val="32"/>
          <w:szCs w:val="32"/>
          <w:highlight w:val="none"/>
        </w:rPr>
      </w:pPr>
    </w:p>
    <w:p>
      <w:pPr>
        <w:pageBreakBefore w:val="0"/>
        <w:kinsoku/>
        <w:wordWrap/>
        <w:overflowPunct/>
        <w:topLinePunct w:val="0"/>
        <w:autoSpaceDE/>
        <w:autoSpaceDN/>
        <w:bidi w:val="0"/>
        <w:spacing w:line="560" w:lineRule="exact"/>
        <w:textAlignment w:val="auto"/>
        <w:rPr>
          <w:rFonts w:ascii="仿宋_GB2312" w:eastAsia="仿宋_GB2312"/>
          <w:sz w:val="32"/>
          <w:szCs w:val="32"/>
          <w:highlight w:val="none"/>
        </w:rPr>
      </w:pPr>
    </w:p>
    <w:p>
      <w:pPr>
        <w:pageBreakBefore w:val="0"/>
        <w:kinsoku/>
        <w:wordWrap/>
        <w:overflowPunct/>
        <w:topLinePunct w:val="0"/>
        <w:autoSpaceDE/>
        <w:autoSpaceDN/>
        <w:bidi w:val="0"/>
        <w:spacing w:line="560" w:lineRule="exact"/>
        <w:textAlignment w:val="auto"/>
        <w:rPr>
          <w:rFonts w:ascii="黑体" w:hAnsi="黑体" w:eastAsia="黑体" w:cs="黑体"/>
          <w:sz w:val="36"/>
          <w:szCs w:val="36"/>
          <w:highlight w:val="none"/>
        </w:rPr>
      </w:pPr>
      <w:r>
        <w:rPr>
          <w:rFonts w:hint="eastAsia" w:ascii="黑体" w:hAnsi="黑体" w:eastAsia="黑体" w:cs="黑体"/>
          <w:sz w:val="36"/>
          <w:szCs w:val="36"/>
          <w:highlight w:val="none"/>
        </w:rPr>
        <w:t>附件2</w:t>
      </w:r>
    </w:p>
    <w:p>
      <w:pPr>
        <w:pStyle w:val="7"/>
        <w:pageBreakBefore w:val="0"/>
        <w:kinsoku/>
        <w:wordWrap/>
        <w:overflowPunct/>
        <w:topLinePunct w:val="0"/>
        <w:autoSpaceDE/>
        <w:autoSpaceDN/>
        <w:bidi w:val="0"/>
        <w:adjustRightInd w:val="0"/>
        <w:snapToGrid w:val="0"/>
        <w:spacing w:before="0" w:after="0" w:line="560" w:lineRule="exact"/>
        <w:textAlignment w:val="auto"/>
        <w:rPr>
          <w:sz w:val="13"/>
          <w:szCs w:val="13"/>
          <w:highlight w:val="none"/>
        </w:rPr>
      </w:pPr>
    </w:p>
    <w:p>
      <w:pPr>
        <w:pStyle w:val="6"/>
        <w:pageBreakBefore w:val="0"/>
        <w:kinsoku/>
        <w:wordWrap/>
        <w:overflowPunct/>
        <w:topLinePunct w:val="0"/>
        <w:autoSpaceDE/>
        <w:autoSpaceDN/>
        <w:bidi w:val="0"/>
        <w:spacing w:before="0" w:after="0" w:line="560" w:lineRule="exact"/>
        <w:jc w:val="center"/>
        <w:textAlignment w:val="auto"/>
        <w:rPr>
          <w:kern w:val="0"/>
          <w:sz w:val="36"/>
          <w:szCs w:val="36"/>
          <w:highlight w:val="none"/>
        </w:rPr>
      </w:pPr>
      <w:r>
        <w:rPr>
          <w:rFonts w:hint="eastAsia"/>
          <w:kern w:val="0"/>
          <w:sz w:val="36"/>
          <w:szCs w:val="36"/>
          <w:highlight w:val="none"/>
        </w:rPr>
        <w:t>政府采购履约情况评价表</w:t>
      </w:r>
    </w:p>
    <w:p>
      <w:pPr>
        <w:pageBreakBefore w:val="0"/>
        <w:kinsoku/>
        <w:wordWrap/>
        <w:overflowPunct/>
        <w:topLinePunct w:val="0"/>
        <w:autoSpaceDE/>
        <w:autoSpaceDN/>
        <w:bidi w:val="0"/>
        <w:spacing w:line="560" w:lineRule="exact"/>
        <w:textAlignment w:val="auto"/>
        <w:rPr>
          <w:rFonts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 xml:space="preserve">采购单位名称：光明区文化广电旅游体育局      联系人及电话： </w:t>
      </w:r>
    </w:p>
    <w:p>
      <w:pPr>
        <w:pageBreakBefore w:val="0"/>
        <w:kinsoku/>
        <w:wordWrap/>
        <w:overflowPunct/>
        <w:topLinePunct w:val="0"/>
        <w:autoSpaceDE/>
        <w:autoSpaceDN/>
        <w:bidi w:val="0"/>
        <w:spacing w:line="560" w:lineRule="exact"/>
        <w:textAlignment w:val="auto"/>
        <w:rPr>
          <w:rFonts w:ascii="仿宋_GB2312" w:hAnsi="仿宋_GB2312" w:eastAsia="仿宋_GB2312" w:cs="仿宋_GB2312"/>
          <w:b/>
          <w:szCs w:val="21"/>
          <w:highlight w:val="none"/>
        </w:rPr>
      </w:pPr>
    </w:p>
    <w:tbl>
      <w:tblPr>
        <w:tblStyle w:val="12"/>
        <w:tblW w:w="891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2"/>
        <w:gridCol w:w="720"/>
        <w:gridCol w:w="1122"/>
        <w:gridCol w:w="2118"/>
        <w:gridCol w:w="1980"/>
        <w:gridCol w:w="213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2684" w:type="dxa"/>
            <w:gridSpan w:val="3"/>
            <w:vAlign w:val="center"/>
          </w:tcPr>
          <w:p>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项目名称</w:t>
            </w:r>
          </w:p>
        </w:tc>
        <w:tc>
          <w:tcPr>
            <w:tcW w:w="2118" w:type="dxa"/>
            <w:vAlign w:val="center"/>
          </w:tcPr>
          <w:p>
            <w:pPr>
              <w:pageBreakBefore w:val="0"/>
              <w:kinsoku/>
              <w:wordWrap/>
              <w:overflowPunct/>
              <w:topLinePunct w:val="0"/>
              <w:autoSpaceDE/>
              <w:autoSpaceDN/>
              <w:bidi w:val="0"/>
              <w:spacing w:line="560" w:lineRule="exact"/>
              <w:textAlignment w:val="auto"/>
              <w:rPr>
                <w:rFonts w:ascii="仿宋_GB2312" w:hAnsi="仿宋_GB2312" w:eastAsia="仿宋_GB2312" w:cs="仿宋_GB2312"/>
                <w:szCs w:val="21"/>
                <w:highlight w:val="none"/>
              </w:rPr>
            </w:pPr>
          </w:p>
        </w:tc>
        <w:tc>
          <w:tcPr>
            <w:tcW w:w="1980" w:type="dxa"/>
            <w:vAlign w:val="center"/>
          </w:tcPr>
          <w:p>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项目编号</w:t>
            </w:r>
          </w:p>
        </w:tc>
        <w:tc>
          <w:tcPr>
            <w:tcW w:w="2135" w:type="dxa"/>
            <w:vAlign w:val="center"/>
          </w:tcPr>
          <w:p>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2684" w:type="dxa"/>
            <w:gridSpan w:val="3"/>
            <w:vAlign w:val="center"/>
          </w:tcPr>
          <w:p>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中标供应商名称</w:t>
            </w:r>
          </w:p>
        </w:tc>
        <w:tc>
          <w:tcPr>
            <w:tcW w:w="2118" w:type="dxa"/>
            <w:vAlign w:val="center"/>
          </w:tcPr>
          <w:p>
            <w:pPr>
              <w:pageBreakBefore w:val="0"/>
              <w:kinsoku/>
              <w:wordWrap/>
              <w:overflowPunct/>
              <w:topLinePunct w:val="0"/>
              <w:autoSpaceDE/>
              <w:autoSpaceDN/>
              <w:bidi w:val="0"/>
              <w:spacing w:line="560" w:lineRule="exact"/>
              <w:textAlignment w:val="auto"/>
              <w:rPr>
                <w:rFonts w:ascii="仿宋_GB2312" w:hAnsi="仿宋_GB2312" w:eastAsia="仿宋_GB2312" w:cs="仿宋_GB2312"/>
                <w:szCs w:val="21"/>
                <w:highlight w:val="none"/>
              </w:rPr>
            </w:pPr>
          </w:p>
        </w:tc>
        <w:tc>
          <w:tcPr>
            <w:tcW w:w="1980" w:type="dxa"/>
            <w:vAlign w:val="center"/>
          </w:tcPr>
          <w:p>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供应商</w:t>
            </w:r>
          </w:p>
          <w:p>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联系人及电话</w:t>
            </w:r>
          </w:p>
        </w:tc>
        <w:tc>
          <w:tcPr>
            <w:tcW w:w="2135" w:type="dxa"/>
            <w:vAlign w:val="center"/>
          </w:tcPr>
          <w:p>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2684" w:type="dxa"/>
            <w:gridSpan w:val="3"/>
            <w:vAlign w:val="center"/>
          </w:tcPr>
          <w:p>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中标金额</w:t>
            </w:r>
          </w:p>
        </w:tc>
        <w:tc>
          <w:tcPr>
            <w:tcW w:w="2118" w:type="dxa"/>
            <w:vAlign w:val="center"/>
          </w:tcPr>
          <w:p>
            <w:pPr>
              <w:pageBreakBefore w:val="0"/>
              <w:kinsoku/>
              <w:wordWrap/>
              <w:overflowPunct/>
              <w:topLinePunct w:val="0"/>
              <w:autoSpaceDE/>
              <w:autoSpaceDN/>
              <w:bidi w:val="0"/>
              <w:spacing w:line="560" w:lineRule="exact"/>
              <w:textAlignment w:val="auto"/>
              <w:rPr>
                <w:rFonts w:ascii="仿宋_GB2312" w:hAnsi="仿宋_GB2312" w:eastAsia="仿宋_GB2312" w:cs="仿宋_GB2312"/>
                <w:szCs w:val="21"/>
                <w:highlight w:val="none"/>
              </w:rPr>
            </w:pPr>
          </w:p>
        </w:tc>
        <w:tc>
          <w:tcPr>
            <w:tcW w:w="1980" w:type="dxa"/>
            <w:vAlign w:val="center"/>
          </w:tcPr>
          <w:p>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合同履约时间</w:t>
            </w:r>
          </w:p>
        </w:tc>
        <w:tc>
          <w:tcPr>
            <w:tcW w:w="2135" w:type="dxa"/>
            <w:vAlign w:val="center"/>
          </w:tcPr>
          <w:p>
            <w:pPr>
              <w:pageBreakBefore w:val="0"/>
              <w:kinsoku/>
              <w:wordWrap/>
              <w:overflowPunct/>
              <w:topLinePunct w:val="0"/>
              <w:autoSpaceDE/>
              <w:autoSpaceDN/>
              <w:bidi w:val="0"/>
              <w:spacing w:line="560" w:lineRule="exact"/>
              <w:textAlignment w:val="auto"/>
              <w:rPr>
                <w:rFonts w:ascii="仿宋_GB2312" w:hAnsi="仿宋_GB2312" w:eastAsia="仿宋_GB2312" w:cs="仿宋_GB2312"/>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842" w:type="dxa"/>
            <w:vMerge w:val="restart"/>
            <w:vAlign w:val="center"/>
          </w:tcPr>
          <w:p>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履约情况评价</w:t>
            </w:r>
          </w:p>
        </w:tc>
        <w:tc>
          <w:tcPr>
            <w:tcW w:w="1842" w:type="dxa"/>
            <w:gridSpan w:val="2"/>
            <w:tcBorders>
              <w:right w:val="single" w:color="auto" w:sz="4" w:space="0"/>
            </w:tcBorders>
            <w:vAlign w:val="center"/>
          </w:tcPr>
          <w:p>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总体评价</w:t>
            </w:r>
          </w:p>
        </w:tc>
        <w:tc>
          <w:tcPr>
            <w:tcW w:w="6233" w:type="dxa"/>
            <w:gridSpan w:val="3"/>
            <w:tcBorders>
              <w:left w:val="single" w:color="auto" w:sz="4" w:space="0"/>
            </w:tcBorders>
            <w:vAlign w:val="center"/>
          </w:tcPr>
          <w:p>
            <w:pPr>
              <w:pageBreakBefore w:val="0"/>
              <w:kinsoku/>
              <w:wordWrap/>
              <w:overflowPunct/>
              <w:topLinePunct w:val="0"/>
              <w:autoSpaceDE/>
              <w:autoSpaceDN/>
              <w:bidi w:val="0"/>
              <w:spacing w:line="560" w:lineRule="exact"/>
              <w:ind w:firstLine="105" w:firstLineChars="50"/>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zCs w:val="21"/>
                <w:highlight w:val="none"/>
              </w:rPr>
            </w:pPr>
          </w:p>
        </w:tc>
        <w:tc>
          <w:tcPr>
            <w:tcW w:w="720" w:type="dxa"/>
            <w:vMerge w:val="restart"/>
            <w:tcBorders>
              <w:right w:val="single" w:color="auto" w:sz="4" w:space="0"/>
            </w:tcBorders>
            <w:vAlign w:val="center"/>
          </w:tcPr>
          <w:p>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分项评价</w:t>
            </w:r>
          </w:p>
        </w:tc>
        <w:tc>
          <w:tcPr>
            <w:tcW w:w="1122" w:type="dxa"/>
            <w:tcBorders>
              <w:left w:val="single" w:color="auto" w:sz="4" w:space="0"/>
              <w:right w:val="single" w:color="auto" w:sz="4" w:space="0"/>
            </w:tcBorders>
            <w:vAlign w:val="center"/>
          </w:tcPr>
          <w:p>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质量方面</w:t>
            </w:r>
          </w:p>
        </w:tc>
        <w:tc>
          <w:tcPr>
            <w:tcW w:w="6233" w:type="dxa"/>
            <w:gridSpan w:val="3"/>
            <w:tcBorders>
              <w:left w:val="single" w:color="auto" w:sz="4" w:space="0"/>
            </w:tcBorders>
            <w:vAlign w:val="center"/>
          </w:tcPr>
          <w:p>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zCs w:val="21"/>
                <w:highlight w:val="none"/>
              </w:rPr>
            </w:pPr>
          </w:p>
        </w:tc>
        <w:tc>
          <w:tcPr>
            <w:tcW w:w="720" w:type="dxa"/>
            <w:vMerge w:val="continue"/>
            <w:tcBorders>
              <w:right w:val="single" w:color="auto" w:sz="4" w:space="0"/>
            </w:tcBorders>
            <w:vAlign w:val="center"/>
          </w:tcPr>
          <w:p>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zCs w:val="21"/>
                <w:highlight w:val="none"/>
              </w:rPr>
            </w:pPr>
          </w:p>
        </w:tc>
        <w:tc>
          <w:tcPr>
            <w:tcW w:w="1122" w:type="dxa"/>
            <w:tcBorders>
              <w:left w:val="single" w:color="auto" w:sz="4" w:space="0"/>
              <w:right w:val="single" w:color="auto" w:sz="4" w:space="0"/>
            </w:tcBorders>
            <w:vAlign w:val="center"/>
          </w:tcPr>
          <w:p>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价格方面</w:t>
            </w:r>
          </w:p>
        </w:tc>
        <w:tc>
          <w:tcPr>
            <w:tcW w:w="6233" w:type="dxa"/>
            <w:gridSpan w:val="3"/>
            <w:tcBorders>
              <w:left w:val="single" w:color="auto" w:sz="4" w:space="0"/>
            </w:tcBorders>
            <w:vAlign w:val="center"/>
          </w:tcPr>
          <w:p>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zCs w:val="21"/>
                <w:highlight w:val="none"/>
              </w:rPr>
            </w:pPr>
          </w:p>
        </w:tc>
        <w:tc>
          <w:tcPr>
            <w:tcW w:w="720" w:type="dxa"/>
            <w:vMerge w:val="continue"/>
            <w:tcBorders>
              <w:right w:val="single" w:color="auto" w:sz="4" w:space="0"/>
            </w:tcBorders>
            <w:vAlign w:val="center"/>
          </w:tcPr>
          <w:p>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zCs w:val="21"/>
                <w:highlight w:val="none"/>
              </w:rPr>
            </w:pPr>
          </w:p>
        </w:tc>
        <w:tc>
          <w:tcPr>
            <w:tcW w:w="1122" w:type="dxa"/>
            <w:tcBorders>
              <w:left w:val="single" w:color="auto" w:sz="4" w:space="0"/>
              <w:right w:val="single" w:color="auto" w:sz="4" w:space="0"/>
            </w:tcBorders>
            <w:vAlign w:val="center"/>
          </w:tcPr>
          <w:p>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服务方面</w:t>
            </w:r>
          </w:p>
        </w:tc>
        <w:tc>
          <w:tcPr>
            <w:tcW w:w="6233" w:type="dxa"/>
            <w:gridSpan w:val="3"/>
            <w:tcBorders>
              <w:left w:val="single" w:color="auto" w:sz="4" w:space="0"/>
            </w:tcBorders>
            <w:vAlign w:val="center"/>
          </w:tcPr>
          <w:p>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zCs w:val="21"/>
                <w:highlight w:val="none"/>
              </w:rPr>
            </w:pPr>
          </w:p>
        </w:tc>
        <w:tc>
          <w:tcPr>
            <w:tcW w:w="720" w:type="dxa"/>
            <w:vMerge w:val="continue"/>
            <w:tcBorders>
              <w:right w:val="single" w:color="auto" w:sz="4" w:space="0"/>
            </w:tcBorders>
            <w:vAlign w:val="center"/>
          </w:tcPr>
          <w:p>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zCs w:val="21"/>
                <w:highlight w:val="none"/>
              </w:rPr>
            </w:pPr>
          </w:p>
        </w:tc>
        <w:tc>
          <w:tcPr>
            <w:tcW w:w="1122" w:type="dxa"/>
            <w:tcBorders>
              <w:left w:val="single" w:color="auto" w:sz="4" w:space="0"/>
              <w:right w:val="single" w:color="auto" w:sz="4" w:space="0"/>
            </w:tcBorders>
            <w:vAlign w:val="center"/>
          </w:tcPr>
          <w:p>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时间方面</w:t>
            </w:r>
          </w:p>
        </w:tc>
        <w:tc>
          <w:tcPr>
            <w:tcW w:w="6233" w:type="dxa"/>
            <w:gridSpan w:val="3"/>
            <w:tcBorders>
              <w:left w:val="single" w:color="auto" w:sz="4" w:space="0"/>
            </w:tcBorders>
            <w:vAlign w:val="center"/>
          </w:tcPr>
          <w:p>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97" w:hRule="atLeast"/>
          <w:jc w:val="center"/>
        </w:trPr>
        <w:tc>
          <w:tcPr>
            <w:tcW w:w="842" w:type="dxa"/>
            <w:vMerge w:val="continue"/>
            <w:vAlign w:val="center"/>
          </w:tcPr>
          <w:p>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zCs w:val="21"/>
                <w:highlight w:val="none"/>
              </w:rPr>
            </w:pPr>
          </w:p>
        </w:tc>
        <w:tc>
          <w:tcPr>
            <w:tcW w:w="720" w:type="dxa"/>
            <w:vMerge w:val="continue"/>
            <w:tcBorders>
              <w:right w:val="single" w:color="auto" w:sz="4" w:space="0"/>
            </w:tcBorders>
            <w:vAlign w:val="center"/>
          </w:tcPr>
          <w:p>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zCs w:val="21"/>
                <w:highlight w:val="none"/>
              </w:rPr>
            </w:pPr>
          </w:p>
        </w:tc>
        <w:tc>
          <w:tcPr>
            <w:tcW w:w="1122" w:type="dxa"/>
            <w:tcBorders>
              <w:left w:val="single" w:color="auto" w:sz="4" w:space="0"/>
              <w:right w:val="single" w:color="auto" w:sz="4" w:space="0"/>
            </w:tcBorders>
            <w:vAlign w:val="center"/>
          </w:tcPr>
          <w:p>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其他</w:t>
            </w:r>
          </w:p>
        </w:tc>
        <w:tc>
          <w:tcPr>
            <w:tcW w:w="6233" w:type="dxa"/>
            <w:gridSpan w:val="3"/>
            <w:tcBorders>
              <w:left w:val="single" w:color="auto" w:sz="4" w:space="0"/>
            </w:tcBorders>
            <w:vAlign w:val="center"/>
          </w:tcPr>
          <w:p>
            <w:pPr>
              <w:pageBreakBefore w:val="0"/>
              <w:kinsoku/>
              <w:wordWrap/>
              <w:overflowPunct/>
              <w:topLinePunct w:val="0"/>
              <w:autoSpaceDE/>
              <w:autoSpaceDN/>
              <w:bidi w:val="0"/>
              <w:spacing w:line="560" w:lineRule="exact"/>
              <w:textAlignment w:val="auto"/>
              <w:rPr>
                <w:rFonts w:ascii="仿宋_GB2312" w:hAnsi="仿宋_GB2312" w:eastAsia="仿宋_GB2312" w:cs="仿宋_GB2312"/>
                <w:szCs w:val="21"/>
                <w:highlight w:val="none"/>
                <w:u w:val="single"/>
              </w:rPr>
            </w:pPr>
            <w:r>
              <w:rPr>
                <w:rFonts w:hint="eastAsia" w:ascii="仿宋_GB2312" w:hAnsi="仿宋_GB2312" w:eastAsia="仿宋_GB2312" w:cs="仿宋_GB2312"/>
                <w:szCs w:val="21"/>
                <w:highlight w:val="none"/>
              </w:rPr>
              <w:t>评价内容为：</w:t>
            </w:r>
            <w:r>
              <w:rPr>
                <w:rFonts w:hint="eastAsia" w:ascii="仿宋_GB2312" w:hAnsi="仿宋_GB2312" w:eastAsia="仿宋_GB2312" w:cs="仿宋_GB2312"/>
                <w:szCs w:val="21"/>
                <w:highlight w:val="none"/>
                <w:u w:val="single"/>
              </w:rPr>
              <w:t xml:space="preserve">                    </w:t>
            </w:r>
          </w:p>
          <w:p>
            <w:pPr>
              <w:pageBreakBefore w:val="0"/>
              <w:kinsoku/>
              <w:wordWrap/>
              <w:overflowPunct/>
              <w:topLinePunct w:val="0"/>
              <w:autoSpaceDE/>
              <w:autoSpaceDN/>
              <w:bidi w:val="0"/>
              <w:spacing w:line="560" w:lineRule="exact"/>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评价等级为：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68" w:hRule="atLeast"/>
          <w:jc w:val="center"/>
        </w:trPr>
        <w:tc>
          <w:tcPr>
            <w:tcW w:w="1562" w:type="dxa"/>
            <w:gridSpan w:val="2"/>
            <w:vAlign w:val="center"/>
          </w:tcPr>
          <w:p>
            <w:pPr>
              <w:pageBreakBefore w:val="0"/>
              <w:kinsoku/>
              <w:wordWrap/>
              <w:overflowPunct/>
              <w:topLinePunct w:val="0"/>
              <w:autoSpaceDE/>
              <w:autoSpaceDN/>
              <w:bidi w:val="0"/>
              <w:spacing w:line="560" w:lineRule="exact"/>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具体情况说明</w:t>
            </w:r>
          </w:p>
        </w:tc>
        <w:tc>
          <w:tcPr>
            <w:tcW w:w="7355" w:type="dxa"/>
            <w:gridSpan w:val="4"/>
          </w:tcPr>
          <w:p>
            <w:pPr>
              <w:pageBreakBefore w:val="0"/>
              <w:kinsoku/>
              <w:wordWrap/>
              <w:overflowPunct/>
              <w:topLinePunct w:val="0"/>
              <w:autoSpaceDE/>
              <w:autoSpaceDN/>
              <w:bidi w:val="0"/>
              <w:spacing w:line="560" w:lineRule="exact"/>
              <w:ind w:firstLine="420" w:firstLineChars="200"/>
              <w:textAlignment w:val="auto"/>
              <w:rPr>
                <w:rFonts w:ascii="仿宋_GB2312" w:hAnsi="仿宋_GB2312" w:eastAsia="仿宋_GB2312" w:cs="仿宋_GB2312"/>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755" w:hRule="atLeast"/>
          <w:jc w:val="center"/>
        </w:trPr>
        <w:tc>
          <w:tcPr>
            <w:tcW w:w="1562" w:type="dxa"/>
            <w:gridSpan w:val="2"/>
            <w:vAlign w:val="center"/>
          </w:tcPr>
          <w:p>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采购单位意见</w:t>
            </w:r>
          </w:p>
          <w:p>
            <w:pPr>
              <w:pageBreakBefore w:val="0"/>
              <w:kinsoku/>
              <w:wordWrap/>
              <w:overflowPunct/>
              <w:topLinePunct w:val="0"/>
              <w:autoSpaceDE/>
              <w:autoSpaceDN/>
              <w:bidi w:val="0"/>
              <w:spacing w:line="56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（公章）</w:t>
            </w:r>
          </w:p>
        </w:tc>
        <w:tc>
          <w:tcPr>
            <w:tcW w:w="7355" w:type="dxa"/>
            <w:gridSpan w:val="4"/>
            <w:vAlign w:val="center"/>
          </w:tcPr>
          <w:p>
            <w:pPr>
              <w:pageBreakBefore w:val="0"/>
              <w:kinsoku/>
              <w:wordWrap/>
              <w:overflowPunct/>
              <w:topLinePunct w:val="0"/>
              <w:autoSpaceDE/>
              <w:autoSpaceDN/>
              <w:bidi w:val="0"/>
              <w:spacing w:line="560" w:lineRule="exact"/>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                             </w:t>
            </w:r>
          </w:p>
          <w:p>
            <w:pPr>
              <w:pageBreakBefore w:val="0"/>
              <w:kinsoku/>
              <w:wordWrap/>
              <w:overflowPunct/>
              <w:topLinePunct w:val="0"/>
              <w:autoSpaceDE/>
              <w:autoSpaceDN/>
              <w:bidi w:val="0"/>
              <w:spacing w:line="560" w:lineRule="exact"/>
              <w:ind w:firstLine="3780" w:firstLineChars="1800"/>
              <w:textAlignment w:val="auto"/>
              <w:rPr>
                <w:rFonts w:ascii="仿宋_GB2312" w:hAnsi="仿宋_GB2312" w:eastAsia="仿宋_GB2312" w:cs="仿宋_GB2312"/>
                <w:szCs w:val="21"/>
                <w:highlight w:val="none"/>
              </w:rPr>
            </w:pPr>
          </w:p>
          <w:p>
            <w:pPr>
              <w:pageBreakBefore w:val="0"/>
              <w:kinsoku/>
              <w:wordWrap/>
              <w:overflowPunct/>
              <w:topLinePunct w:val="0"/>
              <w:autoSpaceDE/>
              <w:autoSpaceDN/>
              <w:bidi w:val="0"/>
              <w:spacing w:line="560" w:lineRule="exact"/>
              <w:ind w:firstLine="3780" w:firstLineChars="1800"/>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日期：   年   月   日</w:t>
            </w:r>
          </w:p>
        </w:tc>
      </w:tr>
    </w:tbl>
    <w:p>
      <w:pPr>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Cs w:val="21"/>
          <w:highlight w:val="none"/>
        </w:rPr>
      </w:pPr>
    </w:p>
    <w:p>
      <w:pPr>
        <w:pageBreakBefore w:val="0"/>
        <w:kinsoku/>
        <w:wordWrap/>
        <w:overflowPunct/>
        <w:topLinePunct w:val="0"/>
        <w:autoSpaceDE/>
        <w:autoSpaceDN/>
        <w:bidi w:val="0"/>
        <w:spacing w:line="560" w:lineRule="exact"/>
        <w:textAlignment w:val="auto"/>
        <w:rPr>
          <w:rFonts w:ascii="仿宋_GB2312" w:hAnsi="仿宋_GB2312" w:eastAsia="仿宋_GB2312" w:cs="仿宋_GB2312"/>
          <w:szCs w:val="21"/>
          <w:highlight w:val="none"/>
        </w:rPr>
      </w:pPr>
      <w:bookmarkStart w:id="0" w:name="_GoBack"/>
      <w:bookmarkEnd w:id="0"/>
      <w:r>
        <w:rPr>
          <w:rFonts w:hint="eastAsia" w:ascii="仿宋_GB2312" w:hAnsi="仿宋_GB2312" w:eastAsia="仿宋_GB2312" w:cs="仿宋_GB2312"/>
          <w:szCs w:val="21"/>
          <w:highlight w:val="none"/>
        </w:rPr>
        <w:t>说明：</w:t>
      </w:r>
    </w:p>
    <w:p>
      <w:pPr>
        <w:pageBreakBefore w:val="0"/>
        <w:kinsoku/>
        <w:wordWrap/>
        <w:overflowPunct/>
        <w:topLinePunct w:val="0"/>
        <w:autoSpaceDE/>
        <w:autoSpaceDN/>
        <w:bidi w:val="0"/>
        <w:spacing w:line="560" w:lineRule="exact"/>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1.本表为采购单位反馈政府采购项目履约情况时所用；</w:t>
      </w:r>
    </w:p>
    <w:p>
      <w:pPr>
        <w:pageBreakBefore w:val="0"/>
        <w:kinsoku/>
        <w:wordWrap/>
        <w:overflowPunct/>
        <w:topLinePunct w:val="0"/>
        <w:autoSpaceDE/>
        <w:autoSpaceDN/>
        <w:bidi w:val="0"/>
        <w:spacing w:line="560" w:lineRule="exact"/>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2.履约情况评价分为优、良、中、差四个等级，请在对应的框前打“√”，然后在“具体情况说明”一栏详细说明有关情况；</w:t>
      </w:r>
    </w:p>
    <w:p>
      <w:pPr>
        <w:pageBreakBefore w:val="0"/>
        <w:kinsoku/>
        <w:wordWrap/>
        <w:overflowPunct/>
        <w:topLinePunct w:val="0"/>
        <w:autoSpaceDE/>
        <w:autoSpaceDN/>
        <w:bidi w:val="0"/>
        <w:spacing w:line="560" w:lineRule="exact"/>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3.在政府采购项目合同履约过程或履约结束后，采购单位应当及时填写本表以书面形式对采购实施流程中标供应商（含预选供应商）所提供的产品、服务或工程的质量、价格和履行情况等进行反馈，作为该供应商诚信管理的重要参考，未按要求书面反馈中标供应商的履约情况的，视为对供应商的履约情况无意见。</w:t>
      </w:r>
    </w:p>
    <w:p>
      <w:pPr>
        <w:pageBreakBefore w:val="0"/>
        <w:kinsoku/>
        <w:wordWrap/>
        <w:overflowPunct/>
        <w:topLinePunct w:val="0"/>
        <w:autoSpaceDE/>
        <w:autoSpaceDN/>
        <w:bidi w:val="0"/>
        <w:spacing w:line="560" w:lineRule="exact"/>
        <w:textAlignment w:val="auto"/>
        <w:rPr>
          <w:highlight w:val="none"/>
        </w:rPr>
      </w:pPr>
      <w:r>
        <w:rPr>
          <w:rFonts w:hint="eastAsia" w:ascii="仿宋_GB2312" w:hAnsi="仿宋_GB2312" w:eastAsia="仿宋_GB2312" w:cs="仿宋_GB2312"/>
          <w:szCs w:val="21"/>
          <w:highlight w:val="none"/>
        </w:rPr>
        <w:t>4.本表一式三份，采购单位存两份，中标供应商存一份。</w:t>
      </w: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highlight w:val="none"/>
        </w:rPr>
      </w:pPr>
    </w:p>
    <w:p>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highlight w:val="none"/>
        </w:rPr>
      </w:pPr>
    </w:p>
    <w:sectPr>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- 8 -</w:t>
                          </w:r>
                          <w:r>
                            <w:rPr>
                              <w:rFonts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0"/>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- 8 -</w:t>
                    </w:r>
                    <w:r>
                      <w:rPr>
                        <w:rFonts w:hint="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DA7353"/>
    <w:rsid w:val="0044360A"/>
    <w:rsid w:val="009C330D"/>
    <w:rsid w:val="009E3EFA"/>
    <w:rsid w:val="02367E63"/>
    <w:rsid w:val="042563C1"/>
    <w:rsid w:val="06A52B9B"/>
    <w:rsid w:val="06B04D39"/>
    <w:rsid w:val="07A11CC7"/>
    <w:rsid w:val="08940015"/>
    <w:rsid w:val="09065BB9"/>
    <w:rsid w:val="0A152435"/>
    <w:rsid w:val="0B073208"/>
    <w:rsid w:val="0DAF4921"/>
    <w:rsid w:val="0E30320C"/>
    <w:rsid w:val="10934F1D"/>
    <w:rsid w:val="11001057"/>
    <w:rsid w:val="11CD2E99"/>
    <w:rsid w:val="120F3399"/>
    <w:rsid w:val="12AF07D2"/>
    <w:rsid w:val="13A652E4"/>
    <w:rsid w:val="142B21E3"/>
    <w:rsid w:val="1986324C"/>
    <w:rsid w:val="1ACF7D82"/>
    <w:rsid w:val="1CDD1F31"/>
    <w:rsid w:val="1D2C7C39"/>
    <w:rsid w:val="1F3C2DEB"/>
    <w:rsid w:val="20224E85"/>
    <w:rsid w:val="20B83DEA"/>
    <w:rsid w:val="229541C4"/>
    <w:rsid w:val="230A0D93"/>
    <w:rsid w:val="25E84741"/>
    <w:rsid w:val="26FA51D8"/>
    <w:rsid w:val="27700DB7"/>
    <w:rsid w:val="27B16410"/>
    <w:rsid w:val="28BF4F40"/>
    <w:rsid w:val="299262F9"/>
    <w:rsid w:val="2A3B241E"/>
    <w:rsid w:val="2A9B5AF8"/>
    <w:rsid w:val="2AA777BD"/>
    <w:rsid w:val="2ACE49C3"/>
    <w:rsid w:val="2B755FF1"/>
    <w:rsid w:val="2F5A6885"/>
    <w:rsid w:val="309F4D84"/>
    <w:rsid w:val="325B7713"/>
    <w:rsid w:val="34874479"/>
    <w:rsid w:val="35C12CD7"/>
    <w:rsid w:val="364516BB"/>
    <w:rsid w:val="3783115E"/>
    <w:rsid w:val="37B759A5"/>
    <w:rsid w:val="388D5501"/>
    <w:rsid w:val="39AC14D4"/>
    <w:rsid w:val="3A4C350E"/>
    <w:rsid w:val="3AA47CBF"/>
    <w:rsid w:val="3CBF46B1"/>
    <w:rsid w:val="3E3C7638"/>
    <w:rsid w:val="3FF85392"/>
    <w:rsid w:val="402C2B0B"/>
    <w:rsid w:val="40DD1495"/>
    <w:rsid w:val="42EE4FF8"/>
    <w:rsid w:val="44C11BBF"/>
    <w:rsid w:val="46DA7C8C"/>
    <w:rsid w:val="47421DED"/>
    <w:rsid w:val="47DA2DB6"/>
    <w:rsid w:val="4A970798"/>
    <w:rsid w:val="4C2A1DB0"/>
    <w:rsid w:val="4CB156A1"/>
    <w:rsid w:val="4D7D7235"/>
    <w:rsid w:val="4F89474C"/>
    <w:rsid w:val="51C66178"/>
    <w:rsid w:val="54022599"/>
    <w:rsid w:val="54133801"/>
    <w:rsid w:val="55086505"/>
    <w:rsid w:val="56055C11"/>
    <w:rsid w:val="58B01875"/>
    <w:rsid w:val="5942157C"/>
    <w:rsid w:val="59920894"/>
    <w:rsid w:val="5AEC7080"/>
    <w:rsid w:val="5AFA61CD"/>
    <w:rsid w:val="5B3C1FF5"/>
    <w:rsid w:val="5BD13A49"/>
    <w:rsid w:val="5CBD40C9"/>
    <w:rsid w:val="5DD86AE6"/>
    <w:rsid w:val="5E0F6CAD"/>
    <w:rsid w:val="5E3C0A00"/>
    <w:rsid w:val="5FBD6441"/>
    <w:rsid w:val="62B547A3"/>
    <w:rsid w:val="639B319E"/>
    <w:rsid w:val="65DA7353"/>
    <w:rsid w:val="66206BAA"/>
    <w:rsid w:val="66986906"/>
    <w:rsid w:val="669E08D8"/>
    <w:rsid w:val="68BD3909"/>
    <w:rsid w:val="6AF10E58"/>
    <w:rsid w:val="6C5F52A1"/>
    <w:rsid w:val="6D2038EC"/>
    <w:rsid w:val="6DE00DD7"/>
    <w:rsid w:val="6EB53ED4"/>
    <w:rsid w:val="70EA01F2"/>
    <w:rsid w:val="712428E9"/>
    <w:rsid w:val="73104EDB"/>
    <w:rsid w:val="732269E6"/>
    <w:rsid w:val="75D80F6C"/>
    <w:rsid w:val="76CA56C9"/>
    <w:rsid w:val="76EC77C1"/>
    <w:rsid w:val="77FF625F"/>
    <w:rsid w:val="78271BBC"/>
    <w:rsid w:val="7A4A438C"/>
    <w:rsid w:val="7BD7BEF8"/>
    <w:rsid w:val="7D6D6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bCs/>
      <w:kern w:val="44"/>
      <w:sz w:val="44"/>
      <w:szCs w:val="44"/>
    </w:rPr>
  </w:style>
  <w:style w:type="paragraph" w:styleId="5">
    <w:name w:val="heading 2"/>
    <w:basedOn w:val="4"/>
    <w:next w:val="1"/>
    <w:qFormat/>
    <w:uiPriority w:val="0"/>
    <w:pPr>
      <w:spacing w:before="260" w:after="260" w:line="360" w:lineRule="auto"/>
      <w:jc w:val="center"/>
      <w:outlineLvl w:val="1"/>
    </w:pPr>
    <w:rPr>
      <w:rFonts w:ascii="黑体" w:hAnsi="宋体" w:eastAsia="黑体" w:cs="Arial"/>
      <w:b w:val="0"/>
      <w:bCs w:val="0"/>
      <w:sz w:val="28"/>
      <w:szCs w:val="21"/>
    </w:rPr>
  </w:style>
  <w:style w:type="paragraph" w:styleId="6">
    <w:name w:val="heading 3"/>
    <w:basedOn w:val="7"/>
    <w:next w:val="1"/>
    <w:qFormat/>
    <w:uiPriority w:val="0"/>
    <w:pPr>
      <w:spacing w:before="260" w:after="260" w:line="413" w:lineRule="auto"/>
      <w:outlineLvl w:val="2"/>
    </w:pPr>
    <w:rPr>
      <w:sz w:val="32"/>
      <w:szCs w:val="32"/>
    </w:rPr>
  </w:style>
  <w:style w:type="paragraph" w:styleId="7">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sz w:val="28"/>
    </w:rPr>
  </w:style>
  <w:style w:type="paragraph" w:styleId="3">
    <w:name w:val="Title"/>
    <w:basedOn w:val="1"/>
    <w:next w:val="1"/>
    <w:qFormat/>
    <w:uiPriority w:val="10"/>
    <w:pPr>
      <w:spacing w:before="240" w:after="60"/>
      <w:jc w:val="center"/>
      <w:outlineLvl w:val="0"/>
    </w:pPr>
    <w:rPr>
      <w:rFonts w:ascii="Cambria" w:hAnsi="Cambria"/>
      <w:b/>
      <w:bCs/>
      <w:kern w:val="0"/>
      <w:sz w:val="32"/>
      <w:szCs w:val="32"/>
    </w:rPr>
  </w:style>
  <w:style w:type="paragraph" w:styleId="8">
    <w:name w:val="Normal Indent"/>
    <w:basedOn w:val="1"/>
    <w:qFormat/>
    <w:uiPriority w:val="0"/>
    <w:pPr>
      <w:ind w:firstLine="420" w:firstLineChars="200"/>
    </w:pPr>
    <w:rPr>
      <w:szCs w:val="24"/>
    </w:rPr>
  </w:style>
  <w:style w:type="paragraph" w:styleId="9">
    <w:name w:val="Body Text Indent"/>
    <w:basedOn w:val="1"/>
    <w:qFormat/>
    <w:uiPriority w:val="0"/>
    <w:pPr>
      <w:spacing w:line="380" w:lineRule="atLeast"/>
      <w:ind w:firstLine="420" w:firstLineChars="200"/>
      <w:jc w:val="left"/>
    </w:pPr>
    <w:rPr>
      <w:rFonts w:ascii="宋体" w:hAnsi="宋体"/>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
    <w:name w:val="BodyText"/>
    <w:basedOn w:val="1"/>
    <w:qFormat/>
    <w:uiPriority w:val="0"/>
    <w:pPr>
      <w:spacing w:before="15"/>
      <w:ind w:left="120"/>
      <w:textAlignment w:val="baseline"/>
    </w:pPr>
    <w:rPr>
      <w:rFonts w:ascii="Arial Unicode MS" w:hAnsi="Arial Unicode MS" w:eastAsia="Arial Unicode MS" w:cs="Times New Roman"/>
      <w:sz w:val="32"/>
      <w:szCs w:val="32"/>
    </w:rPr>
  </w:style>
  <w:style w:type="paragraph" w:customStyle="1" w:styleId="16">
    <w:name w:val="2册标题2"/>
    <w:basedOn w:val="1"/>
    <w:next w:val="1"/>
    <w:qFormat/>
    <w:uiPriority w:val="0"/>
    <w:pPr>
      <w:spacing w:before="156" w:beforeLines="50" w:after="156" w:afterLines="50" w:line="300" w:lineRule="auto"/>
      <w:outlineLvl w:val="1"/>
    </w:pPr>
    <w:rPr>
      <w:rFonts w:ascii="Arial" w:hAnsi="Arial" w:eastAsia="黑体"/>
      <w:sz w:val="30"/>
      <w:szCs w:val="30"/>
    </w:rPr>
  </w:style>
  <w:style w:type="character" w:customStyle="1" w:styleId="17">
    <w:name w:val="font71"/>
    <w:basedOn w:val="14"/>
    <w:qFormat/>
    <w:uiPriority w:val="0"/>
    <w:rPr>
      <w:rFonts w:hint="eastAsia" w:ascii="宋体" w:hAnsi="宋体" w:eastAsia="宋体" w:cs="宋体"/>
      <w:color w:val="000000"/>
      <w:sz w:val="22"/>
      <w:szCs w:val="22"/>
      <w:u w:val="none"/>
    </w:rPr>
  </w:style>
  <w:style w:type="character" w:customStyle="1" w:styleId="18">
    <w:name w:val="font01"/>
    <w:basedOn w:val="14"/>
    <w:qFormat/>
    <w:uiPriority w:val="0"/>
    <w:rPr>
      <w:rFonts w:hint="eastAsia" w:ascii="宋体" w:hAnsi="宋体" w:eastAsia="宋体" w:cs="宋体"/>
      <w:color w:val="000000"/>
      <w:sz w:val="22"/>
      <w:szCs w:val="22"/>
      <w:u w:val="none"/>
    </w:rPr>
  </w:style>
  <w:style w:type="character" w:customStyle="1" w:styleId="19">
    <w:name w:val="font61"/>
    <w:basedOn w:val="14"/>
    <w:qFormat/>
    <w:uiPriority w:val="0"/>
    <w:rPr>
      <w:rFonts w:hint="eastAsia" w:ascii="宋体" w:hAnsi="宋体" w:eastAsia="宋体" w:cs="宋体"/>
      <w:color w:val="auto"/>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1036</Words>
  <Characters>5907</Characters>
  <Lines>49</Lines>
  <Paragraphs>13</Paragraphs>
  <TotalTime>0</TotalTime>
  <ScaleCrop>false</ScaleCrop>
  <LinksUpToDate>false</LinksUpToDate>
  <CharactersWithSpaces>6930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2018-09-20T09:24:00Z</dcterms:created>
  <dc:creator>____T杰</dc:creator>
  <cp:lastModifiedBy>hey ！</cp:lastModifiedBy>
  <cp:lastPrinted>2021-11-02T10:13:00Z</cp:lastPrinted>
  <dcterms:modified xsi:type="dcterms:W3CDTF">2023-02-14T07:53:13Z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44B466A3B47A428CA0AE493659031336</vt:lpwstr>
  </property>
</Properties>
</file>