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深圳市</w:t>
      </w:r>
      <w:r>
        <w:rPr>
          <w:rFonts w:hint="eastAsia" w:ascii="方正小标宋简体" w:hAnsi="方正小标宋简体" w:eastAsia="方正小标宋简体" w:cs="方正小标宋简体"/>
          <w:sz w:val="44"/>
          <w:szCs w:val="44"/>
          <w:highlight w:val="none"/>
        </w:rPr>
        <w:t>光明区支持超高清视频显示产业集群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高质量发展</w:t>
      </w:r>
      <w:r>
        <w:rPr>
          <w:rFonts w:hint="eastAsia" w:ascii="方正小标宋简体" w:hAnsi="方正小标宋简体" w:eastAsia="方正小标宋简体" w:cs="方正小标宋简体"/>
          <w:sz w:val="44"/>
          <w:szCs w:val="44"/>
          <w:highlight w:val="none"/>
          <w:lang w:eastAsia="zh-CN"/>
        </w:rPr>
        <w:t>扶持计划</w:t>
      </w:r>
      <w:r>
        <w:rPr>
          <w:rFonts w:hint="eastAsia" w:ascii="方正小标宋简体" w:hAnsi="方正小标宋简体" w:eastAsia="方正小标宋简体" w:cs="方正小标宋简体"/>
          <w:sz w:val="44"/>
          <w:szCs w:val="44"/>
          <w:highlight w:val="none"/>
        </w:rPr>
        <w:t>操作规程</w:t>
      </w:r>
    </w:p>
    <w:p>
      <w:pPr>
        <w:keepNext w:val="0"/>
        <w:keepLines w:val="0"/>
        <w:pageBreakBefore w:val="0"/>
        <w:widowControl w:val="0"/>
        <w:kinsoku/>
        <w:wordWrap/>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（征求意见稿）</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b/>
          <w:bCs/>
          <w:sz w:val="32"/>
          <w:szCs w:val="32"/>
          <w:highlight w:val="none"/>
          <w:lang w:val="en-US" w:eastAsia="zh-CN"/>
        </w:rPr>
        <w:t>第一条</w:t>
      </w:r>
      <w:r>
        <w:rPr>
          <w:rFonts w:hint="eastAsia" w:ascii="仿宋_GB2312" w:hAnsi="仿宋_GB2312" w:eastAsia="仿宋_GB2312" w:cs="仿宋_GB2312"/>
          <w:sz w:val="32"/>
          <w:szCs w:val="32"/>
          <w:highlight w:val="none"/>
          <w:lang w:val="en-US" w:eastAsia="zh-CN"/>
        </w:rPr>
        <w:t xml:space="preserve"> 为加强超高清视频显示产业集群高质量发展扶持计划项目和资金管理，促进光明区超高清视频显示产业高质量发展，</w:t>
      </w:r>
      <w:r>
        <w:rPr>
          <w:rFonts w:hint="eastAsia" w:ascii="仿宋_GB2312" w:hAnsi="仿宋_GB2312" w:eastAsia="仿宋_GB2312" w:cs="仿宋_GB2312"/>
          <w:sz w:val="32"/>
          <w:highlight w:val="none"/>
        </w:rPr>
        <w:t>加快建设超高清视频显示产业核心引领区</w:t>
      </w:r>
      <w:r>
        <w:rPr>
          <w:rFonts w:hint="eastAsia" w:ascii="仿宋_GB2312" w:hAnsi="仿宋_GB2312" w:eastAsia="仿宋_GB2312" w:cs="仿宋_GB2312"/>
          <w:sz w:val="32"/>
          <w:highlight w:val="none"/>
          <w:lang w:eastAsia="zh-CN"/>
        </w:rPr>
        <w:t>，根据《光明区经济发展专项资金管理办法》（深光府〔2022〕9号）</w:t>
      </w:r>
      <w:r>
        <w:rPr>
          <w:rFonts w:hint="eastAsia" w:ascii="仿宋_GB2312" w:hAnsi="仿宋_GB2312" w:cs="仿宋_GB2312"/>
          <w:sz w:val="32"/>
          <w:highlight w:val="none"/>
          <w:lang w:eastAsia="zh-CN"/>
        </w:rPr>
        <w:t>，</w:t>
      </w:r>
      <w:r>
        <w:rPr>
          <w:rFonts w:hint="eastAsia" w:ascii="仿宋_GB2312" w:hAnsi="仿宋_GB2312" w:eastAsia="仿宋_GB2312" w:cs="仿宋_GB2312"/>
          <w:sz w:val="32"/>
          <w:highlight w:val="none"/>
          <w:lang w:eastAsia="zh-CN"/>
        </w:rPr>
        <w:t>结合光明区实际，制定本规程。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eastAsia="zh-CN"/>
        </w:rPr>
        <w:t>第二条</w:t>
      </w:r>
      <w:r>
        <w:rPr>
          <w:rFonts w:hint="eastAsia" w:ascii="仿宋_GB2312" w:hAnsi="仿宋_GB2312" w:eastAsia="仿宋_GB2312" w:cs="仿宋_GB2312"/>
          <w:sz w:val="32"/>
          <w:highlight w:val="none"/>
          <w:lang w:val="en-US" w:eastAsia="zh-CN"/>
        </w:rPr>
        <w:t xml:space="preserve"> </w:t>
      </w:r>
      <w:r>
        <w:rPr>
          <w:szCs w:val="32"/>
        </w:rPr>
        <w:t>本规程资金由区级财政预算安排，</w:t>
      </w:r>
      <w:r>
        <w:rPr>
          <w:rFonts w:hint="eastAsia" w:ascii="仿宋_GB2312" w:hAnsi="仿宋_GB2312" w:eastAsia="仿宋_GB2312" w:cs="仿宋_GB2312"/>
          <w:sz w:val="32"/>
          <w:highlight w:val="none"/>
          <w:lang w:val="en-US" w:eastAsia="zh-CN"/>
        </w:rPr>
        <w:t>适用于《</w:t>
      </w:r>
      <w:r>
        <w:rPr>
          <w:rFonts w:hint="eastAsia" w:ascii="仿宋_GB2312" w:hAnsi="仿宋_GB2312" w:eastAsia="仿宋_GB2312" w:cs="仿宋_GB2312"/>
          <w:sz w:val="32"/>
          <w:highlight w:val="none"/>
          <w:lang w:eastAsia="zh-CN"/>
        </w:rPr>
        <w:t>深圳市光明区关于支持超高清视频显示产业集群高质量发展的若干措施》（深光府规〔2023〕3</w:t>
      </w:r>
      <w:bookmarkStart w:id="0" w:name="_GoBack"/>
      <w:bookmarkEnd w:id="0"/>
      <w:r>
        <w:rPr>
          <w:rFonts w:hint="eastAsia" w:ascii="仿宋_GB2312" w:hAnsi="仿宋_GB2312" w:eastAsia="仿宋_GB2312" w:cs="仿宋_GB2312"/>
          <w:sz w:val="32"/>
          <w:highlight w:val="none"/>
          <w:lang w:eastAsia="zh-CN"/>
        </w:rPr>
        <w:t>号</w:t>
      </w:r>
      <w:r>
        <w:rPr>
          <w:rFonts w:hint="eastAsia" w:ascii="仿宋_GB2312" w:hAnsi="仿宋_GB2312" w:cs="仿宋_GB2312"/>
          <w:sz w:val="32"/>
          <w:highlight w:val="none"/>
          <w:lang w:eastAsia="zh-CN"/>
        </w:rPr>
        <w:t>）</w:t>
      </w:r>
      <w:r>
        <w:rPr>
          <w:rFonts w:hint="eastAsia" w:ascii="仿宋_GB2312" w:hAnsi="仿宋_GB2312" w:eastAsia="仿宋_GB2312" w:cs="仿宋_GB2312"/>
          <w:sz w:val="32"/>
          <w:highlight w:val="none"/>
          <w:lang w:eastAsia="zh-CN"/>
        </w:rPr>
        <w:t>，以下简称《若干措施》</w:t>
      </w:r>
      <w:r>
        <w:rPr>
          <w:rFonts w:hint="eastAsia" w:ascii="仿宋_GB2312" w:hAnsi="仿宋_GB2312" w:eastAsia="仿宋_GB2312" w:cs="仿宋_GB2312"/>
          <w:sz w:val="32"/>
          <w:highlight w:val="none"/>
          <w:lang w:val="en-US" w:eastAsia="zh-CN"/>
        </w:rPr>
        <w:t>规定的相关项目。</w:t>
      </w:r>
    </w:p>
    <w:p>
      <w:pPr>
        <w:keepNext w:val="0"/>
        <w:keepLines w:val="0"/>
        <w:pageBreakBefore w:val="0"/>
        <w:widowControl w:val="0"/>
        <w:kinsoku/>
        <w:wordWrap/>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highlight w:val="none"/>
          <w:lang w:val="en-US" w:eastAsia="zh-CN"/>
        </w:rPr>
        <w:t>第三条</w:t>
      </w:r>
      <w:r>
        <w:rPr>
          <w:rFonts w:hint="eastAsia" w:ascii="仿宋_GB2312" w:hAnsi="仿宋_GB2312" w:eastAsia="仿宋_GB2312" w:cs="仿宋_GB2312"/>
          <w:sz w:val="32"/>
          <w:highlight w:val="none"/>
          <w:lang w:val="en-US" w:eastAsia="zh-CN"/>
        </w:rPr>
        <w:t xml:space="preserve"> 本规程资金根据不同事项采用相应资助方式，主要为事后资助</w:t>
      </w:r>
      <w:r>
        <w:rPr>
          <w:rFonts w:hint="eastAsia" w:hAnsi="仿宋_GB2312" w:cs="仿宋_GB2312"/>
          <w:kern w:val="2"/>
          <w:sz w:val="32"/>
          <w:szCs w:val="32"/>
          <w:lang w:val="en-US" w:eastAsia="zh-CN"/>
        </w:rPr>
        <w:t>、直接奖励等</w:t>
      </w:r>
      <w:r>
        <w:rPr>
          <w:rFonts w:hint="eastAsia" w:ascii="仿宋_GB2312" w:hAnsi="仿宋_GB2312" w:eastAsia="仿宋_GB2312" w:cs="仿宋_GB2312"/>
          <w:kern w:val="2"/>
          <w:sz w:val="32"/>
          <w:szCs w:val="32"/>
        </w:rPr>
        <w:t>。</w:t>
      </w:r>
    </w:p>
    <w:p>
      <w:pPr>
        <w:keepNext w:val="0"/>
        <w:keepLines w:val="0"/>
        <w:pageBreakBefore w:val="0"/>
        <w:widowControl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（一）事后资助。</w:t>
      </w:r>
      <w:r>
        <w:rPr>
          <w:rFonts w:hint="eastAsia" w:ascii="仿宋_GB2312" w:hAnsi="仿宋_GB2312" w:eastAsia="仿宋_GB2312" w:cs="仿宋_GB2312"/>
          <w:kern w:val="2"/>
          <w:sz w:val="32"/>
          <w:szCs w:val="32"/>
          <w:lang w:val="en-US" w:eastAsia="zh-CN"/>
        </w:rPr>
        <w:t>对已实施完成或已发生实际投入，且符合条件的项目，按一定标准给予资助。</w:t>
      </w:r>
    </w:p>
    <w:p>
      <w:pPr>
        <w:keepNext w:val="0"/>
        <w:keepLines w:val="0"/>
        <w:pageBreakBefore w:val="0"/>
        <w:widowControl w:val="0"/>
        <w:kinsoku/>
        <w:wordWrap/>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（二）直接奖励。</w:t>
      </w:r>
      <w:r>
        <w:rPr>
          <w:rFonts w:hint="eastAsia" w:ascii="仿宋_GB2312" w:hAnsi="仿宋_GB2312" w:eastAsia="仿宋_GB2312" w:cs="仿宋_GB2312"/>
          <w:kern w:val="2"/>
          <w:sz w:val="32"/>
          <w:szCs w:val="32"/>
          <w:lang w:val="en-US" w:eastAsia="zh-CN"/>
        </w:rPr>
        <w:t>对获得相关国家、省、市、区权威机构认定或奖项的项目，按一定标准给予一次性奖励。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第四条</w:t>
      </w:r>
      <w:r>
        <w:rPr>
          <w:rFonts w:hint="eastAsia" w:ascii="仿宋_GB2312" w:hAnsi="仿宋_GB2312" w:eastAsia="仿宋_GB2312" w:cs="仿宋_GB2312"/>
          <w:sz w:val="32"/>
          <w:highlight w:val="none"/>
          <w:lang w:val="en-US" w:eastAsia="zh-CN"/>
        </w:rPr>
        <w:t xml:space="preserve"> 本规程遵循公开公正、依法依规、突出重点、绩效管理、科学分配、总量控制的原则。</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highlight w:val="none"/>
          <w:lang w:val="en-US" w:eastAsia="zh-CN"/>
        </w:rPr>
        <w:t xml:space="preserve">第二章 </w:t>
      </w:r>
      <w:r>
        <w:rPr>
          <w:rFonts w:hint="eastAsia" w:ascii="黑体" w:hAnsi="黑体" w:eastAsia="黑体" w:cs="黑体"/>
          <w:sz w:val="32"/>
          <w:szCs w:val="32"/>
        </w:rPr>
        <w:t>支持对象、方式</w:t>
      </w:r>
      <w:r>
        <w:rPr>
          <w:rFonts w:hint="eastAsia" w:ascii="黑体" w:hAnsi="黑体" w:eastAsia="黑体" w:cs="黑体"/>
          <w:sz w:val="32"/>
          <w:szCs w:val="32"/>
          <w:lang w:eastAsia="zh-CN"/>
        </w:rPr>
        <w:t>、</w:t>
      </w:r>
      <w:r>
        <w:rPr>
          <w:rFonts w:hint="eastAsia" w:ascii="黑体" w:hAnsi="黑体" w:eastAsia="黑体" w:cs="黑体"/>
          <w:sz w:val="32"/>
          <w:szCs w:val="32"/>
        </w:rPr>
        <w:t>标准</w:t>
      </w:r>
      <w:r>
        <w:rPr>
          <w:rFonts w:hint="eastAsia" w:ascii="黑体" w:hAnsi="黑体" w:eastAsia="黑体" w:cs="黑体"/>
          <w:sz w:val="32"/>
          <w:szCs w:val="32"/>
          <w:lang w:eastAsia="zh-CN"/>
        </w:rPr>
        <w:t>和项目申报条件</w:t>
      </w:r>
    </w:p>
    <w:p>
      <w:pPr>
        <w:pStyle w:val="9"/>
        <w:keepNext w:val="0"/>
        <w:keepLines w:val="0"/>
        <w:pageBreakBefore w:val="0"/>
        <w:widowControl w:val="0"/>
        <w:kinsoku/>
        <w:wordWrap/>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eastAsia="zh-CN"/>
        </w:rPr>
        <w:t>五</w:t>
      </w:r>
      <w:r>
        <w:rPr>
          <w:rFonts w:hint="eastAsia" w:ascii="仿宋_GB2312" w:hAnsi="仿宋_GB2312" w:eastAsia="仿宋_GB2312" w:cs="仿宋_GB2312"/>
          <w:b/>
          <w:bCs/>
        </w:rPr>
        <w:t>条</w:t>
      </w:r>
      <w:r>
        <w:rPr>
          <w:rFonts w:hint="eastAsia" w:ascii="仿宋_GB2312" w:hAnsi="仿宋_GB2312" w:eastAsia="仿宋_GB2312" w:cs="仿宋_GB2312"/>
        </w:rPr>
        <w:t xml:space="preserve"> 申报单位基本条件</w:t>
      </w:r>
      <w:r>
        <w:rPr>
          <w:rFonts w:ascii="仿宋_GB2312" w:hAnsi="仿宋_GB2312" w:eastAsia="仿宋_GB2312" w:cs="仿宋_GB2312"/>
        </w:rPr>
        <w:t>：</w:t>
      </w:r>
    </w:p>
    <w:p>
      <w:pPr>
        <w:keepNext w:val="0"/>
        <w:keepLines w:val="0"/>
        <w:pageBreakBefore w:val="0"/>
        <w:widowControl w:val="0"/>
        <w:kinsoku/>
        <w:wordWrap/>
        <w:topLinePunct w:val="0"/>
        <w:autoSpaceDE/>
        <w:autoSpaceDN/>
        <w:bidi w:val="0"/>
        <w:adjustRightInd/>
        <w:snapToGrid/>
        <w:spacing w:beforeAutospacing="0" w:afterAutospacing="0" w:line="560" w:lineRule="exact"/>
        <w:ind w:firstLine="640" w:firstLineChars="200"/>
        <w:textAlignment w:val="auto"/>
      </w:pPr>
      <w:r>
        <w:rPr>
          <w:rFonts w:hint="eastAsia" w:hAnsi="仿宋_GB2312" w:cs="仿宋_GB2312"/>
        </w:rPr>
        <w:t>（一）依法依规办理市场主体登记注册手续和税务登记手续，在光明区从事经营活动。</w:t>
      </w:r>
    </w:p>
    <w:p>
      <w:pPr>
        <w:pStyle w:val="9"/>
        <w:keepNext w:val="0"/>
        <w:keepLines w:val="0"/>
        <w:pageBreakBefore w:val="0"/>
        <w:widowControl w:val="0"/>
        <w:kinsoku/>
        <w:wordWrap/>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（二）有规范健全的财务管理制度，依法履行统计数据申报义务。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rPr>
        <w:t>（三）</w:t>
      </w:r>
      <w:r>
        <w:rPr>
          <w:rFonts w:hint="eastAsia" w:ascii="仿宋_GB2312" w:hAnsi="仿宋_GB2312" w:eastAsia="仿宋_GB2312" w:cs="仿宋_GB2312"/>
          <w:sz w:val="32"/>
          <w:szCs w:val="32"/>
          <w:highlight w:val="none"/>
          <w:lang w:val="en-US" w:eastAsia="zh-CN"/>
        </w:rPr>
        <w:t>守法守信规范经营，申请资助时不存在违反失信惩戒措施基础清单相关规定的情形。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highlight w:val="none"/>
          <w:lang w:eastAsia="zh-Hans"/>
        </w:rPr>
      </w:pPr>
      <w:r>
        <w:rPr>
          <w:highlight w:val="none"/>
        </w:rPr>
        <w:t>（</w:t>
      </w:r>
      <w:r>
        <w:rPr>
          <w:rFonts w:hint="eastAsia"/>
          <w:highlight w:val="none"/>
          <w:lang w:eastAsia="zh-CN"/>
        </w:rPr>
        <w:t>四</w:t>
      </w:r>
      <w:r>
        <w:rPr>
          <w:highlight w:val="none"/>
          <w:lang w:eastAsia="zh-Hans"/>
        </w:rPr>
        <w:t>）符合有关产业政策文件及申报指南规定的其他条件。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仿宋_GB2312" w:hAnsi="仿宋_GB2312" w:cs="仿宋_GB2312"/>
          <w:b/>
          <w:bCs/>
          <w:sz w:val="32"/>
          <w:szCs w:val="32"/>
          <w:highlight w:val="none"/>
          <w:lang w:val="en-US" w:eastAsia="zh-CN"/>
        </w:rPr>
        <w:t xml:space="preserve">第六条 </w:t>
      </w:r>
      <w:r>
        <w:rPr>
          <w:rFonts w:hint="eastAsia" w:ascii="楷体_GB2312" w:hAnsi="楷体_GB2312" w:eastAsia="楷体_GB2312" w:cs="楷体_GB2312"/>
          <w:b/>
          <w:bCs/>
          <w:sz w:val="32"/>
          <w:highlight w:val="none"/>
          <w:lang w:val="en-US" w:eastAsia="zh-CN"/>
        </w:rPr>
        <w:t>新型显示技术产业化项目</w:t>
      </w:r>
      <w:r>
        <w:rPr>
          <w:rFonts w:hint="eastAsia" w:ascii="楷体_GB2312" w:hAnsi="楷体_GB2312" w:eastAsia="楷体_GB2312" w:cs="楷体_GB2312"/>
          <w:sz w:val="32"/>
          <w:highlight w:val="none"/>
          <w:lang w:val="en-US" w:eastAsia="zh-CN"/>
        </w:rPr>
        <w:t>（《若干措施》第四条）</w:t>
      </w:r>
    </w:p>
    <w:p>
      <w:pPr>
        <w:pStyle w:val="6"/>
        <w:keepNext w:val="0"/>
        <w:keepLines w:val="0"/>
        <w:pageBreakBefore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cs="仿宋_GB2312"/>
          <w:kern w:val="2"/>
          <w:sz w:val="32"/>
          <w:szCs w:val="32"/>
          <w:lang w:val="en-US" w:eastAsia="zh-CN"/>
        </w:rPr>
        <w:t>（一）</w:t>
      </w:r>
      <w:r>
        <w:rPr>
          <w:rFonts w:hint="eastAsia" w:ascii="仿宋_GB2312" w:hAnsi="仿宋_GB2312" w:eastAsia="仿宋_GB2312" w:cs="仿宋_GB2312"/>
          <w:kern w:val="2"/>
          <w:sz w:val="32"/>
          <w:szCs w:val="32"/>
        </w:rPr>
        <w:t>支持对象</w:t>
      </w:r>
      <w:r>
        <w:rPr>
          <w:rFonts w:hint="eastAsia" w:ascii="仿宋_GB2312" w:hAnsi="仿宋_GB2312" w:eastAsia="仿宋_GB2312" w:cs="仿宋_GB2312"/>
          <w:kern w:val="2"/>
          <w:sz w:val="32"/>
          <w:szCs w:val="32"/>
          <w:lang w:eastAsia="zh-CN"/>
        </w:rPr>
        <w:t>：</w:t>
      </w:r>
      <w:r>
        <w:rPr>
          <w:rFonts w:hint="eastAsia" w:ascii="仿宋_GB2312" w:hAnsi="仿宋_GB2312" w:cs="仿宋_GB2312"/>
          <w:kern w:val="2"/>
          <w:sz w:val="32"/>
          <w:szCs w:val="32"/>
          <w:lang w:eastAsia="zh-CN"/>
        </w:rPr>
        <w:t>建设</w:t>
      </w:r>
      <w:r>
        <w:rPr>
          <w:rFonts w:hint="eastAsia" w:ascii="仿宋_GB2312" w:hAnsi="仿宋_GB2312" w:eastAsia="仿宋_GB2312" w:cs="仿宋_GB2312"/>
          <w:sz w:val="32"/>
          <w:highlight w:val="none"/>
          <w:lang w:val="en-US" w:eastAsia="zh-CN"/>
        </w:rPr>
        <w:t>Micro/Mini LED、QLED等前沿显示技术产业化项目的申报单位</w:t>
      </w:r>
      <w:r>
        <w:rPr>
          <w:rFonts w:hint="eastAsia" w:ascii="仿宋_GB2312" w:hAnsi="仿宋_GB2312" w:eastAsia="仿宋_GB2312" w:cs="仿宋_GB2312"/>
          <w:kern w:val="2"/>
          <w:sz w:val="32"/>
          <w:szCs w:val="32"/>
          <w:lang w:eastAsia="zh-CN"/>
        </w:rPr>
        <w:t>。</w:t>
      </w:r>
    </w:p>
    <w:p>
      <w:pPr>
        <w:pStyle w:val="6"/>
        <w:keepNext w:val="0"/>
        <w:keepLines w:val="0"/>
        <w:pageBreakBefore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cs="仿宋_GB2312"/>
          <w:kern w:val="2"/>
          <w:sz w:val="32"/>
          <w:szCs w:val="32"/>
          <w:lang w:val="en-US" w:eastAsia="zh-CN"/>
        </w:rPr>
        <w:t>（二）</w:t>
      </w:r>
      <w:r>
        <w:rPr>
          <w:rFonts w:hint="eastAsia" w:ascii="仿宋_GB2312" w:hAnsi="仿宋_GB2312" w:eastAsia="仿宋_GB2312" w:cs="仿宋_GB2312"/>
          <w:kern w:val="2"/>
          <w:sz w:val="32"/>
          <w:szCs w:val="32"/>
          <w:lang w:val="en-US" w:eastAsia="zh-CN"/>
        </w:rPr>
        <w:t>支持方式：</w:t>
      </w: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cs="仿宋_GB2312"/>
          <w:kern w:val="2"/>
          <w:sz w:val="32"/>
          <w:szCs w:val="32"/>
          <w:lang w:val="en-US" w:eastAsia="zh-CN"/>
        </w:rPr>
        <w:t>（三）</w:t>
      </w:r>
      <w:r>
        <w:rPr>
          <w:rFonts w:hint="eastAsia" w:ascii="仿宋_GB2312" w:hAnsi="仿宋_GB2312" w:eastAsia="仿宋_GB2312" w:cs="仿宋_GB2312"/>
          <w:kern w:val="2"/>
          <w:sz w:val="32"/>
          <w:szCs w:val="32"/>
          <w:lang w:val="en-US" w:eastAsia="zh-CN"/>
        </w:rPr>
        <w:t>支持标准：</w:t>
      </w:r>
      <w:r>
        <w:rPr>
          <w:rFonts w:hint="eastAsia" w:ascii="仿宋_GB2312" w:hAnsi="仿宋_GB2312" w:cs="仿宋_GB2312"/>
          <w:kern w:val="2"/>
          <w:sz w:val="32"/>
          <w:szCs w:val="32"/>
          <w:lang w:val="en-US" w:eastAsia="zh-CN"/>
        </w:rPr>
        <w:t>对项目落地建设，</w:t>
      </w:r>
      <w:r>
        <w:rPr>
          <w:rFonts w:hint="eastAsia" w:ascii="仿宋_GB2312" w:hAnsi="仿宋_GB2312" w:eastAsia="仿宋_GB2312" w:cs="仿宋_GB2312"/>
          <w:sz w:val="32"/>
          <w:highlight w:val="none"/>
          <w:lang w:val="en-US" w:eastAsia="zh-CN"/>
        </w:rPr>
        <w:t>按项目实际投资的20%予以资助，最高不超过5000万元。</w:t>
      </w:r>
      <w:r>
        <w:rPr>
          <w:rFonts w:hint="eastAsia" w:ascii="仿宋_GB2312" w:hAnsi="仿宋_GB2312" w:eastAsia="仿宋_GB2312" w:cs="仿宋_GB2312"/>
          <w:kern w:val="2"/>
          <w:sz w:val="32"/>
          <w:szCs w:val="32"/>
          <w:lang w:eastAsia="zh-CN"/>
        </w:rPr>
        <w:t>实际投资为实际发生固定资产投资，包括设备购置安装、场地改造升级等</w:t>
      </w:r>
      <w:r>
        <w:rPr>
          <w:rFonts w:hint="eastAsia" w:hAnsi="仿宋_GB2312" w:cs="仿宋_GB2312"/>
          <w:kern w:val="2"/>
          <w:sz w:val="32"/>
          <w:szCs w:val="32"/>
          <w:lang w:eastAsia="zh-CN"/>
        </w:rPr>
        <w:t>费用</w:t>
      </w:r>
      <w:r>
        <w:rPr>
          <w:rFonts w:hint="eastAsia" w:ascii="仿宋_GB2312" w:hAnsi="仿宋_GB2312" w:eastAsia="仿宋_GB2312" w:cs="仿宋_GB2312"/>
          <w:kern w:val="2"/>
          <w:sz w:val="32"/>
          <w:szCs w:val="32"/>
          <w:lang w:eastAsia="zh-CN"/>
        </w:rPr>
        <w:t>，不包括</w:t>
      </w:r>
      <w:r>
        <w:rPr>
          <w:rFonts w:hint="eastAsia" w:hAnsi="仿宋_GB2312" w:cs="仿宋_GB2312"/>
          <w:color w:val="auto"/>
          <w:kern w:val="2"/>
          <w:sz w:val="32"/>
          <w:szCs w:val="32"/>
          <w:lang w:val="en-US" w:eastAsia="zh-CN" w:bidi="ar-SA"/>
        </w:rPr>
        <w:t>土地及产业用房的租赁购置费用及土地建设费用。</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lang w:val="en-US" w:eastAsia="zh-CN"/>
        </w:rPr>
        <w:t>（四）</w:t>
      </w:r>
      <w:r>
        <w:rPr>
          <w:rFonts w:hint="eastAsia" w:ascii="仿宋_GB2312" w:hAnsi="仿宋_GB2312" w:eastAsia="仿宋_GB2312" w:cs="仿宋_GB2312"/>
          <w:kern w:val="2"/>
          <w:sz w:val="32"/>
          <w:szCs w:val="32"/>
          <w:lang w:val="en-US" w:eastAsia="zh-CN"/>
        </w:rPr>
        <w:t>具体申报条件：</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1.</w:t>
      </w:r>
      <w:r>
        <w:rPr>
          <w:rFonts w:hint="eastAsia" w:hAnsi="仿宋_GB2312" w:cs="仿宋_GB2312"/>
          <w:color w:val="000000"/>
          <w:kern w:val="2"/>
          <w:sz w:val="32"/>
          <w:szCs w:val="32"/>
          <w:lang w:val="en-US" w:eastAsia="zh-CN" w:bidi="ar-SA"/>
        </w:rPr>
        <w:t>项目</w:t>
      </w:r>
      <w:r>
        <w:rPr>
          <w:rFonts w:hint="eastAsia" w:ascii="仿宋_GB2312" w:hAnsi="仿宋_GB2312" w:eastAsia="仿宋_GB2312" w:cs="仿宋_GB2312"/>
          <w:color w:val="000000"/>
          <w:kern w:val="2"/>
          <w:sz w:val="32"/>
          <w:szCs w:val="32"/>
          <w:lang w:val="en-US" w:eastAsia="zh-CN" w:bidi="ar-SA"/>
        </w:rPr>
        <w:t>经专家评审或</w:t>
      </w:r>
      <w:r>
        <w:rPr>
          <w:rFonts w:hint="eastAsia" w:hAnsi="仿宋_GB2312" w:cs="仿宋_GB2312"/>
          <w:color w:val="000000"/>
          <w:kern w:val="2"/>
          <w:sz w:val="32"/>
          <w:szCs w:val="32"/>
          <w:lang w:val="en-US" w:eastAsia="zh-CN" w:bidi="ar-SA"/>
        </w:rPr>
        <w:t>经</w:t>
      </w:r>
      <w:r>
        <w:rPr>
          <w:rFonts w:hint="eastAsia" w:ascii="仿宋_GB2312" w:hAnsi="仿宋_GB2312" w:eastAsia="仿宋_GB2312" w:cs="仿宋_GB2312"/>
          <w:color w:val="000000"/>
          <w:kern w:val="2"/>
          <w:sz w:val="32"/>
          <w:szCs w:val="32"/>
          <w:lang w:val="en-US" w:eastAsia="zh-CN" w:bidi="ar-SA"/>
        </w:rPr>
        <w:t>第三方专业机构评审认定</w:t>
      </w:r>
      <w:r>
        <w:rPr>
          <w:rFonts w:hint="eastAsia" w:hAnsi="仿宋_GB2312" w:cs="仿宋_GB2312"/>
          <w:color w:val="000000"/>
          <w:kern w:val="2"/>
          <w:sz w:val="32"/>
          <w:szCs w:val="32"/>
          <w:lang w:val="en-US" w:eastAsia="zh-CN" w:bidi="ar-SA"/>
        </w:rPr>
        <w:t>为</w:t>
      </w:r>
      <w:r>
        <w:rPr>
          <w:rFonts w:hint="eastAsia" w:ascii="仿宋_GB2312" w:hAnsi="仿宋_GB2312" w:eastAsia="仿宋_GB2312" w:cs="仿宋_GB2312"/>
          <w:sz w:val="32"/>
          <w:highlight w:val="none"/>
          <w:lang w:val="en-US" w:eastAsia="zh-CN"/>
        </w:rPr>
        <w:t>Micro/Mini LED、QLED等前沿显示技术</w:t>
      </w:r>
      <w:r>
        <w:rPr>
          <w:rFonts w:hint="eastAsia" w:ascii="仿宋_GB2312" w:hAnsi="仿宋_GB2312" w:cs="仿宋_GB2312"/>
          <w:sz w:val="32"/>
          <w:highlight w:val="none"/>
          <w:lang w:val="en-US" w:eastAsia="zh-CN"/>
        </w:rPr>
        <w:t>领域的重大项目</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项目实施地在光明区；</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default" w:hAnsi="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3.</w:t>
      </w:r>
      <w:r>
        <w:rPr>
          <w:rFonts w:hint="eastAsia" w:hAnsi="仿宋_GB2312" w:cs="仿宋_GB2312"/>
          <w:color w:val="000000"/>
          <w:kern w:val="2"/>
          <w:sz w:val="32"/>
          <w:szCs w:val="32"/>
          <w:lang w:val="en-US" w:eastAsia="zh-CN" w:bidi="ar-SA"/>
        </w:rPr>
        <w:t>项目已在国家统计联网直报平台中及时进行固定资产投资填报。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仿宋_GB2312" w:hAnsi="仿宋_GB2312" w:cs="仿宋_GB2312"/>
          <w:b/>
          <w:bCs/>
          <w:sz w:val="32"/>
          <w:szCs w:val="32"/>
          <w:highlight w:val="none"/>
          <w:lang w:val="en-US" w:eastAsia="zh-CN"/>
        </w:rPr>
        <w:t xml:space="preserve">第七条 </w:t>
      </w:r>
      <w:r>
        <w:rPr>
          <w:rFonts w:hint="eastAsia" w:ascii="楷体_GB2312" w:hAnsi="楷体_GB2312" w:eastAsia="楷体_GB2312" w:cs="楷体_GB2312"/>
          <w:b/>
          <w:bCs/>
          <w:sz w:val="32"/>
          <w:highlight w:val="none"/>
          <w:lang w:val="en-US" w:eastAsia="zh-CN"/>
        </w:rPr>
        <w:t>产业链上游关键环节产业化项目</w:t>
      </w:r>
      <w:r>
        <w:rPr>
          <w:rFonts w:hint="eastAsia" w:ascii="楷体_GB2312" w:hAnsi="楷体_GB2312" w:eastAsia="楷体_GB2312" w:cs="楷体_GB2312"/>
          <w:sz w:val="32"/>
          <w:highlight w:val="none"/>
          <w:lang w:val="en-US" w:eastAsia="zh-CN"/>
        </w:rPr>
        <w:t>（《若干措施》第五条）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kern w:val="2"/>
          <w:sz w:val="32"/>
          <w:szCs w:val="32"/>
          <w:lang w:val="en-US" w:eastAsia="zh-CN"/>
        </w:rPr>
        <w:t>（一）</w:t>
      </w:r>
      <w:r>
        <w:rPr>
          <w:rFonts w:hint="eastAsia" w:ascii="仿宋_GB2312" w:hAnsi="仿宋_GB2312" w:eastAsia="仿宋_GB2312" w:cs="仿宋_GB2312"/>
          <w:sz w:val="32"/>
          <w:highlight w:val="none"/>
          <w:lang w:val="en-US" w:eastAsia="zh-CN"/>
        </w:rPr>
        <w:t>支持对象：在光明区落地建设超高清视频显示产业上游液晶、偏光片、掩膜版、彩色滤光片等核心材料与零部件生产线的申报单位。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sz w:val="32"/>
          <w:highlight w:val="none"/>
          <w:lang w:val="en-US" w:eastAsia="zh-CN"/>
        </w:rPr>
      </w:pPr>
      <w:r>
        <w:rPr>
          <w:rFonts w:hint="eastAsia" w:ascii="仿宋_GB2312" w:hAnsi="仿宋_GB2312" w:cs="仿宋_GB2312"/>
          <w:kern w:val="2"/>
          <w:sz w:val="32"/>
          <w:szCs w:val="32"/>
          <w:lang w:val="en-US" w:eastAsia="zh-CN"/>
        </w:rPr>
        <w:t>（二）</w:t>
      </w:r>
      <w:r>
        <w:rPr>
          <w:rFonts w:hint="eastAsia" w:ascii="仿宋_GB2312" w:hAnsi="仿宋_GB2312" w:eastAsia="仿宋_GB2312" w:cs="仿宋_GB2312"/>
          <w:sz w:val="32"/>
          <w:highlight w:val="none"/>
          <w:lang w:val="en-US" w:eastAsia="zh-CN"/>
        </w:rPr>
        <w:t>支持方式和标准：采用事后资助方式</w:t>
      </w:r>
      <w:r>
        <w:rPr>
          <w:rFonts w:hint="eastAsia" w:ascii="仿宋_GB2312" w:hAnsi="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cs="仿宋_GB2312"/>
          <w:kern w:val="2"/>
          <w:sz w:val="32"/>
          <w:szCs w:val="32"/>
          <w:lang w:val="en-US" w:eastAsia="zh-CN"/>
        </w:rPr>
        <w:t>（三）</w:t>
      </w:r>
      <w:r>
        <w:rPr>
          <w:rFonts w:hint="eastAsia" w:ascii="仿宋_GB2312" w:hAnsi="仿宋_GB2312" w:eastAsia="仿宋_GB2312" w:cs="仿宋_GB2312"/>
          <w:kern w:val="2"/>
          <w:sz w:val="32"/>
          <w:szCs w:val="32"/>
          <w:lang w:val="en-US" w:eastAsia="zh-CN"/>
        </w:rPr>
        <w:t>支持标准：</w:t>
      </w:r>
      <w:r>
        <w:rPr>
          <w:rFonts w:hint="eastAsia" w:ascii="仿宋_GB2312" w:hAnsi="仿宋_GB2312" w:cs="仿宋_GB2312"/>
          <w:kern w:val="2"/>
          <w:sz w:val="32"/>
          <w:szCs w:val="32"/>
          <w:lang w:val="en-US" w:eastAsia="zh-CN"/>
        </w:rPr>
        <w:t>对项目落地建设，</w:t>
      </w:r>
      <w:r>
        <w:rPr>
          <w:rFonts w:hint="eastAsia" w:ascii="仿宋_GB2312" w:hAnsi="仿宋_GB2312" w:eastAsia="仿宋_GB2312" w:cs="仿宋_GB2312"/>
          <w:sz w:val="32"/>
          <w:highlight w:val="none"/>
          <w:lang w:val="en-US" w:eastAsia="zh-CN"/>
        </w:rPr>
        <w:t>按项目实际投资的20%予以资助，最高不超过5000万元。</w:t>
      </w:r>
      <w:r>
        <w:rPr>
          <w:rFonts w:hint="eastAsia" w:ascii="仿宋_GB2312" w:hAnsi="仿宋_GB2312" w:eastAsia="仿宋_GB2312" w:cs="仿宋_GB2312"/>
          <w:kern w:val="2"/>
          <w:sz w:val="32"/>
          <w:szCs w:val="32"/>
          <w:lang w:eastAsia="zh-CN"/>
        </w:rPr>
        <w:t>实际投资为实际发生固定资产投资，包括设备购置安装、场地改造升级等</w:t>
      </w:r>
      <w:r>
        <w:rPr>
          <w:rFonts w:hint="eastAsia" w:hAnsi="仿宋_GB2312" w:cs="仿宋_GB2312"/>
          <w:kern w:val="2"/>
          <w:sz w:val="32"/>
          <w:szCs w:val="32"/>
          <w:lang w:eastAsia="zh-CN"/>
        </w:rPr>
        <w:t>费用</w:t>
      </w:r>
      <w:r>
        <w:rPr>
          <w:rFonts w:hint="eastAsia" w:ascii="仿宋_GB2312" w:hAnsi="仿宋_GB2312" w:eastAsia="仿宋_GB2312" w:cs="仿宋_GB2312"/>
          <w:kern w:val="2"/>
          <w:sz w:val="32"/>
          <w:szCs w:val="32"/>
          <w:lang w:eastAsia="zh-CN"/>
        </w:rPr>
        <w:t>，不包括</w:t>
      </w:r>
      <w:r>
        <w:rPr>
          <w:rFonts w:hint="eastAsia" w:hAnsi="仿宋_GB2312" w:cs="仿宋_GB2312"/>
          <w:color w:val="auto"/>
          <w:kern w:val="2"/>
          <w:sz w:val="32"/>
          <w:szCs w:val="32"/>
          <w:lang w:val="en-US" w:eastAsia="zh-CN" w:bidi="ar-SA"/>
        </w:rPr>
        <w:t>土地及产业用房的租赁购置费用及土地建设费用。</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lang w:val="en-US" w:eastAsia="zh-CN"/>
        </w:rPr>
        <w:t>（四）</w:t>
      </w:r>
      <w:r>
        <w:rPr>
          <w:rFonts w:hint="eastAsia" w:ascii="仿宋_GB2312" w:hAnsi="仿宋_GB2312" w:eastAsia="仿宋_GB2312" w:cs="仿宋_GB2312"/>
          <w:kern w:val="2"/>
          <w:sz w:val="32"/>
          <w:szCs w:val="32"/>
          <w:lang w:val="en-US" w:eastAsia="zh-CN"/>
        </w:rPr>
        <w:t>具体申报条件：</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1.</w:t>
      </w:r>
      <w:r>
        <w:rPr>
          <w:rFonts w:hint="eastAsia" w:hAnsi="仿宋_GB2312" w:cs="仿宋_GB2312"/>
          <w:color w:val="000000"/>
          <w:kern w:val="2"/>
          <w:sz w:val="32"/>
          <w:szCs w:val="32"/>
          <w:lang w:val="en-US" w:eastAsia="zh-CN" w:bidi="ar-SA"/>
        </w:rPr>
        <w:t>项目</w:t>
      </w:r>
      <w:r>
        <w:rPr>
          <w:rFonts w:hint="eastAsia" w:ascii="仿宋_GB2312" w:hAnsi="仿宋_GB2312" w:eastAsia="仿宋_GB2312" w:cs="仿宋_GB2312"/>
          <w:color w:val="000000"/>
          <w:kern w:val="2"/>
          <w:sz w:val="32"/>
          <w:szCs w:val="32"/>
          <w:lang w:val="en-US" w:eastAsia="zh-CN" w:bidi="ar-SA"/>
        </w:rPr>
        <w:t>经专家评审或</w:t>
      </w:r>
      <w:r>
        <w:rPr>
          <w:rFonts w:hint="eastAsia" w:hAnsi="仿宋_GB2312" w:cs="仿宋_GB2312"/>
          <w:color w:val="000000"/>
          <w:kern w:val="2"/>
          <w:sz w:val="32"/>
          <w:szCs w:val="32"/>
          <w:lang w:val="en-US" w:eastAsia="zh-CN" w:bidi="ar-SA"/>
        </w:rPr>
        <w:t>经</w:t>
      </w:r>
      <w:r>
        <w:rPr>
          <w:rFonts w:hint="eastAsia" w:ascii="仿宋_GB2312" w:hAnsi="仿宋_GB2312" w:eastAsia="仿宋_GB2312" w:cs="仿宋_GB2312"/>
          <w:color w:val="000000"/>
          <w:kern w:val="2"/>
          <w:sz w:val="32"/>
          <w:szCs w:val="32"/>
          <w:lang w:val="en-US" w:eastAsia="zh-CN" w:bidi="ar-SA"/>
        </w:rPr>
        <w:t>第三方专业机构评审认定</w:t>
      </w:r>
      <w:r>
        <w:rPr>
          <w:rFonts w:hint="eastAsia" w:hAnsi="仿宋_GB2312" w:cs="仿宋_GB2312"/>
          <w:color w:val="000000"/>
          <w:kern w:val="2"/>
          <w:sz w:val="32"/>
          <w:szCs w:val="32"/>
          <w:lang w:val="en-US" w:eastAsia="zh-CN" w:bidi="ar-SA"/>
        </w:rPr>
        <w:t>为</w:t>
      </w:r>
      <w:r>
        <w:rPr>
          <w:rFonts w:hint="eastAsia" w:ascii="仿宋_GB2312" w:hAnsi="仿宋_GB2312" w:eastAsia="仿宋_GB2312" w:cs="仿宋_GB2312"/>
          <w:sz w:val="32"/>
          <w:highlight w:val="none"/>
          <w:lang w:val="en-US" w:eastAsia="zh-CN"/>
        </w:rPr>
        <w:t>液晶、偏光片、掩膜版、彩色滤光片等核心材料与零部件生产线</w:t>
      </w:r>
      <w:r>
        <w:rPr>
          <w:rFonts w:hint="eastAsia" w:ascii="仿宋_GB2312" w:hAnsi="仿宋_GB2312" w:cs="仿宋_GB2312"/>
          <w:sz w:val="32"/>
          <w:highlight w:val="none"/>
          <w:lang w:val="en-US" w:eastAsia="zh-CN"/>
        </w:rPr>
        <w:t>等领域的重大项目</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项目实施地在光明区；</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color w:val="000000"/>
          <w:kern w:val="2"/>
          <w:sz w:val="32"/>
          <w:szCs w:val="32"/>
          <w:lang w:val="en-US" w:eastAsia="zh-CN" w:bidi="ar-SA"/>
        </w:rPr>
        <w:t>3.</w:t>
      </w:r>
      <w:r>
        <w:rPr>
          <w:rFonts w:hint="eastAsia" w:hAnsi="仿宋_GB2312" w:cs="仿宋_GB2312"/>
          <w:color w:val="000000"/>
          <w:kern w:val="2"/>
          <w:sz w:val="32"/>
          <w:szCs w:val="32"/>
          <w:lang w:val="en-US" w:eastAsia="zh-CN" w:bidi="ar-SA"/>
        </w:rPr>
        <w:t>项目已在国家统计联网直报平台中及时进行固定资产投资填报。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b/>
          <w:bCs/>
          <w:sz w:val="32"/>
          <w:highlight w:val="none"/>
          <w:lang w:val="en-US" w:eastAsia="zh-CN"/>
        </w:rPr>
        <w:t>第八条 前沿显示技术研究平台建设项目</w:t>
      </w:r>
      <w:r>
        <w:rPr>
          <w:rFonts w:hint="eastAsia" w:ascii="楷体_GB2312" w:hAnsi="楷体_GB2312" w:eastAsia="楷体_GB2312" w:cs="楷体_GB2312"/>
          <w:sz w:val="32"/>
          <w:highlight w:val="none"/>
          <w:lang w:val="en-US" w:eastAsia="zh-CN"/>
        </w:rPr>
        <w:t>（《若干措施》第六条）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kern w:val="2"/>
          <w:sz w:val="32"/>
          <w:szCs w:val="32"/>
          <w:lang w:val="en-US" w:eastAsia="zh-CN"/>
        </w:rPr>
        <w:t>（一）</w:t>
      </w:r>
      <w:r>
        <w:rPr>
          <w:rFonts w:hint="eastAsia" w:ascii="仿宋_GB2312" w:hAnsi="仿宋_GB2312" w:eastAsia="仿宋_GB2312" w:cs="仿宋_GB2312"/>
          <w:sz w:val="32"/>
          <w:highlight w:val="none"/>
          <w:lang w:val="en-US" w:eastAsia="zh-CN"/>
        </w:rPr>
        <w:t>支持对象：围绕光场显示、新型光电材料及器件等前沿技术领域开展基础研究</w:t>
      </w:r>
      <w:r>
        <w:rPr>
          <w:rFonts w:hint="eastAsia" w:ascii="仿宋_GB2312" w:hAnsi="仿宋_GB2312" w:cs="仿宋_GB2312"/>
          <w:sz w:val="32"/>
          <w:highlight w:val="none"/>
          <w:lang w:val="en-US" w:eastAsia="zh-CN"/>
        </w:rPr>
        <w:t>并建立前沿显示技术研究平台的申报单位</w:t>
      </w:r>
      <w:r>
        <w:rPr>
          <w:rFonts w:hint="eastAsia" w:ascii="仿宋_GB2312" w:hAnsi="仿宋_GB2312" w:eastAsia="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sz w:val="32"/>
          <w:highlight w:val="none"/>
          <w:lang w:val="en-US" w:eastAsia="zh-CN"/>
        </w:rPr>
      </w:pPr>
      <w:r>
        <w:rPr>
          <w:rFonts w:hint="eastAsia" w:ascii="仿宋_GB2312" w:hAnsi="仿宋_GB2312" w:cs="仿宋_GB2312"/>
          <w:kern w:val="2"/>
          <w:sz w:val="32"/>
          <w:szCs w:val="32"/>
          <w:lang w:val="en-US" w:eastAsia="zh-CN"/>
        </w:rPr>
        <w:t>（二）</w:t>
      </w:r>
      <w:r>
        <w:rPr>
          <w:rFonts w:hint="eastAsia" w:ascii="仿宋_GB2312" w:hAnsi="仿宋_GB2312" w:eastAsia="仿宋_GB2312" w:cs="仿宋_GB2312"/>
          <w:sz w:val="32"/>
          <w:highlight w:val="none"/>
          <w:lang w:val="en-US" w:eastAsia="zh-CN"/>
        </w:rPr>
        <w:t>支持方式和标准：采用事后资助方式</w:t>
      </w:r>
      <w:r>
        <w:rPr>
          <w:rFonts w:hint="eastAsia" w:ascii="仿宋_GB2312" w:hAnsi="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cs="仿宋_GB2312"/>
          <w:kern w:val="2"/>
          <w:sz w:val="32"/>
          <w:szCs w:val="32"/>
          <w:lang w:val="en-US" w:eastAsia="zh-CN"/>
        </w:rPr>
        <w:t>（三）</w:t>
      </w:r>
      <w:r>
        <w:rPr>
          <w:rFonts w:hint="eastAsia" w:ascii="仿宋_GB2312" w:hAnsi="仿宋_GB2312" w:eastAsia="仿宋_GB2312" w:cs="仿宋_GB2312"/>
          <w:kern w:val="2"/>
          <w:sz w:val="32"/>
          <w:szCs w:val="32"/>
          <w:lang w:val="en-US" w:eastAsia="zh-CN"/>
        </w:rPr>
        <w:t>支持标准：</w:t>
      </w:r>
      <w:r>
        <w:rPr>
          <w:rFonts w:hint="eastAsia" w:ascii="仿宋_GB2312" w:hAnsi="仿宋_GB2312" w:cs="仿宋_GB2312"/>
          <w:kern w:val="2"/>
          <w:sz w:val="32"/>
          <w:szCs w:val="32"/>
          <w:lang w:val="en-US" w:eastAsia="zh-CN"/>
        </w:rPr>
        <w:t>对项目落地建设，</w:t>
      </w:r>
      <w:r>
        <w:rPr>
          <w:rFonts w:hint="eastAsia" w:ascii="仿宋_GB2312" w:hAnsi="仿宋_GB2312" w:eastAsia="仿宋_GB2312" w:cs="仿宋_GB2312"/>
          <w:sz w:val="32"/>
          <w:highlight w:val="none"/>
          <w:lang w:val="en-US" w:eastAsia="zh-CN"/>
        </w:rPr>
        <w:t>按项目实际投资的</w:t>
      </w:r>
      <w:r>
        <w:rPr>
          <w:rFonts w:hint="eastAsia" w:ascii="仿宋_GB2312" w:hAnsi="仿宋_GB2312" w:cs="仿宋_GB2312"/>
          <w:sz w:val="32"/>
          <w:highlight w:val="none"/>
          <w:lang w:val="en-US" w:eastAsia="zh-CN"/>
        </w:rPr>
        <w:t>4</w:t>
      </w:r>
      <w:r>
        <w:rPr>
          <w:rFonts w:hint="eastAsia" w:ascii="仿宋_GB2312" w:hAnsi="仿宋_GB2312" w:eastAsia="仿宋_GB2312" w:cs="仿宋_GB2312"/>
          <w:sz w:val="32"/>
          <w:highlight w:val="none"/>
          <w:lang w:val="en-US" w:eastAsia="zh-CN"/>
        </w:rPr>
        <w:t>0%予以资助，最高不超过</w:t>
      </w:r>
      <w:r>
        <w:rPr>
          <w:rFonts w:hint="eastAsia" w:ascii="仿宋_GB2312" w:hAnsi="仿宋_GB2312" w:cs="仿宋_GB2312"/>
          <w:sz w:val="32"/>
          <w:highlight w:val="none"/>
          <w:lang w:val="en-US" w:eastAsia="zh-CN"/>
        </w:rPr>
        <w:t>1</w:t>
      </w:r>
      <w:r>
        <w:rPr>
          <w:rFonts w:hint="eastAsia" w:ascii="仿宋_GB2312" w:hAnsi="仿宋_GB2312" w:eastAsia="仿宋_GB2312" w:cs="仿宋_GB2312"/>
          <w:sz w:val="32"/>
          <w:highlight w:val="none"/>
          <w:lang w:val="en-US" w:eastAsia="zh-CN"/>
        </w:rPr>
        <w:t>000万元。</w:t>
      </w:r>
      <w:r>
        <w:rPr>
          <w:rFonts w:hint="eastAsia" w:ascii="仿宋_GB2312" w:hAnsi="仿宋_GB2312" w:eastAsia="仿宋_GB2312" w:cs="仿宋_GB2312"/>
          <w:kern w:val="2"/>
          <w:sz w:val="32"/>
          <w:szCs w:val="32"/>
          <w:lang w:eastAsia="zh-CN"/>
        </w:rPr>
        <w:t>实际投资为实际发生固定资产投资，包括设备购置安装、场地改造升级等</w:t>
      </w:r>
      <w:r>
        <w:rPr>
          <w:rFonts w:hint="eastAsia" w:hAnsi="仿宋_GB2312" w:cs="仿宋_GB2312"/>
          <w:kern w:val="2"/>
          <w:sz w:val="32"/>
          <w:szCs w:val="32"/>
          <w:lang w:eastAsia="zh-CN"/>
        </w:rPr>
        <w:t>费用</w:t>
      </w:r>
      <w:r>
        <w:rPr>
          <w:rFonts w:hint="eastAsia" w:ascii="仿宋_GB2312" w:hAnsi="仿宋_GB2312" w:eastAsia="仿宋_GB2312" w:cs="仿宋_GB2312"/>
          <w:kern w:val="2"/>
          <w:sz w:val="32"/>
          <w:szCs w:val="32"/>
          <w:lang w:eastAsia="zh-CN"/>
        </w:rPr>
        <w:t>，不包括</w:t>
      </w:r>
      <w:r>
        <w:rPr>
          <w:rFonts w:hint="eastAsia" w:hAnsi="仿宋_GB2312" w:cs="仿宋_GB2312"/>
          <w:color w:val="auto"/>
          <w:kern w:val="2"/>
          <w:sz w:val="32"/>
          <w:szCs w:val="32"/>
          <w:lang w:val="en-US" w:eastAsia="zh-CN" w:bidi="ar-SA"/>
        </w:rPr>
        <w:t>土地及产业用房的租赁购置费用及土地建设费用。</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lang w:val="en-US" w:eastAsia="zh-CN"/>
        </w:rPr>
        <w:t>（四）</w:t>
      </w:r>
      <w:r>
        <w:rPr>
          <w:rFonts w:hint="eastAsia" w:ascii="仿宋_GB2312" w:hAnsi="仿宋_GB2312" w:eastAsia="仿宋_GB2312" w:cs="仿宋_GB2312"/>
          <w:kern w:val="2"/>
          <w:sz w:val="32"/>
          <w:szCs w:val="32"/>
          <w:lang w:val="en-US" w:eastAsia="zh-CN"/>
        </w:rPr>
        <w:t>具体申报条件：</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1.</w:t>
      </w:r>
      <w:r>
        <w:rPr>
          <w:rFonts w:hint="eastAsia" w:hAnsi="仿宋_GB2312" w:cs="仿宋_GB2312"/>
          <w:color w:val="000000"/>
          <w:kern w:val="2"/>
          <w:sz w:val="32"/>
          <w:szCs w:val="32"/>
          <w:lang w:val="en-US" w:eastAsia="zh-CN" w:bidi="ar-SA"/>
        </w:rPr>
        <w:t>项目</w:t>
      </w:r>
      <w:r>
        <w:rPr>
          <w:rFonts w:hint="eastAsia" w:ascii="仿宋_GB2312" w:hAnsi="仿宋_GB2312" w:eastAsia="仿宋_GB2312" w:cs="仿宋_GB2312"/>
          <w:color w:val="000000"/>
          <w:kern w:val="2"/>
          <w:sz w:val="32"/>
          <w:szCs w:val="32"/>
          <w:lang w:val="en-US" w:eastAsia="zh-CN" w:bidi="ar-SA"/>
        </w:rPr>
        <w:t>经专家评审或</w:t>
      </w:r>
      <w:r>
        <w:rPr>
          <w:rFonts w:hint="eastAsia" w:hAnsi="仿宋_GB2312" w:cs="仿宋_GB2312"/>
          <w:color w:val="000000"/>
          <w:kern w:val="2"/>
          <w:sz w:val="32"/>
          <w:szCs w:val="32"/>
          <w:lang w:val="en-US" w:eastAsia="zh-CN" w:bidi="ar-SA"/>
        </w:rPr>
        <w:t>经</w:t>
      </w:r>
      <w:r>
        <w:rPr>
          <w:rFonts w:hint="eastAsia" w:ascii="仿宋_GB2312" w:hAnsi="仿宋_GB2312" w:eastAsia="仿宋_GB2312" w:cs="仿宋_GB2312"/>
          <w:color w:val="000000"/>
          <w:kern w:val="2"/>
          <w:sz w:val="32"/>
          <w:szCs w:val="32"/>
          <w:lang w:val="en-US" w:eastAsia="zh-CN" w:bidi="ar-SA"/>
        </w:rPr>
        <w:t>第三方专业机构评审认定</w:t>
      </w:r>
      <w:r>
        <w:rPr>
          <w:rFonts w:hint="eastAsia" w:hAnsi="仿宋_GB2312" w:cs="仿宋_GB2312"/>
          <w:color w:val="000000"/>
          <w:kern w:val="2"/>
          <w:sz w:val="32"/>
          <w:szCs w:val="32"/>
          <w:lang w:val="en-US" w:eastAsia="zh-CN" w:bidi="ar-SA"/>
        </w:rPr>
        <w:t>为面向产业重大创新发展需求建设的前沿技术平台项目</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项目实施地在光明区；</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color w:val="000000"/>
          <w:kern w:val="2"/>
          <w:sz w:val="32"/>
          <w:szCs w:val="32"/>
          <w:lang w:val="en-US" w:eastAsia="zh-CN" w:bidi="ar-SA"/>
        </w:rPr>
        <w:t>3.</w:t>
      </w:r>
      <w:r>
        <w:rPr>
          <w:rFonts w:hint="eastAsia" w:hAnsi="仿宋_GB2312" w:cs="仿宋_GB2312"/>
          <w:color w:val="000000"/>
          <w:kern w:val="2"/>
          <w:sz w:val="32"/>
          <w:szCs w:val="32"/>
          <w:lang w:val="en-US" w:eastAsia="zh-CN" w:bidi="ar-SA"/>
        </w:rPr>
        <w:t>项目已在国家统计联网直报平台中及时进行固定资产投资填报。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b/>
          <w:bCs/>
          <w:sz w:val="32"/>
          <w:highlight w:val="none"/>
          <w:lang w:val="en-US" w:eastAsia="zh-CN"/>
        </w:rPr>
        <w:t>第九条 超高清视频显示核心技术攻关项目</w:t>
      </w:r>
      <w:r>
        <w:rPr>
          <w:rFonts w:hint="eastAsia" w:ascii="楷体_GB2312" w:hAnsi="楷体_GB2312" w:eastAsia="楷体_GB2312" w:cs="楷体_GB2312"/>
          <w:sz w:val="32"/>
          <w:highlight w:val="none"/>
          <w:lang w:val="en-US" w:eastAsia="zh-CN"/>
        </w:rPr>
        <w:t>（《若干措施》第七条）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（一）</w:t>
      </w:r>
      <w:r>
        <w:rPr>
          <w:rFonts w:hint="eastAsia" w:ascii="仿宋_GB2312" w:hAnsi="仿宋_GB2312" w:eastAsia="仿宋_GB2312" w:cs="仿宋_GB2312"/>
          <w:sz w:val="32"/>
          <w:highlight w:val="none"/>
          <w:lang w:val="en-US" w:eastAsia="zh-CN"/>
        </w:rPr>
        <w:t>支持对象：联合光明区高</w:t>
      </w:r>
      <w:r>
        <w:rPr>
          <w:rFonts w:hint="eastAsia" w:ascii="仿宋_GB2312" w:hAnsi="仿宋_GB2312" w:cs="仿宋_GB2312"/>
          <w:sz w:val="32"/>
          <w:highlight w:val="none"/>
          <w:lang w:val="en-US" w:eastAsia="zh-CN"/>
        </w:rPr>
        <w:t>校</w:t>
      </w:r>
      <w:r>
        <w:rPr>
          <w:rFonts w:hint="eastAsia" w:ascii="仿宋_GB2312" w:hAnsi="仿宋_GB2312" w:eastAsia="仿宋_GB2312" w:cs="仿宋_GB2312"/>
          <w:sz w:val="32"/>
          <w:highlight w:val="none"/>
          <w:lang w:val="en-US" w:eastAsia="zh-CN"/>
        </w:rPr>
        <w:t>、科研院所围绕Micro LED、QLED、印刷OLED等前沿显示技术，偏光片、掩膜版等核心零部件与材料，以及喷墨打印机、巨量转移设备等关键制程设备进行技术攻关的显示面板企业、上游配套材料零部件企业。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sz w:val="32"/>
          <w:highlight w:val="none"/>
          <w:lang w:val="en-US" w:eastAsia="zh-CN"/>
        </w:rPr>
      </w:pPr>
      <w:r>
        <w:rPr>
          <w:rFonts w:hint="eastAsia" w:ascii="仿宋_GB2312" w:hAnsi="仿宋_GB2312" w:cs="仿宋_GB2312"/>
          <w:sz w:val="32"/>
          <w:highlight w:val="none"/>
          <w:lang w:val="en-US" w:eastAsia="zh-CN"/>
        </w:rPr>
        <w:t>（二）</w:t>
      </w:r>
      <w:r>
        <w:rPr>
          <w:rFonts w:hint="eastAsia" w:ascii="仿宋_GB2312" w:hAnsi="仿宋_GB2312" w:eastAsia="仿宋_GB2312" w:cs="仿宋_GB2312"/>
          <w:sz w:val="32"/>
          <w:highlight w:val="none"/>
          <w:lang w:val="en-US" w:eastAsia="zh-CN"/>
        </w:rPr>
        <w:t>支持方式：此项目采用</w:t>
      </w:r>
      <w:r>
        <w:rPr>
          <w:rFonts w:hint="eastAsia" w:ascii="仿宋_GB2312" w:hAnsi="仿宋_GB2312" w:cs="仿宋_GB2312"/>
          <w:sz w:val="32"/>
          <w:highlight w:val="none"/>
          <w:lang w:val="en-US" w:eastAsia="zh-CN"/>
        </w:rPr>
        <w:t>直接奖励</w:t>
      </w:r>
      <w:r>
        <w:rPr>
          <w:rFonts w:hint="eastAsia" w:ascii="仿宋_GB2312" w:hAnsi="仿宋_GB2312" w:eastAsia="仿宋_GB2312" w:cs="仿宋_GB2312"/>
          <w:sz w:val="32"/>
          <w:highlight w:val="none"/>
          <w:lang w:val="en-US" w:eastAsia="zh-CN"/>
        </w:rPr>
        <w:t>方式</w:t>
      </w:r>
      <w:r>
        <w:rPr>
          <w:rFonts w:hint="eastAsia" w:ascii="仿宋_GB2312" w:hAnsi="仿宋_GB2312" w:cs="仿宋_GB2312"/>
          <w:sz w:val="32"/>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lang w:val="en-US" w:eastAsia="zh-CN"/>
        </w:rPr>
        <w:t>（三）支持</w:t>
      </w:r>
      <w:r>
        <w:rPr>
          <w:rFonts w:ascii="仿宋_GB2312" w:hAnsi="仿宋_GB2312" w:eastAsia="仿宋_GB2312" w:cs="仿宋_GB2312"/>
        </w:rPr>
        <w:t>标准：</w:t>
      </w:r>
      <w:r>
        <w:rPr>
          <w:rFonts w:hint="eastAsia" w:ascii="仿宋_GB2312" w:hAnsi="仿宋_GB2312" w:eastAsia="仿宋_GB2312" w:cs="仿宋_GB2312"/>
          <w:lang w:val="en-US" w:eastAsia="zh-CN"/>
        </w:rPr>
        <w:t>按照市级主管部门支持总额的50%给予配套支持。</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具体申报条件：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1.技术攻关项目应承诺在光明区落地转化；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2.已获得市级资助。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b/>
          <w:bCs/>
          <w:sz w:val="32"/>
          <w:highlight w:val="none"/>
          <w:lang w:val="en-US" w:eastAsia="zh-CN"/>
        </w:rPr>
        <w:t>第十条 商用显示示范场景项目</w:t>
      </w:r>
      <w:r>
        <w:rPr>
          <w:rFonts w:hint="eastAsia" w:ascii="楷体_GB2312" w:hAnsi="楷体_GB2312" w:eastAsia="楷体_GB2312" w:cs="楷体_GB2312"/>
          <w:sz w:val="32"/>
          <w:highlight w:val="none"/>
          <w:lang w:val="en-US" w:eastAsia="zh-CN"/>
        </w:rPr>
        <w:t>（《若干措施》第八条）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（一）</w:t>
      </w:r>
      <w:r>
        <w:rPr>
          <w:rFonts w:hint="eastAsia" w:ascii="仿宋_GB2312" w:hAnsi="仿宋_GB2312" w:eastAsia="仿宋_GB2312" w:cs="仿宋_GB2312"/>
          <w:sz w:val="32"/>
          <w:highlight w:val="none"/>
          <w:lang w:val="en-US" w:eastAsia="zh-CN"/>
        </w:rPr>
        <w:t>支持对象：在光明区内联合超高清视频显示应用企业在医疗健康、智慧交通、文教娱乐等领域开展打造应用示范项目的超高清视频显示生产企业。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cs="仿宋_GB2312"/>
          <w:sz w:val="32"/>
          <w:highlight w:val="none"/>
          <w:lang w:val="en-US" w:eastAsia="zh-CN"/>
        </w:rPr>
      </w:pPr>
      <w:r>
        <w:rPr>
          <w:rFonts w:hint="eastAsia" w:ascii="仿宋_GB2312" w:hAnsi="仿宋_GB2312" w:cs="仿宋_GB2312"/>
          <w:sz w:val="32"/>
          <w:highlight w:val="none"/>
          <w:lang w:val="en-US" w:eastAsia="zh-CN"/>
        </w:rPr>
        <w:t>（二）</w:t>
      </w:r>
      <w:r>
        <w:rPr>
          <w:rFonts w:hint="eastAsia" w:ascii="仿宋_GB2312" w:hAnsi="仿宋_GB2312" w:eastAsia="仿宋_GB2312" w:cs="仿宋_GB2312"/>
          <w:sz w:val="32"/>
          <w:highlight w:val="none"/>
          <w:lang w:val="en-US" w:eastAsia="zh-CN"/>
        </w:rPr>
        <w:t>支持方式</w:t>
      </w:r>
      <w:r>
        <w:rPr>
          <w:rFonts w:hint="eastAsia" w:ascii="仿宋_GB2312" w:hAnsi="仿宋_GB2312" w:cs="仿宋_GB2312"/>
          <w:sz w:val="32"/>
          <w:highlight w:val="none"/>
          <w:lang w:val="en-US" w:eastAsia="zh-CN"/>
        </w:rPr>
        <w:t>：</w:t>
      </w:r>
      <w:r>
        <w:rPr>
          <w:rFonts w:hint="eastAsia" w:ascii="仿宋_GB2312" w:hAnsi="仿宋_GB2312" w:eastAsia="仿宋_GB2312" w:cs="仿宋_GB2312"/>
          <w:sz w:val="32"/>
          <w:highlight w:val="none"/>
          <w:lang w:val="en-US" w:eastAsia="zh-CN"/>
        </w:rPr>
        <w:t>此项目采用事后资助方式</w:t>
      </w:r>
      <w:r>
        <w:rPr>
          <w:rFonts w:hint="eastAsia" w:ascii="仿宋_GB2312" w:hAnsi="仿宋_GB2312" w:cs="仿宋_GB2312"/>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cs="仿宋_GB2312"/>
          <w:sz w:val="32"/>
          <w:highlight w:val="none"/>
          <w:lang w:val="en-US" w:eastAsia="zh-CN"/>
        </w:rPr>
        <w:t>（三）支持标准：对项目落地建设，</w:t>
      </w:r>
      <w:r>
        <w:rPr>
          <w:rFonts w:hint="eastAsia" w:ascii="仿宋_GB2312" w:hAnsi="仿宋_GB2312" w:eastAsia="仿宋_GB2312" w:cs="仿宋_GB2312"/>
          <w:sz w:val="32"/>
          <w:highlight w:val="none"/>
          <w:lang w:val="en-US" w:eastAsia="zh-CN"/>
        </w:rPr>
        <w:t>按实际投资的20%予以资助，最高200万元。</w:t>
      </w:r>
      <w:r>
        <w:rPr>
          <w:rFonts w:hint="eastAsia" w:ascii="仿宋_GB2312" w:hAnsi="仿宋_GB2312" w:eastAsia="仿宋_GB2312" w:cs="仿宋_GB2312"/>
          <w:kern w:val="2"/>
          <w:sz w:val="32"/>
          <w:szCs w:val="32"/>
          <w:lang w:eastAsia="zh-CN"/>
        </w:rPr>
        <w:t>实际投资为实际发生固定资产投资，包括设备购置安装、场地改造升级等</w:t>
      </w:r>
      <w:r>
        <w:rPr>
          <w:rFonts w:hint="eastAsia" w:hAnsi="仿宋_GB2312" w:cs="仿宋_GB2312"/>
          <w:kern w:val="2"/>
          <w:sz w:val="32"/>
          <w:szCs w:val="32"/>
          <w:lang w:eastAsia="zh-CN"/>
        </w:rPr>
        <w:t>费用</w:t>
      </w:r>
      <w:r>
        <w:rPr>
          <w:rFonts w:hint="eastAsia" w:ascii="仿宋_GB2312" w:hAnsi="仿宋_GB2312" w:eastAsia="仿宋_GB2312" w:cs="仿宋_GB2312"/>
          <w:kern w:val="2"/>
          <w:sz w:val="32"/>
          <w:szCs w:val="32"/>
          <w:lang w:eastAsia="zh-CN"/>
        </w:rPr>
        <w:t>，不包括</w:t>
      </w:r>
      <w:r>
        <w:rPr>
          <w:rFonts w:hint="eastAsia" w:hAnsi="仿宋_GB2312" w:cs="仿宋_GB2312"/>
          <w:color w:val="auto"/>
          <w:kern w:val="2"/>
          <w:sz w:val="32"/>
          <w:szCs w:val="32"/>
          <w:lang w:val="en-US" w:eastAsia="zh-CN" w:bidi="ar-SA"/>
        </w:rPr>
        <w:t>土地及产业用房的租赁购置费用及土地建设费用。</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cs="仿宋_GB2312"/>
          <w:kern w:val="2"/>
          <w:sz w:val="32"/>
          <w:szCs w:val="32"/>
          <w:lang w:val="en-US" w:eastAsia="zh-CN"/>
        </w:rPr>
        <w:t>（四）</w:t>
      </w:r>
      <w:r>
        <w:rPr>
          <w:rFonts w:hint="eastAsia" w:ascii="仿宋_GB2312" w:hAnsi="仿宋_GB2312" w:eastAsia="仿宋_GB2312" w:cs="仿宋_GB2312"/>
          <w:kern w:val="2"/>
          <w:sz w:val="32"/>
          <w:szCs w:val="32"/>
          <w:lang w:val="en-US" w:eastAsia="zh-CN"/>
        </w:rPr>
        <w:t>具体申报条件：</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1.</w:t>
      </w:r>
      <w:r>
        <w:rPr>
          <w:rFonts w:hint="eastAsia" w:hAnsi="仿宋_GB2312" w:cs="仿宋_GB2312"/>
          <w:color w:val="000000"/>
          <w:kern w:val="2"/>
          <w:sz w:val="32"/>
          <w:szCs w:val="32"/>
          <w:lang w:val="en-US" w:eastAsia="zh-CN" w:bidi="ar-SA"/>
        </w:rPr>
        <w:t>项目</w:t>
      </w:r>
      <w:r>
        <w:rPr>
          <w:rFonts w:hint="eastAsia" w:ascii="仿宋_GB2312" w:hAnsi="仿宋_GB2312" w:eastAsia="仿宋_GB2312" w:cs="仿宋_GB2312"/>
          <w:color w:val="000000"/>
          <w:kern w:val="2"/>
          <w:sz w:val="32"/>
          <w:szCs w:val="32"/>
          <w:lang w:val="en-US" w:eastAsia="zh-CN" w:bidi="ar-SA"/>
        </w:rPr>
        <w:t>经专家评审或</w:t>
      </w:r>
      <w:r>
        <w:rPr>
          <w:rFonts w:hint="eastAsia" w:hAnsi="仿宋_GB2312" w:cs="仿宋_GB2312"/>
          <w:color w:val="000000"/>
          <w:kern w:val="2"/>
          <w:sz w:val="32"/>
          <w:szCs w:val="32"/>
          <w:lang w:val="en-US" w:eastAsia="zh-CN" w:bidi="ar-SA"/>
        </w:rPr>
        <w:t>经</w:t>
      </w:r>
      <w:r>
        <w:rPr>
          <w:rFonts w:hint="eastAsia" w:ascii="仿宋_GB2312" w:hAnsi="仿宋_GB2312" w:eastAsia="仿宋_GB2312" w:cs="仿宋_GB2312"/>
          <w:color w:val="000000"/>
          <w:kern w:val="2"/>
          <w:sz w:val="32"/>
          <w:szCs w:val="32"/>
          <w:lang w:val="en-US" w:eastAsia="zh-CN" w:bidi="ar-SA"/>
        </w:rPr>
        <w:t>第三方专业机构评审认定</w:t>
      </w:r>
      <w:r>
        <w:rPr>
          <w:rFonts w:hint="eastAsia" w:hAnsi="仿宋_GB2312" w:cs="仿宋_GB2312"/>
          <w:color w:val="000000"/>
          <w:kern w:val="2"/>
          <w:sz w:val="32"/>
          <w:szCs w:val="32"/>
          <w:lang w:val="en-US" w:eastAsia="zh-CN" w:bidi="ar-SA"/>
        </w:rPr>
        <w:t>为商用显示示范场景项目</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项目实施地在光明区；</w:t>
      </w:r>
    </w:p>
    <w:p>
      <w:pPr>
        <w:keepNext w:val="0"/>
        <w:keepLines w:val="0"/>
        <w:pageBreakBefore w:val="0"/>
        <w:widowControl w:val="0"/>
        <w:kinsoku/>
        <w:wordWrap/>
        <w:overflowPunct w:val="0"/>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color w:val="000000"/>
          <w:kern w:val="2"/>
          <w:sz w:val="32"/>
          <w:szCs w:val="32"/>
          <w:lang w:val="en-US" w:eastAsia="zh-CN" w:bidi="ar-SA"/>
        </w:rPr>
        <w:t>3.</w:t>
      </w:r>
      <w:r>
        <w:rPr>
          <w:rFonts w:hint="eastAsia" w:hAnsi="仿宋_GB2312" w:cs="仿宋_GB2312"/>
          <w:color w:val="000000"/>
          <w:kern w:val="2"/>
          <w:sz w:val="32"/>
          <w:szCs w:val="32"/>
          <w:lang w:val="en-US" w:eastAsia="zh-CN" w:bidi="ar-SA"/>
        </w:rPr>
        <w:t>项目已在国家统计联网直报平台中及时进行固定资产投资填报。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b/>
          <w:bCs/>
          <w:sz w:val="32"/>
          <w:highlight w:val="none"/>
          <w:lang w:val="en-US" w:eastAsia="zh-CN"/>
        </w:rPr>
        <w:t>第十一条 产业发展氛围营造项目</w:t>
      </w:r>
      <w:r>
        <w:rPr>
          <w:rFonts w:hint="eastAsia" w:ascii="楷体_GB2312" w:hAnsi="楷体_GB2312" w:eastAsia="楷体_GB2312" w:cs="楷体_GB2312"/>
          <w:sz w:val="32"/>
          <w:highlight w:val="none"/>
          <w:lang w:val="en-US" w:eastAsia="zh-CN"/>
        </w:rPr>
        <w:t>（《若干措施》第八条）</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hAnsi="仿宋_GB2312" w:eastAsia="仿宋_GB2312" w:cs="仿宋_GB2312"/>
          <w:lang w:eastAsia="zh-CN"/>
        </w:rPr>
      </w:pPr>
      <w:r>
        <w:rPr>
          <w:rFonts w:hint="eastAsia" w:ascii="仿宋_GB2312" w:hAnsi="仿宋_GB2312" w:cs="仿宋_GB2312"/>
          <w:sz w:val="32"/>
          <w:highlight w:val="none"/>
          <w:lang w:val="en-US" w:eastAsia="zh-CN"/>
        </w:rPr>
        <w:t>（一）</w:t>
      </w:r>
      <w:r>
        <w:rPr>
          <w:rFonts w:hint="eastAsia" w:ascii="仿宋_GB2312" w:hAnsi="仿宋_GB2312" w:eastAsia="仿宋_GB2312" w:cs="仿宋_GB2312"/>
          <w:sz w:val="32"/>
          <w:highlight w:val="none"/>
          <w:lang w:val="en-US" w:eastAsia="zh-CN"/>
        </w:rPr>
        <w:t>支持对象：</w:t>
      </w:r>
      <w:r>
        <w:rPr>
          <w:rFonts w:hint="eastAsia" w:hAnsi="仿宋_GB2312" w:cs="仿宋_GB2312"/>
        </w:rPr>
        <w:t>专业性产业峰会、重大论坛等活动的</w:t>
      </w:r>
      <w:r>
        <w:rPr>
          <w:rFonts w:hint="eastAsia" w:hAnsi="仿宋_GB2312" w:cs="仿宋_GB2312"/>
          <w:lang w:eastAsia="zh-CN"/>
        </w:rPr>
        <w:t>主办</w:t>
      </w:r>
      <w:r>
        <w:rPr>
          <w:rFonts w:hint="eastAsia" w:hAnsi="仿宋_GB2312" w:cs="仿宋_GB2312"/>
        </w:rPr>
        <w:t>机构</w:t>
      </w:r>
      <w:r>
        <w:rPr>
          <w:rFonts w:hint="eastAsia" w:hAnsi="仿宋_GB2312" w:cs="仿宋_GB2312"/>
          <w:lang w:eastAsia="zh-CN"/>
        </w:rPr>
        <w:t>或主要承办机构。</w:t>
      </w:r>
    </w:p>
    <w:p>
      <w:pPr>
        <w:pStyle w:val="10"/>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eastAsia"/>
        </w:rPr>
      </w:pPr>
      <w:r>
        <w:rPr>
          <w:rFonts w:hint="eastAsia" w:ascii="仿宋_GB2312" w:hAnsi="仿宋_GB2312" w:eastAsia="仿宋_GB2312" w:cs="仿宋_GB2312"/>
          <w:color w:val="auto"/>
          <w:kern w:val="2"/>
          <w:sz w:val="32"/>
          <w:szCs w:val="32"/>
          <w:lang w:eastAsia="zh-CN"/>
        </w:rPr>
        <w:t>（二）</w:t>
      </w:r>
      <w:r>
        <w:rPr>
          <w:rFonts w:hint="eastAsia" w:ascii="仿宋_GB2312" w:hAnsi="仿宋_GB2312" w:eastAsia="仿宋_GB2312" w:cs="仿宋_GB2312"/>
          <w:color w:val="auto"/>
          <w:kern w:val="2"/>
          <w:sz w:val="32"/>
          <w:szCs w:val="32"/>
        </w:rPr>
        <w:t>支持方式</w:t>
      </w:r>
      <w:r>
        <w:rPr>
          <w:rFonts w:hint="eastAsia" w:ascii="仿宋_GB2312" w:hAnsi="仿宋_GB2312" w:eastAsia="仿宋_GB2312" w:cs="仿宋_GB2312"/>
          <w:color w:val="auto"/>
          <w:kern w:val="2"/>
          <w:sz w:val="32"/>
          <w:szCs w:val="32"/>
          <w:lang w:eastAsia="zh-CN"/>
        </w:rPr>
        <w:t>：此项</w:t>
      </w:r>
      <w:r>
        <w:rPr>
          <w:rFonts w:hint="eastAsia" w:ascii="仿宋_GB2312" w:hAnsi="仿宋_GB2312" w:eastAsia="仿宋_GB2312" w:cs="仿宋_GB2312"/>
          <w:kern w:val="2"/>
          <w:sz w:val="32"/>
          <w:szCs w:val="32"/>
          <w:lang w:eastAsia="zh-CN"/>
        </w:rPr>
        <w:t>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仿宋_GB2312" w:hAnsi="仿宋_GB2312" w:eastAsia="仿宋_GB2312" w:cs="仿宋_GB2312"/>
          <w:kern w:val="2"/>
          <w:sz w:val="32"/>
          <w:szCs w:val="32"/>
        </w:rPr>
        <w:t>。</w:t>
      </w:r>
    </w:p>
    <w:p>
      <w:pPr>
        <w:pStyle w:val="10"/>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auto"/>
          <w:kern w:val="2"/>
          <w:sz w:val="32"/>
          <w:szCs w:val="32"/>
          <w:lang w:eastAsia="zh-CN"/>
        </w:rPr>
        <w:t>（三）</w:t>
      </w:r>
      <w:r>
        <w:rPr>
          <w:rFonts w:ascii="仿宋_GB2312" w:hAnsi="仿宋_GB2312" w:eastAsia="仿宋_GB2312" w:cs="仿宋_GB2312"/>
          <w:color w:val="auto"/>
          <w:kern w:val="2"/>
          <w:sz w:val="32"/>
          <w:szCs w:val="32"/>
        </w:rPr>
        <w:t>支持标准</w:t>
      </w:r>
      <w:r>
        <w:rPr>
          <w:rFonts w:hint="eastAsia" w:ascii="仿宋_GB2312" w:hAnsi="仿宋_GB2312" w:eastAsia="仿宋_GB2312" w:cs="仿宋_GB2312"/>
          <w:kern w:val="2"/>
          <w:sz w:val="32"/>
          <w:szCs w:val="32"/>
          <w:lang w:eastAsia="zh-CN"/>
        </w:rPr>
        <w:t>：按实际发生额的50%，给予最高不超过200万元奖励。实际发生额包括活动场地费、会务费、物料费、嘉宾邀请费、宣传费等与活动直接相关的费用。</w:t>
      </w:r>
    </w:p>
    <w:p>
      <w:pPr>
        <w:pStyle w:val="10"/>
        <w:keepNext w:val="0"/>
        <w:keepLines w:val="0"/>
        <w:pageBreakBefore w:val="0"/>
        <w:kinsoku/>
        <w:wordWrap/>
        <w:overflowPunct w:val="0"/>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（四）具体申报条件：活动在举办前已经区政府备案同意。</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项目申报</w:t>
      </w: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第</w:t>
      </w:r>
      <w:r>
        <w:rPr>
          <w:rFonts w:hint="eastAsia" w:ascii="仿宋_GB2312" w:hAnsi="仿宋_GB2312" w:cs="仿宋_GB2312"/>
          <w:b/>
          <w:bCs/>
          <w:sz w:val="32"/>
          <w:highlight w:val="none"/>
          <w:lang w:val="en-US" w:eastAsia="zh-CN"/>
        </w:rPr>
        <w:t>十二</w:t>
      </w:r>
      <w:r>
        <w:rPr>
          <w:rFonts w:hint="eastAsia" w:ascii="仿宋_GB2312" w:hAnsi="仿宋_GB2312" w:eastAsia="仿宋_GB2312" w:cs="仿宋_GB2312"/>
          <w:b/>
          <w:bCs/>
          <w:sz w:val="32"/>
          <w:highlight w:val="none"/>
          <w:lang w:val="en-US" w:eastAsia="zh-CN"/>
        </w:rPr>
        <w:t xml:space="preserve">条 </w:t>
      </w:r>
      <w:r>
        <w:rPr>
          <w:rFonts w:hint="eastAsia" w:ascii="仿宋_GB2312" w:hAnsi="仿宋_GB2312" w:eastAsia="仿宋_GB2312" w:cs="仿宋_GB2312"/>
          <w:sz w:val="32"/>
          <w:szCs w:val="32"/>
          <w:highlight w:val="none"/>
          <w:lang w:val="en-US" w:eastAsia="zh-CN"/>
        </w:rPr>
        <w:t>超高清视频显示产业集群高质量发展扶持计划</w:t>
      </w:r>
      <w:r>
        <w:rPr>
          <w:rFonts w:hint="eastAsia" w:ascii="仿宋_GB2312" w:hAnsi="仿宋_GB2312" w:eastAsia="仿宋_GB2312" w:cs="仿宋_GB2312"/>
          <w:sz w:val="32"/>
          <w:highlight w:val="none"/>
          <w:lang w:val="en-US" w:eastAsia="zh-CN"/>
        </w:rPr>
        <w:t>资金和项目的申报，由</w:t>
      </w:r>
      <w:r>
        <w:rPr>
          <w:rFonts w:hint="eastAsia" w:ascii="Times New Roman" w:hAnsi="Times New Roman" w:eastAsia="仿宋_GB2312" w:cs="Times New Roman"/>
          <w:b w:val="0"/>
          <w:i w:val="0"/>
          <w:strike w:val="0"/>
          <w:color w:val="000000"/>
          <w:spacing w:val="0"/>
          <w:sz w:val="32"/>
          <w:highlight w:val="none"/>
          <w:u w:val="none"/>
          <w:lang w:eastAsia="zh-CN"/>
        </w:rPr>
        <w:t>区工业和信息化局</w:t>
      </w:r>
      <w:r>
        <w:rPr>
          <w:rFonts w:hint="eastAsia" w:ascii="仿宋_GB2312" w:hAnsi="仿宋_GB2312" w:eastAsia="仿宋_GB2312" w:cs="仿宋_GB2312"/>
          <w:sz w:val="32"/>
          <w:highlight w:val="none"/>
          <w:lang w:val="en-US" w:eastAsia="zh-CN"/>
        </w:rPr>
        <w:t>根据本规程在光明区政府在线网站或光明区企业服务门户发布申请指南或通知，符合条件的申报单位均可按申请指南或通知要求提交申请。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第十</w:t>
      </w:r>
      <w:r>
        <w:rPr>
          <w:rFonts w:hint="eastAsia" w:ascii="仿宋_GB2312" w:hAnsi="仿宋_GB2312" w:cs="仿宋_GB2312"/>
          <w:b/>
          <w:bCs/>
          <w:sz w:val="32"/>
          <w:highlight w:val="none"/>
          <w:lang w:val="en-US" w:eastAsia="zh-CN"/>
        </w:rPr>
        <w:t>三</w:t>
      </w:r>
      <w:r>
        <w:rPr>
          <w:rFonts w:hint="eastAsia" w:ascii="仿宋_GB2312" w:hAnsi="仿宋_GB2312" w:eastAsia="仿宋_GB2312" w:cs="仿宋_GB2312"/>
          <w:b/>
          <w:bCs/>
          <w:sz w:val="32"/>
          <w:highlight w:val="none"/>
          <w:lang w:val="en-US" w:eastAsia="zh-CN"/>
        </w:rPr>
        <w:t>条</w:t>
      </w:r>
      <w:r>
        <w:rPr>
          <w:rFonts w:hint="eastAsia" w:ascii="仿宋_GB2312" w:hAnsi="仿宋_GB2312" w:eastAsia="仿宋_GB2312" w:cs="仿宋_GB2312"/>
          <w:sz w:val="32"/>
          <w:highlight w:val="none"/>
          <w:lang w:val="en-US" w:eastAsia="zh-CN"/>
        </w:rPr>
        <w:t xml:space="preserve"> 申报单位需对申报项目材料的真实性、准确性、完整性和合法性负责，不得弄虚作假和套取、骗取财政专项资金</w:t>
      </w:r>
      <w:r>
        <w:rPr>
          <w:rFonts w:hint="eastAsia" w:ascii="仿宋_GB2312" w:hAnsi="仿宋_GB2312" w:cs="仿宋_GB2312"/>
          <w:sz w:val="32"/>
          <w:highlight w:val="none"/>
          <w:lang w:val="en-US" w:eastAsia="zh-CN"/>
        </w:rPr>
        <w:t>。</w:t>
      </w:r>
      <w:r>
        <w:rPr>
          <w:rFonts w:hint="eastAsia" w:ascii="仿宋_GB2312" w:hAnsi="仿宋_GB2312" w:eastAsia="仿宋_GB2312" w:cs="仿宋_GB2312"/>
          <w:sz w:val="32"/>
          <w:highlight w:val="none"/>
          <w:lang w:val="en-US" w:eastAsia="zh-CN"/>
        </w:rPr>
        <w:t>申报单位不得以同一事项重复申报或者多头申报区级专项资金资助，同一事项确因政策允许申报多项专项资金的，应当在申报材料中予以标明并注明原因。重复使用同一发票申报项目可视为重复申报。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项目审核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第十</w:t>
      </w:r>
      <w:r>
        <w:rPr>
          <w:rFonts w:hint="eastAsia" w:ascii="仿宋_GB2312" w:hAnsi="仿宋_GB2312" w:cs="仿宋_GB2312"/>
          <w:b/>
          <w:bCs/>
          <w:sz w:val="32"/>
          <w:highlight w:val="none"/>
          <w:lang w:val="en-US" w:eastAsia="zh-CN"/>
        </w:rPr>
        <w:t>四</w:t>
      </w:r>
      <w:r>
        <w:rPr>
          <w:rFonts w:hint="eastAsia" w:ascii="仿宋_GB2312" w:hAnsi="仿宋_GB2312" w:eastAsia="仿宋_GB2312" w:cs="仿宋_GB2312"/>
          <w:b/>
          <w:bCs/>
          <w:sz w:val="32"/>
          <w:highlight w:val="none"/>
          <w:lang w:val="en-US" w:eastAsia="zh-CN"/>
        </w:rPr>
        <w:t>条</w:t>
      </w:r>
      <w:r>
        <w:rPr>
          <w:rFonts w:hint="eastAsia" w:ascii="仿宋_GB2312" w:hAnsi="仿宋_GB2312" w:eastAsia="仿宋_GB2312" w:cs="仿宋_GB2312"/>
          <w:sz w:val="32"/>
          <w:highlight w:val="none"/>
          <w:lang w:val="en-US" w:eastAsia="zh-CN"/>
        </w:rPr>
        <w:t xml:space="preserve"> 申报单位符合申报条件且提交的申报材料齐全的，区相关主管部门予以受理；对符合申报条件但材料不全的，一次性告知申报单位限期补足材料；对不符合申报条件的，不予受理。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b/>
          <w:bCs/>
          <w:sz w:val="32"/>
          <w:highlight w:val="none"/>
          <w:lang w:val="en-US" w:eastAsia="zh-CN"/>
        </w:rPr>
        <w:t>第十</w:t>
      </w:r>
      <w:r>
        <w:rPr>
          <w:rFonts w:hint="eastAsia" w:ascii="仿宋_GB2312" w:hAnsi="仿宋_GB2312" w:cs="仿宋_GB2312"/>
          <w:b/>
          <w:bCs/>
          <w:sz w:val="32"/>
          <w:highlight w:val="none"/>
          <w:lang w:val="en-US" w:eastAsia="zh-CN"/>
        </w:rPr>
        <w:t>五</w:t>
      </w:r>
      <w:r>
        <w:rPr>
          <w:rFonts w:hint="eastAsia" w:ascii="仿宋_GB2312" w:hAnsi="仿宋_GB2312" w:eastAsia="仿宋_GB2312" w:cs="仿宋_GB2312"/>
          <w:b/>
          <w:bCs/>
          <w:sz w:val="32"/>
          <w:highlight w:val="none"/>
          <w:lang w:val="en-US" w:eastAsia="zh-CN"/>
        </w:rPr>
        <w:t>条</w:t>
      </w:r>
      <w:r>
        <w:rPr>
          <w:rFonts w:hint="eastAsia" w:ascii="仿宋_GB2312" w:hAnsi="仿宋_GB2312" w:eastAsia="仿宋_GB2312" w:cs="仿宋_GB2312"/>
          <w:sz w:val="32"/>
          <w:highlight w:val="none"/>
          <w:lang w:val="en-US" w:eastAsia="zh-CN"/>
        </w:rPr>
        <w:t xml:space="preserve"> 区相关主管部门按以下程序对申报项目进行审核：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区相关主管部门发布申请指南或通知——申报单位向区相关主管部门提交申报材料（电子版及纸质版）——区相关主管部门形式审查——区相关主管部门实质性审查——区相关主管部门提出初步审核意见并征求相关部门意见——各分项资金主管部门办公室审定/审核——领导小组办公室备案（单笔资助金额100万以下项目）——分管区领导审定（单笔资助金额100万以上、500万以下项目）/审核——领导小组会议审定（单笔资助金额500万以上项目）——区相关主管部门拟定资助计划——社会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（一）区相关主管部门对申报单位提交的申报材料进行形式审查，主要审查申报材料是否齐全有效，相关材料是否规范完备。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（二）区相关主管部门根据需要组织现场考察、专家评审或专项审计，对项目进行实质性审查。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（三）区相关主管部门提出项目初步审核意见，根据需要向相关部门征求意见。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（四）核准类项目由区相关主管部门会同有关部门负责审核，并根据项目审核实际需要开展实地核查。区相关主管部门可根据实际需要委托第三方专业机构协助审核。经审核后，按照不同额度分级审定：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1.</w:t>
      </w:r>
      <w:r>
        <w:rPr>
          <w:rFonts w:hint="eastAsia" w:ascii="仿宋_GB2312" w:hAnsi="仿宋_GB2312" w:eastAsia="仿宋_GB2312" w:cs="仿宋_GB2312"/>
          <w:sz w:val="32"/>
          <w:highlight w:val="none"/>
          <w:lang w:val="en-US" w:eastAsia="zh-CN"/>
        </w:rPr>
        <w:t>单笔资助金额100万元以下的项目，由各分项资金主管部门办公会议审定，报领导小组办公室备案。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2.</w:t>
      </w:r>
      <w:r>
        <w:rPr>
          <w:rFonts w:hint="eastAsia" w:ascii="仿宋_GB2312" w:hAnsi="仿宋_GB2312" w:eastAsia="仿宋_GB2312" w:cs="仿宋_GB2312"/>
          <w:sz w:val="32"/>
          <w:highlight w:val="none"/>
          <w:lang w:val="en-US" w:eastAsia="zh-CN"/>
        </w:rPr>
        <w:t>单笔资助金额100万元以上、500万元以下的项目，经各分项资金主管部门办公会议审核后，报分管区领导审定，并报领导小组办公室备案。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3.</w:t>
      </w:r>
      <w:r>
        <w:rPr>
          <w:rFonts w:hint="eastAsia" w:ascii="仿宋_GB2312" w:hAnsi="仿宋_GB2312" w:eastAsia="仿宋_GB2312" w:cs="仿宋_GB2312"/>
          <w:sz w:val="32"/>
          <w:highlight w:val="none"/>
          <w:lang w:val="en-US" w:eastAsia="zh-CN"/>
        </w:rPr>
        <w:t>单笔资助金额500万元以上的项目，经各分项资金主管部门办公会议、分管区领导审核后，报领导小组会议审定并制发会议纪要。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（五）评审类项目由区相关主管部门会同有关部门进行初审、组织专家评审或委托第三方专业机构评审，并根据项目审核实际需要组织开展实地核查。经初审和评审后，按照不同额度分级审定：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1.</w:t>
      </w:r>
      <w:r>
        <w:rPr>
          <w:rFonts w:hint="eastAsia" w:ascii="仿宋_GB2312" w:hAnsi="仿宋_GB2312" w:eastAsia="仿宋_GB2312" w:cs="仿宋_GB2312"/>
          <w:sz w:val="32"/>
          <w:highlight w:val="none"/>
          <w:lang w:val="en-US" w:eastAsia="zh-CN"/>
        </w:rPr>
        <w:t>单笔资助金额100万元以下的项目，经各分项资金主管部门办公会议审核后，报分管区领导审定，并报领导小组办公室备案。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2.</w:t>
      </w:r>
      <w:r>
        <w:rPr>
          <w:rFonts w:hint="eastAsia" w:ascii="仿宋_GB2312" w:hAnsi="仿宋_GB2312" w:eastAsia="仿宋_GB2312" w:cs="仿宋_GB2312"/>
          <w:sz w:val="32"/>
          <w:highlight w:val="none"/>
          <w:lang w:val="en-US" w:eastAsia="zh-CN"/>
        </w:rPr>
        <w:t>单笔资助金额100万元以上、500万元以下的项目，经各分项资金主管部门办公会议、分管区领导审核后，报领导小组会议审定并制发会议纪要。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cs="仿宋_GB2312"/>
          <w:sz w:val="32"/>
          <w:highlight w:val="none"/>
          <w:lang w:val="en-US" w:eastAsia="zh-CN"/>
        </w:rPr>
        <w:t>3.</w:t>
      </w:r>
      <w:r>
        <w:rPr>
          <w:rFonts w:hint="eastAsia" w:ascii="仿宋_GB2312" w:hAnsi="仿宋_GB2312" w:eastAsia="仿宋_GB2312" w:cs="仿宋_GB2312"/>
          <w:sz w:val="32"/>
          <w:highlight w:val="none"/>
          <w:lang w:val="en-US" w:eastAsia="zh-CN"/>
        </w:rPr>
        <w:t>单笔资助金额500万元以上的项目，经各分项资金主管部门办公会议、分管区领导、领导小组会议审核后，报区政府常务会议审定并制发会议纪要。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六）经审定的拟资助项目在政府网站公示（按法律法规规定不宜公开的项目除外），公示期不少于5个工作日。公示期间有异议的，由区相关主管部门对异议情况进行处理，并向领导小组办公室报备处理情况。区相关主管部门无法处理的异议，须上报领导小组办公室、领导小组会议进行审核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（七）公示期满无异议或异议不成立的，由区相关主管部门按程序下达资助计划、办理资金拨付手续。</w:t>
      </w:r>
    </w:p>
    <w:p>
      <w:pPr>
        <w:keepNext w:val="0"/>
        <w:keepLines w:val="0"/>
        <w:pageBreakBefore w:val="0"/>
        <w:kinsoku/>
        <w:wordWrap/>
        <w:topLinePunct w:val="0"/>
        <w:autoSpaceDE/>
        <w:autoSpaceDN/>
        <w:bidi w:val="0"/>
        <w:adjustRightInd/>
        <w:spacing w:line="560" w:lineRule="exact"/>
        <w:jc w:val="center"/>
        <w:textAlignment w:val="auto"/>
        <w:rPr>
          <w:rFonts w:eastAsia="黑体"/>
        </w:rPr>
      </w:pPr>
      <w:r>
        <w:rPr>
          <w:rFonts w:eastAsia="黑体"/>
        </w:rPr>
        <w:t>第五章  项目管理和绩效评价</w:t>
      </w:r>
    </w:p>
    <w:p>
      <w:pPr>
        <w:keepNext w:val="0"/>
        <w:keepLines w:val="0"/>
        <w:pageBreakBefore w:val="0"/>
        <w:kinsoku/>
        <w:wordWrap/>
        <w:topLinePunct w:val="0"/>
        <w:autoSpaceDE/>
        <w:autoSpaceDN/>
        <w:bidi w:val="0"/>
        <w:adjustRightInd/>
        <w:spacing w:line="560" w:lineRule="exact"/>
        <w:ind w:firstLine="642" w:firstLineChars="200"/>
        <w:textAlignment w:val="auto"/>
      </w:pPr>
      <w:r>
        <w:rPr>
          <w:b/>
          <w:bCs/>
        </w:rPr>
        <w:t>第</w:t>
      </w:r>
      <w:r>
        <w:rPr>
          <w:rFonts w:hint="eastAsia"/>
          <w:b/>
          <w:bCs/>
          <w:lang w:eastAsia="zh-CN"/>
        </w:rPr>
        <w:t>十六</w:t>
      </w:r>
      <w:r>
        <w:rPr>
          <w:b/>
          <w:bCs/>
        </w:rPr>
        <w:t>条</w:t>
      </w:r>
      <w:r>
        <w:t xml:space="preserve"> 区相关</w:t>
      </w:r>
      <w:r>
        <w:rPr>
          <w:rFonts w:hint="eastAsia"/>
          <w:lang w:eastAsia="zh-CN"/>
        </w:rPr>
        <w:t>主管</w:t>
      </w:r>
      <w:r>
        <w:t>部门根据工作需要可委托第三方机构参与项目审核，承办相关工作。</w:t>
      </w:r>
    </w:p>
    <w:p>
      <w:pPr>
        <w:keepNext w:val="0"/>
        <w:keepLines w:val="0"/>
        <w:pageBreakBefore w:val="0"/>
        <w:kinsoku/>
        <w:wordWrap/>
        <w:topLinePunct w:val="0"/>
        <w:autoSpaceDE/>
        <w:autoSpaceDN/>
        <w:bidi w:val="0"/>
        <w:adjustRightInd/>
        <w:spacing w:line="560" w:lineRule="exact"/>
        <w:ind w:firstLine="642" w:firstLineChars="200"/>
        <w:textAlignment w:val="auto"/>
      </w:pPr>
      <w:r>
        <w:rPr>
          <w:b/>
          <w:bCs/>
        </w:rPr>
        <w:t>第</w:t>
      </w:r>
      <w:r>
        <w:rPr>
          <w:rFonts w:hint="eastAsia"/>
          <w:b/>
          <w:bCs/>
          <w:lang w:eastAsia="zh-CN"/>
        </w:rPr>
        <w:t>十七</w:t>
      </w:r>
      <w:r>
        <w:rPr>
          <w:b/>
          <w:bCs/>
        </w:rPr>
        <w:t>条</w:t>
      </w:r>
      <w:r>
        <w:t xml:space="preserve"> 申报单位及申报项目存在区相关部门规定的应退回已获得资助资金情形的，由区相关</w:t>
      </w:r>
      <w:r>
        <w:rPr>
          <w:rFonts w:hint="eastAsia"/>
          <w:lang w:eastAsia="zh-CN"/>
        </w:rPr>
        <w:t>主管</w:t>
      </w:r>
      <w:r>
        <w:t>部门督促申报单位退回财政资金。</w:t>
      </w:r>
    </w:p>
    <w:p>
      <w:pPr>
        <w:keepNext w:val="0"/>
        <w:keepLines w:val="0"/>
        <w:pageBreakBefore w:val="0"/>
        <w:kinsoku/>
        <w:wordWrap/>
        <w:topLinePunct w:val="0"/>
        <w:autoSpaceDE/>
        <w:autoSpaceDN/>
        <w:bidi w:val="0"/>
        <w:adjustRightInd/>
        <w:spacing w:line="560" w:lineRule="exact"/>
        <w:ind w:firstLine="642" w:firstLineChars="200"/>
        <w:textAlignment w:val="auto"/>
      </w:pPr>
      <w:r>
        <w:rPr>
          <w:rFonts w:hint="eastAsia"/>
          <w:b/>
          <w:bCs/>
          <w:lang w:eastAsia="zh-CN"/>
        </w:rPr>
        <w:t>第十八</w:t>
      </w:r>
      <w:r>
        <w:rPr>
          <w:b/>
          <w:bCs/>
        </w:rPr>
        <w:t>条</w:t>
      </w:r>
      <w:r>
        <w:t xml:space="preserve"> 区相关</w:t>
      </w:r>
      <w:r>
        <w:rPr>
          <w:rFonts w:hint="eastAsia"/>
          <w:lang w:eastAsia="zh-CN"/>
        </w:rPr>
        <w:t>主管</w:t>
      </w:r>
      <w:r>
        <w:t>部门根据绩效评价工作相关规定组织开展绩效自评、重点绩效评价工作。获得资金的申报单位要切实加强对专项资金的使用管理，自觉接受区相关部门、财政部门、审计部门和监察机关的监督检查，严格执行财务规章制度和会计核算办法，并按要求完成绩效自评。区相关</w:t>
      </w:r>
      <w:r>
        <w:rPr>
          <w:rFonts w:hint="eastAsia"/>
          <w:lang w:eastAsia="zh-CN"/>
        </w:rPr>
        <w:t>主管</w:t>
      </w:r>
      <w:r>
        <w:t>部门可组织专业机构抽取一定比例的项目开展评价工作。</w:t>
      </w:r>
    </w:p>
    <w:p>
      <w:pPr>
        <w:keepNext w:val="0"/>
        <w:keepLines w:val="0"/>
        <w:pageBreakBefore w:val="0"/>
        <w:kinsoku/>
        <w:wordWrap/>
        <w:topLinePunct w:val="0"/>
        <w:autoSpaceDE/>
        <w:autoSpaceDN/>
        <w:bidi w:val="0"/>
        <w:adjustRightInd/>
        <w:spacing w:line="560" w:lineRule="exact"/>
        <w:ind w:firstLine="640" w:firstLineChars="200"/>
        <w:jc w:val="center"/>
        <w:textAlignment w:val="auto"/>
        <w:rPr>
          <w:rFonts w:hint="eastAsia" w:ascii="黑体" w:hAnsi="黑体" w:eastAsia="黑体" w:cs="黑体"/>
        </w:rPr>
      </w:pPr>
      <w:r>
        <w:rPr>
          <w:rFonts w:hint="eastAsia" w:ascii="黑体" w:hAnsi="黑体" w:eastAsia="黑体" w:cs="黑体"/>
        </w:rPr>
        <w:t>第六章  监督检查</w:t>
      </w:r>
    </w:p>
    <w:p>
      <w:pPr>
        <w:keepNext w:val="0"/>
        <w:keepLines w:val="0"/>
        <w:pageBreakBefore w:val="0"/>
        <w:kinsoku/>
        <w:wordWrap/>
        <w:topLinePunct w:val="0"/>
        <w:autoSpaceDE/>
        <w:autoSpaceDN/>
        <w:bidi w:val="0"/>
        <w:adjustRightInd/>
        <w:spacing w:line="560" w:lineRule="exact"/>
        <w:ind w:firstLine="642" w:firstLineChars="200"/>
        <w:textAlignment w:val="auto"/>
      </w:pPr>
      <w:r>
        <w:rPr>
          <w:b/>
          <w:bCs/>
        </w:rPr>
        <w:t>第</w:t>
      </w:r>
      <w:r>
        <w:rPr>
          <w:rFonts w:hint="eastAsia"/>
          <w:b/>
          <w:bCs/>
          <w:lang w:eastAsia="zh-CN"/>
        </w:rPr>
        <w:t>十九</w:t>
      </w:r>
      <w:r>
        <w:rPr>
          <w:b/>
          <w:bCs/>
        </w:rPr>
        <w:t>条</w:t>
      </w:r>
      <w:r>
        <w:t xml:space="preserve"> 区相关</w:t>
      </w:r>
      <w:r>
        <w:rPr>
          <w:rFonts w:hint="eastAsia"/>
          <w:lang w:eastAsia="zh-CN"/>
        </w:rPr>
        <w:t>主管</w:t>
      </w:r>
      <w:r>
        <w:t>部门根据实际情况，</w:t>
      </w:r>
      <w:r>
        <w:rPr>
          <w:rFonts w:hint="eastAsia"/>
          <w:lang w:eastAsia="zh-CN"/>
        </w:rPr>
        <w:t>对</w:t>
      </w:r>
      <w:r>
        <w:t>第三方机构</w:t>
      </w:r>
      <w:r>
        <w:rPr>
          <w:rFonts w:hint="eastAsia"/>
          <w:lang w:eastAsia="zh-Hans"/>
        </w:rPr>
        <w:t>参与</w:t>
      </w:r>
      <w:r>
        <w:t>审核的项目，采取定期检查、不定期抽查方式，对项目实施情况和承办工作质量进行检查，实施全面管理和</w:t>
      </w:r>
      <w:r>
        <w:rPr>
          <w:rFonts w:hint="eastAsia" w:eastAsia="仿宋_GB2312"/>
          <w:sz w:val="32"/>
          <w:szCs w:val="32"/>
          <w:highlight w:val="none"/>
          <w:lang w:val="en-US" w:eastAsia="zh-Hans"/>
        </w:rPr>
        <w:t>全流程</w:t>
      </w:r>
      <w:r>
        <w:t>监督。</w:t>
      </w:r>
    </w:p>
    <w:p>
      <w:pPr>
        <w:keepNext w:val="0"/>
        <w:keepLines w:val="0"/>
        <w:pageBreakBefore w:val="0"/>
        <w:kinsoku/>
        <w:wordWrap/>
        <w:topLinePunct w:val="0"/>
        <w:autoSpaceDE/>
        <w:autoSpaceDN/>
        <w:bidi w:val="0"/>
        <w:adjustRightInd/>
        <w:spacing w:line="560" w:lineRule="exact"/>
        <w:ind w:firstLine="642" w:firstLineChars="200"/>
        <w:textAlignment w:val="auto"/>
      </w:pPr>
      <w:r>
        <w:rPr>
          <w:b/>
          <w:bCs/>
        </w:rPr>
        <w:t>第</w:t>
      </w:r>
      <w:r>
        <w:rPr>
          <w:rFonts w:hint="eastAsia"/>
          <w:b/>
          <w:bCs/>
          <w:lang w:eastAsia="zh-CN"/>
        </w:rPr>
        <w:t>二十</w:t>
      </w:r>
      <w:r>
        <w:rPr>
          <w:b/>
          <w:bCs/>
        </w:rPr>
        <w:t>条</w:t>
      </w:r>
      <w:r>
        <w:t xml:space="preserve"> 区相关</w:t>
      </w:r>
      <w:r>
        <w:rPr>
          <w:rFonts w:hint="eastAsia"/>
          <w:lang w:eastAsia="zh-CN"/>
        </w:rPr>
        <w:t>主管</w:t>
      </w:r>
      <w:r>
        <w:t>部门要加强监管，对资金申报、审核、分配、使用管理、监督检查、绩效评价等过程中发现的违法违纪违规问题，按相关规定予以处理。</w:t>
      </w:r>
    </w:p>
    <w:p>
      <w:pPr>
        <w:keepNext w:val="0"/>
        <w:keepLines w:val="0"/>
        <w:pageBreakBefore w:val="0"/>
        <w:kinsoku/>
        <w:wordWrap/>
        <w:topLinePunct w:val="0"/>
        <w:autoSpaceDE/>
        <w:autoSpaceDN/>
        <w:bidi w:val="0"/>
        <w:adjustRightInd/>
        <w:spacing w:line="560" w:lineRule="exact"/>
        <w:ind w:firstLine="642" w:firstLineChars="200"/>
        <w:textAlignment w:val="auto"/>
      </w:pPr>
      <w:r>
        <w:rPr>
          <w:b/>
          <w:bCs/>
        </w:rPr>
        <w:t>第二十</w:t>
      </w:r>
      <w:r>
        <w:rPr>
          <w:rFonts w:hint="eastAsia"/>
          <w:b/>
          <w:bCs/>
          <w:lang w:eastAsia="zh-CN"/>
        </w:rPr>
        <w:t>一</w:t>
      </w:r>
      <w:r>
        <w:rPr>
          <w:b/>
          <w:bCs/>
        </w:rPr>
        <w:t>条</w:t>
      </w:r>
      <w:r>
        <w:t xml:space="preserve"> 区相关</w:t>
      </w:r>
      <w:r>
        <w:rPr>
          <w:rFonts w:hint="eastAsia"/>
          <w:lang w:eastAsia="zh-CN"/>
        </w:rPr>
        <w:t>主管</w:t>
      </w:r>
      <w:r>
        <w:t>部门对申报单位、专业机构、第三方机构等，就项目申报和管理情况进行监督，存在利用不正当手段骗取或协助骗取财政专项资金情形的，由区相关</w:t>
      </w:r>
      <w:r>
        <w:rPr>
          <w:rFonts w:hint="eastAsia"/>
          <w:lang w:eastAsia="zh-CN"/>
        </w:rPr>
        <w:t>主管</w:t>
      </w:r>
      <w:r>
        <w:t>部门按照区</w:t>
      </w:r>
      <w:r>
        <w:rPr>
          <w:rFonts w:hint="eastAsia"/>
          <w:lang w:eastAsia="zh-Hans"/>
        </w:rPr>
        <w:t>级财政</w:t>
      </w:r>
      <w:r>
        <w:t>专项资金有关</w:t>
      </w:r>
      <w:r>
        <w:rPr>
          <w:rFonts w:hint="eastAsia"/>
          <w:lang w:eastAsia="zh-Hans"/>
        </w:rPr>
        <w:t>管理</w:t>
      </w:r>
      <w:r>
        <w:t>规定予以处理，并按照有关法律、法规、规章的规定追究相应责任。</w:t>
      </w:r>
    </w:p>
    <w:p>
      <w:pPr>
        <w:keepNext w:val="0"/>
        <w:keepLines w:val="0"/>
        <w:pageBreakBefore w:val="0"/>
        <w:kinsoku/>
        <w:wordWrap/>
        <w:topLinePunct w:val="0"/>
        <w:autoSpaceDE/>
        <w:autoSpaceDN/>
        <w:bidi w:val="0"/>
        <w:adjustRightInd/>
        <w:spacing w:line="560" w:lineRule="exact"/>
        <w:jc w:val="center"/>
        <w:textAlignment w:val="auto"/>
        <w:rPr>
          <w:rFonts w:eastAsia="黑体"/>
        </w:rPr>
      </w:pPr>
      <w:r>
        <w:rPr>
          <w:rFonts w:eastAsia="黑体"/>
        </w:rPr>
        <w:t>第七章  附则</w:t>
      </w:r>
    </w:p>
    <w:p>
      <w:pPr>
        <w:keepNext w:val="0"/>
        <w:keepLines w:val="0"/>
        <w:pageBreakBefore w:val="0"/>
        <w:widowControl/>
        <w:kinsoku/>
        <w:wordWrap/>
        <w:overflowPunct/>
        <w:topLinePunct w:val="0"/>
        <w:autoSpaceDE/>
        <w:autoSpaceDN/>
        <w:bidi w:val="0"/>
        <w:adjustRightInd/>
        <w:snapToGrid/>
        <w:spacing w:after="0" w:line="560" w:lineRule="exact"/>
        <w:ind w:firstLine="642" w:firstLineChars="200"/>
        <w:jc w:val="left"/>
        <w:textAlignment w:val="auto"/>
        <w:rPr>
          <w:rFonts w:hint="default" w:hAnsi="仿宋_GB2312" w:cs="仿宋_GB2312"/>
          <w:kern w:val="0"/>
          <w:highlight w:val="none"/>
          <w:lang w:val="en-US" w:eastAsia="zh-CN"/>
        </w:rPr>
      </w:pPr>
      <w:r>
        <w:rPr>
          <w:rFonts w:hint="eastAsia" w:ascii="仿宋_GB2312" w:hAnsi="仿宋_GB2312" w:eastAsia="仿宋_GB2312" w:cs="仿宋_GB2312"/>
          <w:b/>
          <w:bCs/>
          <w:kern w:val="0"/>
          <w:highlight w:val="none"/>
          <w:lang w:val="en-US" w:eastAsia="zh-CN"/>
        </w:rPr>
        <w:t>第二十</w:t>
      </w:r>
      <w:r>
        <w:rPr>
          <w:rFonts w:hint="eastAsia" w:hAnsi="仿宋_GB2312" w:cs="仿宋_GB2312"/>
          <w:b/>
          <w:bCs/>
          <w:kern w:val="0"/>
          <w:highlight w:val="none"/>
          <w:lang w:val="en-US" w:eastAsia="zh-CN"/>
        </w:rPr>
        <w:t>二</w:t>
      </w:r>
      <w:r>
        <w:rPr>
          <w:rFonts w:hint="eastAsia" w:ascii="仿宋_GB2312" w:hAnsi="仿宋_GB2312" w:eastAsia="仿宋_GB2312" w:cs="仿宋_GB2312"/>
          <w:b/>
          <w:bCs/>
          <w:kern w:val="0"/>
          <w:highlight w:val="none"/>
          <w:lang w:val="en-US" w:eastAsia="zh-CN"/>
        </w:rPr>
        <w:t>条</w:t>
      </w:r>
      <w:r>
        <w:rPr>
          <w:rFonts w:hint="eastAsia" w:ascii="仿宋_GB2312" w:hAnsi="仿宋_GB2312" w:eastAsia="仿宋_GB2312" w:cs="仿宋_GB2312"/>
          <w:kern w:val="0"/>
          <w:highlight w:val="none"/>
          <w:lang w:val="en-US" w:eastAsia="zh-CN"/>
        </w:rPr>
        <w:t xml:space="preserve"> </w:t>
      </w:r>
      <w:r>
        <w:rPr>
          <w:rFonts w:hint="default" w:hAnsi="仿宋_GB2312" w:cs="仿宋_GB2312"/>
          <w:kern w:val="0"/>
          <w:highlight w:val="none"/>
          <w:lang w:val="en-US" w:eastAsia="zh-CN"/>
        </w:rPr>
        <w:t>本规程所称“</w:t>
      </w:r>
      <w:r>
        <w:rPr>
          <w:rFonts w:hint="eastAsia" w:ascii="仿宋_GB2312" w:hAnsi="仿宋_GB2312" w:eastAsia="仿宋_GB2312" w:cs="仿宋_GB2312"/>
          <w:kern w:val="0"/>
          <w:highlight w:val="none"/>
          <w:lang w:val="en-US" w:eastAsia="zh-CN"/>
        </w:rPr>
        <w:t>最高</w:t>
      </w:r>
      <w:r>
        <w:rPr>
          <w:rFonts w:hint="default" w:hAnsi="仿宋_GB2312" w:cs="仿宋_GB2312"/>
          <w:kern w:val="0"/>
          <w:highlight w:val="none"/>
          <w:lang w:val="en-US" w:eastAsia="zh-CN"/>
        </w:rPr>
        <w:t>”“</w:t>
      </w:r>
      <w:r>
        <w:rPr>
          <w:rFonts w:hint="eastAsia" w:ascii="仿宋_GB2312" w:hAnsi="仿宋_GB2312" w:eastAsia="仿宋_GB2312" w:cs="仿宋_GB2312"/>
          <w:kern w:val="0"/>
          <w:highlight w:val="none"/>
          <w:lang w:val="en-US" w:eastAsia="zh-CN"/>
        </w:rPr>
        <w:t>最高不超过</w:t>
      </w:r>
      <w:r>
        <w:rPr>
          <w:rFonts w:hint="default" w:hAnsi="仿宋_GB2312" w:cs="仿宋_GB2312"/>
          <w:kern w:val="0"/>
          <w:highlight w:val="none"/>
          <w:lang w:val="en-US" w:eastAsia="zh-CN"/>
        </w:rPr>
        <w:t>”</w:t>
      </w:r>
      <w:r>
        <w:rPr>
          <w:rFonts w:hint="eastAsia" w:hAnsi="仿宋_GB2312" w:cs="仿宋_GB2312"/>
          <w:kern w:val="0"/>
          <w:highlight w:val="none"/>
          <w:lang w:val="en-US" w:eastAsia="zh-CN"/>
        </w:rPr>
        <w:t>均</w:t>
      </w:r>
      <w:r>
        <w:rPr>
          <w:rFonts w:hint="default" w:hAnsi="仿宋_GB2312" w:cs="仿宋_GB2312"/>
          <w:kern w:val="0"/>
          <w:highlight w:val="none"/>
          <w:lang w:val="en-US" w:eastAsia="zh-CN"/>
        </w:rPr>
        <w:t>包括本数。</w:t>
      </w:r>
    </w:p>
    <w:p>
      <w:pPr>
        <w:pStyle w:val="3"/>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eastAsia="仿宋_GB2312"/>
          <w:highlight w:val="none"/>
          <w:lang w:val="en-US" w:eastAsia="zh-CN"/>
        </w:rPr>
      </w:pPr>
      <w:r>
        <w:rPr>
          <w:rFonts w:hint="default" w:ascii="Times New Roman" w:hAnsi="Times New Roman" w:eastAsia="仿宋_GB2312" w:cs="Times New Roman"/>
          <w:b/>
          <w:bCs/>
          <w:i w:val="0"/>
          <w:strike w:val="0"/>
          <w:color w:val="000000"/>
          <w:spacing w:val="0"/>
          <w:sz w:val="32"/>
          <w:highlight w:val="none"/>
          <w:u w:val="none"/>
        </w:rPr>
        <w:t>第</w:t>
      </w:r>
      <w:r>
        <w:rPr>
          <w:rFonts w:hint="default" w:ascii="Times New Roman" w:hAnsi="Times New Roman" w:eastAsia="仿宋_GB2312" w:cs="Times New Roman"/>
          <w:b/>
          <w:bCs/>
          <w:i w:val="0"/>
          <w:strike w:val="0"/>
          <w:color w:val="000000"/>
          <w:spacing w:val="0"/>
          <w:sz w:val="32"/>
          <w:highlight w:val="none"/>
          <w:u w:val="none"/>
          <w:lang w:eastAsia="zh-CN"/>
        </w:rPr>
        <w:t>二十</w:t>
      </w:r>
      <w:r>
        <w:rPr>
          <w:rFonts w:hint="eastAsia" w:eastAsia="仿宋_GB2312" w:cs="Times New Roman"/>
          <w:b/>
          <w:bCs/>
          <w:i w:val="0"/>
          <w:strike w:val="0"/>
          <w:color w:val="000000"/>
          <w:spacing w:val="0"/>
          <w:sz w:val="32"/>
          <w:highlight w:val="none"/>
          <w:u w:val="none"/>
          <w:lang w:eastAsia="zh-CN"/>
        </w:rPr>
        <w:t>三</w:t>
      </w:r>
      <w:r>
        <w:rPr>
          <w:rFonts w:hint="default" w:ascii="Times New Roman" w:hAnsi="Times New Roman" w:eastAsia="仿宋_GB2312" w:cs="Times New Roman"/>
          <w:b/>
          <w:bCs/>
          <w:i w:val="0"/>
          <w:strike w:val="0"/>
          <w:color w:val="000000"/>
          <w:spacing w:val="0"/>
          <w:sz w:val="32"/>
          <w:highlight w:val="none"/>
          <w:u w:val="none"/>
        </w:rPr>
        <w:t>条</w:t>
      </w:r>
      <w:r>
        <w:rPr>
          <w:rFonts w:hint="default" w:ascii="Times New Roman" w:hAnsi="Times New Roman" w:eastAsia="仿宋_GB2312" w:cs="Times New Roman"/>
          <w:b w:val="0"/>
          <w:i w:val="0"/>
          <w:strike w:val="0"/>
          <w:color w:val="000000"/>
          <w:spacing w:val="0"/>
          <w:sz w:val="32"/>
          <w:highlight w:val="none"/>
          <w:u w:val="none"/>
          <w:lang w:val="en-US" w:eastAsia="zh-CN"/>
        </w:rPr>
        <w:t xml:space="preserve"> 本规程自印发之日起施行，有效期至</w:t>
      </w:r>
      <w:r>
        <w:rPr>
          <w:rFonts w:hint="eastAsia" w:ascii="仿宋_GB2312" w:hAnsi="仿宋_GB2312" w:eastAsia="仿宋_GB2312" w:cs="仿宋_GB2312"/>
          <w:b w:val="0"/>
          <w:i w:val="0"/>
          <w:strike w:val="0"/>
          <w:color w:val="000000"/>
          <w:spacing w:val="0"/>
          <w:sz w:val="32"/>
          <w:highlight w:val="none"/>
          <w:u w:val="none"/>
          <w:lang w:val="en-US" w:eastAsia="zh-CN"/>
        </w:rPr>
        <w:t>2027年X月X</w:t>
      </w:r>
      <w:r>
        <w:rPr>
          <w:rFonts w:hint="default" w:ascii="Times New Roman" w:hAnsi="Times New Roman" w:eastAsia="仿宋_GB2312" w:cs="Times New Roman"/>
          <w:b w:val="0"/>
          <w:i w:val="0"/>
          <w:strike w:val="0"/>
          <w:color w:val="000000"/>
          <w:spacing w:val="0"/>
          <w:sz w:val="32"/>
          <w:highlight w:val="none"/>
          <w:u w:val="none"/>
          <w:lang w:val="en-US" w:eastAsia="zh-CN"/>
        </w:rPr>
        <w:t>日。实施期间如遇国家、省市有关政策规定调整的，可进行相应调整。本规程由光明区工业和信息化局负责解释。</w:t>
      </w:r>
    </w:p>
    <w:sectPr>
      <w:footerReference r:id="rId5" w:type="default"/>
      <w:pgSz w:w="11906" w:h="16838"/>
      <w:pgMar w:top="1440" w:right="1440" w:bottom="144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F59B9"/>
    <w:multiLevelType w:val="singleLevel"/>
    <w:tmpl w:val="3F6F59B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FD137E"/>
    <w:rsid w:val="1F3FF542"/>
    <w:rsid w:val="1FF70938"/>
    <w:rsid w:val="2D9F24B3"/>
    <w:rsid w:val="37D71257"/>
    <w:rsid w:val="37FF9C3A"/>
    <w:rsid w:val="387ED203"/>
    <w:rsid w:val="39F43728"/>
    <w:rsid w:val="3B976B4D"/>
    <w:rsid w:val="3C7FB56B"/>
    <w:rsid w:val="3EF80FA2"/>
    <w:rsid w:val="3F658E8F"/>
    <w:rsid w:val="3FDD0E5E"/>
    <w:rsid w:val="3FF36C96"/>
    <w:rsid w:val="44D7E5F9"/>
    <w:rsid w:val="4A1947CF"/>
    <w:rsid w:val="4F5A0B5B"/>
    <w:rsid w:val="55EF1F9F"/>
    <w:rsid w:val="57368ED7"/>
    <w:rsid w:val="577D6649"/>
    <w:rsid w:val="5DC13D2A"/>
    <w:rsid w:val="5EFFFD20"/>
    <w:rsid w:val="5F7EF2AB"/>
    <w:rsid w:val="6AFF2D96"/>
    <w:rsid w:val="6EBA2524"/>
    <w:rsid w:val="6EF2B95E"/>
    <w:rsid w:val="6FCD5BF7"/>
    <w:rsid w:val="6FFABF5E"/>
    <w:rsid w:val="77FB70BA"/>
    <w:rsid w:val="77FDAB19"/>
    <w:rsid w:val="7ABF92A2"/>
    <w:rsid w:val="7C6B27F1"/>
    <w:rsid w:val="7C7F7D01"/>
    <w:rsid w:val="7D7FAA22"/>
    <w:rsid w:val="7DB84B78"/>
    <w:rsid w:val="7DFB26B0"/>
    <w:rsid w:val="7E46299C"/>
    <w:rsid w:val="7EB3ABA1"/>
    <w:rsid w:val="7EEF05DF"/>
    <w:rsid w:val="7EEFF947"/>
    <w:rsid w:val="7F1F194F"/>
    <w:rsid w:val="7FABBF26"/>
    <w:rsid w:val="7FBDE39D"/>
    <w:rsid w:val="7FBF7FEE"/>
    <w:rsid w:val="7FCE47FF"/>
    <w:rsid w:val="7FDFA70E"/>
    <w:rsid w:val="7FDFD468"/>
    <w:rsid w:val="7FEF83AB"/>
    <w:rsid w:val="7FF71143"/>
    <w:rsid w:val="7FFDF238"/>
    <w:rsid w:val="7FFF2A5F"/>
    <w:rsid w:val="7FFFA012"/>
    <w:rsid w:val="95F3A7F6"/>
    <w:rsid w:val="9A57651D"/>
    <w:rsid w:val="9F38121B"/>
    <w:rsid w:val="9FF5C4C7"/>
    <w:rsid w:val="A375AEB2"/>
    <w:rsid w:val="A75CC782"/>
    <w:rsid w:val="AFDF2131"/>
    <w:rsid w:val="AFFFF4FC"/>
    <w:rsid w:val="B7EF2866"/>
    <w:rsid w:val="BAFF61A8"/>
    <w:rsid w:val="BE9E9EDC"/>
    <w:rsid w:val="BEFF035E"/>
    <w:rsid w:val="BF79F7B2"/>
    <w:rsid w:val="C3F73D61"/>
    <w:rsid w:val="C5FB37A7"/>
    <w:rsid w:val="CF6DE2D7"/>
    <w:rsid w:val="D1DD8EEA"/>
    <w:rsid w:val="D3DF989E"/>
    <w:rsid w:val="D7B78019"/>
    <w:rsid w:val="D7FF45F3"/>
    <w:rsid w:val="DDFDA596"/>
    <w:rsid w:val="DE7DB001"/>
    <w:rsid w:val="DEDF06B8"/>
    <w:rsid w:val="DF975C0E"/>
    <w:rsid w:val="E7C25632"/>
    <w:rsid w:val="E7DFFBA9"/>
    <w:rsid w:val="E7FBE109"/>
    <w:rsid w:val="E9FF2888"/>
    <w:rsid w:val="EB611F8A"/>
    <w:rsid w:val="EBF5750C"/>
    <w:rsid w:val="EFBB4AB4"/>
    <w:rsid w:val="EFFDF028"/>
    <w:rsid w:val="F4DF1A8E"/>
    <w:rsid w:val="F53F57F7"/>
    <w:rsid w:val="F5AEDB7B"/>
    <w:rsid w:val="F67E9112"/>
    <w:rsid w:val="F6EF377F"/>
    <w:rsid w:val="F9BF719A"/>
    <w:rsid w:val="FB7E8B8C"/>
    <w:rsid w:val="FB99D05D"/>
    <w:rsid w:val="FDF65AEF"/>
    <w:rsid w:val="FF577994"/>
    <w:rsid w:val="FF6F74A0"/>
    <w:rsid w:val="FFBAB216"/>
    <w:rsid w:val="FFDA5505"/>
    <w:rsid w:val="FFDBEB77"/>
    <w:rsid w:val="FFFA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3">
    <w:name w:val="Normal Indent"/>
    <w:basedOn w:val="1"/>
    <w:next w:val="1"/>
    <w:qFormat/>
    <w:uiPriority w:val="0"/>
    <w:pPr>
      <w:ind w:firstLine="567"/>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标书正文1"/>
    <w:basedOn w:val="1"/>
    <w:qFormat/>
    <w:uiPriority w:val="0"/>
    <w:pPr>
      <w:spacing w:line="520" w:lineRule="exact"/>
      <w:ind w:firstLine="640" w:firstLineChars="200"/>
    </w:pPr>
    <w:rPr>
      <w:rFonts w:ascii="Times New Roman" w:hAnsi="Times New Roman" w:eastAsia="宋体" w:cs="Times New Roman"/>
    </w:rPr>
  </w:style>
  <w:style w:type="paragraph" w:customStyle="1" w:styleId="10">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3430</Words>
  <Characters>3501</Characters>
  <Lines>0</Lines>
  <Paragraphs>0</Paragraphs>
  <TotalTime>1</TotalTime>
  <ScaleCrop>false</ScaleCrop>
  <LinksUpToDate>false</LinksUpToDate>
  <CharactersWithSpaces>3534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huawei</cp:lastModifiedBy>
  <cp:lastPrinted>2023-03-09T17:58:00Z</cp:lastPrinted>
  <dcterms:modified xsi:type="dcterms:W3CDTF">2023-03-31T14:24:26Z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DA9E796A959443CC9D2AC25DADD83003</vt:lpwstr>
  </property>
</Properties>
</file>