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《深圳市光明区支持</w:t>
      </w:r>
      <w:r>
        <w:rPr>
          <w:rFonts w:hint="eastAsia" w:ascii="方正小标宋简体" w:eastAsia="方正小标宋简体"/>
          <w:sz w:val="44"/>
          <w:szCs w:val="44"/>
          <w:lang w:eastAsia="zh-CN"/>
        </w:rPr>
        <w:t>超高清视频显示</w:t>
      </w:r>
      <w:r>
        <w:rPr>
          <w:rFonts w:hint="eastAsia" w:ascii="方正小标宋简体" w:eastAsia="方正小标宋简体"/>
          <w:sz w:val="44"/>
          <w:szCs w:val="44"/>
        </w:rPr>
        <w:t>产业集群高质量发展扶持计划操作规程（征求意见稿）》社会公众意见征集及采纳情况表</w:t>
      </w:r>
    </w:p>
    <w:tbl>
      <w:tblPr>
        <w:tblStyle w:val="4"/>
        <w:tblpPr w:leftFromText="180" w:rightFromText="180" w:vertAnchor="text" w:horzAnchor="page" w:tblpX="1451" w:tblpY="546"/>
        <w:tblOverlap w:val="never"/>
        <w:tblW w:w="13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992"/>
        <w:gridCol w:w="7371"/>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序号</w:t>
            </w:r>
          </w:p>
        </w:tc>
        <w:tc>
          <w:tcPr>
            <w:tcW w:w="1701" w:type="dxa"/>
            <w:noWrap w:val="0"/>
            <w:vAlign w:val="center"/>
          </w:tcPr>
          <w:p>
            <w:pPr>
              <w:spacing w:line="360" w:lineRule="exact"/>
              <w:ind w:left="281" w:hanging="281" w:hangingChars="100"/>
              <w:jc w:val="center"/>
              <w:rPr>
                <w:rFonts w:ascii="宋体" w:hAnsi="宋体"/>
                <w:b/>
                <w:bCs/>
                <w:sz w:val="28"/>
                <w:szCs w:val="28"/>
              </w:rPr>
            </w:pPr>
            <w:r>
              <w:rPr>
                <w:rFonts w:hint="eastAsia" w:ascii="宋体" w:hAnsi="宋体"/>
                <w:b/>
                <w:bCs/>
                <w:sz w:val="28"/>
                <w:szCs w:val="28"/>
              </w:rPr>
              <w:t>反馈人姓名（单位）</w:t>
            </w:r>
          </w:p>
        </w:tc>
        <w:tc>
          <w:tcPr>
            <w:tcW w:w="992" w:type="dxa"/>
            <w:noWrap w:val="0"/>
            <w:vAlign w:val="center"/>
          </w:tcPr>
          <w:p>
            <w:pPr>
              <w:spacing w:line="360" w:lineRule="exact"/>
              <w:ind w:firstLine="281" w:firstLineChars="100"/>
              <w:jc w:val="center"/>
              <w:rPr>
                <w:rFonts w:ascii="宋体" w:hAnsi="宋体"/>
                <w:b/>
                <w:bCs/>
                <w:sz w:val="28"/>
                <w:szCs w:val="28"/>
              </w:rPr>
            </w:pPr>
          </w:p>
          <w:p>
            <w:pPr>
              <w:spacing w:line="360" w:lineRule="exact"/>
              <w:jc w:val="center"/>
              <w:rPr>
                <w:rFonts w:ascii="宋体" w:hAnsi="宋体"/>
                <w:b/>
                <w:bCs/>
                <w:sz w:val="28"/>
                <w:szCs w:val="28"/>
              </w:rPr>
            </w:pPr>
            <w:r>
              <w:rPr>
                <w:rFonts w:hint="eastAsia" w:ascii="宋体" w:hAnsi="宋体"/>
                <w:b/>
                <w:bCs/>
                <w:sz w:val="28"/>
                <w:szCs w:val="28"/>
              </w:rPr>
              <w:t>反馈方式</w:t>
            </w:r>
          </w:p>
          <w:p>
            <w:pPr>
              <w:spacing w:line="360" w:lineRule="exact"/>
              <w:jc w:val="center"/>
              <w:rPr>
                <w:rFonts w:ascii="宋体" w:hAnsi="宋体"/>
                <w:b/>
                <w:bCs/>
                <w:sz w:val="28"/>
                <w:szCs w:val="28"/>
              </w:rPr>
            </w:pPr>
          </w:p>
        </w:tc>
        <w:tc>
          <w:tcPr>
            <w:tcW w:w="7371" w:type="dxa"/>
            <w:noWrap w:val="0"/>
            <w:vAlign w:val="center"/>
          </w:tcPr>
          <w:p>
            <w:pPr>
              <w:spacing w:line="360" w:lineRule="exact"/>
              <w:ind w:firstLine="2810" w:firstLineChars="1000"/>
              <w:jc w:val="both"/>
              <w:rPr>
                <w:rFonts w:ascii="宋体" w:hAnsi="宋体"/>
                <w:b/>
                <w:bCs/>
                <w:sz w:val="28"/>
                <w:szCs w:val="28"/>
              </w:rPr>
            </w:pPr>
            <w:r>
              <w:rPr>
                <w:rFonts w:hint="eastAsia" w:ascii="宋体" w:hAnsi="宋体"/>
                <w:b/>
                <w:bCs/>
                <w:sz w:val="28"/>
                <w:szCs w:val="28"/>
              </w:rPr>
              <w:t>反馈意见</w:t>
            </w:r>
          </w:p>
        </w:tc>
        <w:tc>
          <w:tcPr>
            <w:tcW w:w="2551"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采纳情况及理由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17" w:type="dxa"/>
            <w:noWrap w:val="0"/>
            <w:vAlign w:val="center"/>
          </w:tcPr>
          <w:p>
            <w:pPr>
              <w:spacing w:line="360" w:lineRule="exact"/>
              <w:jc w:val="center"/>
              <w:rPr>
                <w:rFonts w:hint="eastAsia" w:ascii="宋体" w:hAnsi="宋体" w:eastAsia="宋体"/>
                <w:b w:val="0"/>
                <w:bCs w:val="0"/>
                <w:sz w:val="28"/>
                <w:szCs w:val="28"/>
                <w:lang w:val="en-US" w:eastAsia="zh-CN"/>
              </w:rPr>
            </w:pPr>
            <w:r>
              <w:rPr>
                <w:rFonts w:hint="eastAsia" w:ascii="宋体" w:hAnsi="宋体"/>
                <w:b w:val="0"/>
                <w:bCs w:val="0"/>
                <w:sz w:val="28"/>
                <w:szCs w:val="28"/>
                <w:lang w:val="en-US" w:eastAsia="zh-CN"/>
              </w:rPr>
              <w:t>1</w:t>
            </w:r>
          </w:p>
        </w:tc>
        <w:tc>
          <w:tcPr>
            <w:tcW w:w="1701" w:type="dxa"/>
            <w:noWrap w:val="0"/>
            <w:vAlign w:val="center"/>
          </w:tcPr>
          <w:p>
            <w:pPr>
              <w:spacing w:line="360" w:lineRule="exact"/>
              <w:ind w:left="281" w:hanging="280" w:hangingChars="100"/>
              <w:jc w:val="center"/>
              <w:rPr>
                <w:rFonts w:hint="eastAsia" w:ascii="宋体" w:hAnsi="宋体" w:eastAsia="宋体"/>
                <w:b w:val="0"/>
                <w:bCs w:val="0"/>
                <w:sz w:val="28"/>
                <w:szCs w:val="28"/>
                <w:lang w:eastAsia="zh-CN"/>
              </w:rPr>
            </w:pPr>
            <w:r>
              <w:rPr>
                <w:rFonts w:hint="eastAsia" w:ascii="宋体" w:hAnsi="宋体"/>
                <w:b w:val="0"/>
                <w:bCs w:val="0"/>
                <w:sz w:val="28"/>
                <w:szCs w:val="28"/>
                <w:lang w:eastAsia="zh-CN"/>
              </w:rPr>
              <w:t>廖先生</w:t>
            </w:r>
          </w:p>
        </w:tc>
        <w:tc>
          <w:tcPr>
            <w:tcW w:w="992" w:type="dxa"/>
            <w:noWrap w:val="0"/>
            <w:vAlign w:val="center"/>
          </w:tcPr>
          <w:p>
            <w:pPr>
              <w:spacing w:line="360" w:lineRule="exact"/>
              <w:jc w:val="center"/>
              <w:rPr>
                <w:rFonts w:hint="eastAsia" w:ascii="宋体" w:hAnsi="宋体" w:eastAsia="宋体"/>
                <w:b w:val="0"/>
                <w:bCs w:val="0"/>
                <w:sz w:val="28"/>
                <w:szCs w:val="28"/>
                <w:lang w:eastAsia="zh-CN"/>
              </w:rPr>
            </w:pPr>
            <w:r>
              <w:rPr>
                <w:rFonts w:hint="eastAsia" w:ascii="宋体" w:hAnsi="宋体"/>
                <w:b w:val="0"/>
                <w:bCs w:val="0"/>
                <w:sz w:val="28"/>
                <w:szCs w:val="28"/>
                <w:lang w:eastAsia="zh-CN"/>
              </w:rPr>
              <w:t>邮箱</w:t>
            </w:r>
          </w:p>
        </w:tc>
        <w:tc>
          <w:tcPr>
            <w:tcW w:w="7371" w:type="dxa"/>
            <w:noWrap w:val="0"/>
            <w:vAlign w:val="center"/>
          </w:tcPr>
          <w:p>
            <w:pPr>
              <w:spacing w:line="360" w:lineRule="exact"/>
              <w:jc w:val="both"/>
              <w:rPr>
                <w:rFonts w:hint="eastAsia" w:ascii="宋体" w:hAnsi="宋体" w:eastAsia="宋体"/>
                <w:b w:val="0"/>
                <w:bCs w:val="0"/>
                <w:sz w:val="28"/>
                <w:szCs w:val="28"/>
                <w:lang w:eastAsia="zh-CN"/>
              </w:rPr>
            </w:pPr>
            <w:r>
              <w:rPr>
                <w:rFonts w:hint="eastAsia" w:ascii="宋体" w:hAnsi="宋体"/>
                <w:b w:val="0"/>
                <w:bCs w:val="0"/>
                <w:sz w:val="28"/>
                <w:szCs w:val="28"/>
                <w:lang w:eastAsia="zh-CN"/>
              </w:rPr>
              <w:t>建议将《深圳市光明区支持超高清视频显示产业集群高质量发展扶持计划操作规程（征求意见稿）》第八条第（三）款支持标准“</w:t>
            </w:r>
            <w:r>
              <w:rPr>
                <w:rFonts w:hint="eastAsia" w:ascii="宋体" w:hAnsi="宋体"/>
                <w:b w:val="0"/>
                <w:bCs w:val="0"/>
                <w:sz w:val="28"/>
                <w:szCs w:val="28"/>
                <w:lang w:val="en-US" w:eastAsia="zh-CN"/>
              </w:rPr>
              <w:t>...包括设备设备购置安装、场地改造升级等费用</w:t>
            </w:r>
            <w:r>
              <w:rPr>
                <w:rFonts w:hint="eastAsia" w:ascii="宋体" w:hAnsi="宋体"/>
                <w:b w:val="0"/>
                <w:bCs w:val="0"/>
                <w:sz w:val="28"/>
                <w:szCs w:val="28"/>
                <w:lang w:eastAsia="zh-CN"/>
              </w:rPr>
              <w:t>”修改为“</w:t>
            </w:r>
            <w:r>
              <w:rPr>
                <w:rFonts w:hint="eastAsia" w:ascii="宋体" w:hAnsi="宋体"/>
                <w:b w:val="0"/>
                <w:bCs w:val="0"/>
                <w:sz w:val="28"/>
                <w:szCs w:val="28"/>
                <w:lang w:val="en-US" w:eastAsia="zh-CN"/>
              </w:rPr>
              <w:t>...包括设备购</w:t>
            </w:r>
            <w:bookmarkStart w:id="0" w:name="_GoBack"/>
            <w:bookmarkEnd w:id="0"/>
            <w:r>
              <w:rPr>
                <w:rFonts w:hint="eastAsia" w:ascii="宋体" w:hAnsi="宋体"/>
                <w:b w:val="0"/>
                <w:bCs w:val="0"/>
                <w:sz w:val="28"/>
                <w:szCs w:val="28"/>
                <w:lang w:val="en-US" w:eastAsia="zh-CN"/>
              </w:rPr>
              <w:t>置安装、场地改造升级（如净化装修）等费用</w:t>
            </w:r>
            <w:r>
              <w:rPr>
                <w:rFonts w:hint="eastAsia" w:ascii="宋体" w:hAnsi="宋体"/>
                <w:b w:val="0"/>
                <w:bCs w:val="0"/>
                <w:sz w:val="28"/>
                <w:szCs w:val="28"/>
                <w:lang w:eastAsia="zh-CN"/>
              </w:rPr>
              <w:t>”。理由：对场地改造标准进行细化限定，可进一步明确场地改造支持内容和方向，鼓励引导企业开展相关平台建设。</w:t>
            </w:r>
          </w:p>
        </w:tc>
        <w:tc>
          <w:tcPr>
            <w:tcW w:w="2551" w:type="dxa"/>
            <w:noWrap w:val="0"/>
            <w:vAlign w:val="center"/>
          </w:tcPr>
          <w:p>
            <w:pPr>
              <w:spacing w:line="360" w:lineRule="exact"/>
              <w:jc w:val="both"/>
              <w:rPr>
                <w:rFonts w:hint="eastAsia" w:ascii="宋体" w:hAnsi="宋体" w:eastAsia="宋体"/>
                <w:b/>
                <w:bCs/>
                <w:sz w:val="28"/>
                <w:szCs w:val="28"/>
                <w:lang w:eastAsia="zh-CN"/>
              </w:rPr>
            </w:pPr>
            <w:r>
              <w:rPr>
                <w:rFonts w:hint="eastAsia" w:ascii="宋体" w:hAnsi="宋体"/>
                <w:b w:val="0"/>
                <w:bCs w:val="0"/>
                <w:sz w:val="28"/>
                <w:szCs w:val="28"/>
                <w:lang w:eastAsia="zh-CN"/>
              </w:rPr>
              <w:t>采纳。理由：细化明确场地改造升级方向，有利于本扶持计划的具体实施。</w:t>
            </w:r>
          </w:p>
        </w:tc>
      </w:tr>
    </w:tbl>
    <w:p>
      <w:pPr>
        <w:pStyle w:val="2"/>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32ABB"/>
    <w:rsid w:val="1ACA766F"/>
    <w:rsid w:val="22932ABB"/>
    <w:rsid w:val="251D49B1"/>
    <w:rsid w:val="251F64DE"/>
    <w:rsid w:val="4AEFADB6"/>
    <w:rsid w:val="6DCFF62F"/>
    <w:rsid w:val="77B95229"/>
    <w:rsid w:val="8AF37F5C"/>
    <w:rsid w:val="F59FCFB1"/>
    <w:rsid w:val="FDADE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2023-04-01T15:49:00Z</dcterms:created>
  <dc:creator>Evilwst</dc:creator>
  <cp:lastModifiedBy>huawei</cp:lastModifiedBy>
  <dcterms:modified xsi:type="dcterms:W3CDTF">2023-05-08T16:17:37Z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F0835F78067B47AB9069E60782FE3AFD</vt:lpwstr>
  </property>
</Properties>
</file>