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Style w:val="6"/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光明区义务教育学校积分入学办法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jc w:val="center"/>
        <w:textAlignment w:val="auto"/>
        <w:rPr>
          <w:rStyle w:val="6"/>
          <w:rFonts w:ascii="仿宋_GB2312" w:hAnsi="Calibri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第一条 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为规范义务教育招生行为，保障符合在深就读条件适龄儿童、少年接受义务教育的合法权利，促进教育公平，根据《中华人民共和国义务教育法》《深圳经济特区居住证条例》《深圳市非深户籍人员子女接受义务教育管理办法》（深府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〕3号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）等有关法律法规和文件精神，光明区义务教育新生入学和转学插班实行积分入学。参加积分入学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对象为：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深圳市户籍儿童、少年；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符合《深圳市非深户籍人员子女接受义务教育管理办法》（深府规〔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号）文件规定的非深户籍适龄儿童、少年；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（三）享受政府相关优惠政策人员子女。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1" w:firstLine="643" w:firstLineChars="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光明区义务教育学位类型按照适龄儿童、少年户籍和家庭购房情况分为八类，积分项目及标准如下：</w:t>
      </w:r>
    </w:p>
    <w:p>
      <w:pPr>
        <w:spacing w:line="240" w:lineRule="auto"/>
        <w:ind w:firstLine="0" w:firstLineChars="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br w:type="page"/>
      </w:r>
    </w:p>
    <w:tbl>
      <w:tblPr>
        <w:tblStyle w:val="3"/>
        <w:tblW w:w="8910" w:type="dxa"/>
        <w:tblInd w:w="1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945"/>
        <w:gridCol w:w="4500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</w:rPr>
              <w:t>学位类型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</w:rPr>
              <w:t>基础积分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</w:rPr>
              <w:t>加分项目及标准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第一类：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学区内光明户籍，学区内拥有合法产权房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监护人产权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50%,户籍地址和居住地址一致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1.入户时长加分：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以适龄儿童、少年父母（监护人）一方户口迁入深圳市时长积分：0.1分/月。</w:t>
            </w:r>
          </w:p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2.居住时长加分：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按申请人家庭在学区内连续居住的时长进行积分：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拥有合法产权房（用途为住宅）的，以房地产证、不动产证的发证日期，或与政府（职能部门）签订的政策性住房协议的签订日期开始积分：0.1分/月。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租房（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用途为住宅）的，以《房屋租赁凭证》（红本）的发证日期，或与政府（职能部门）签订的政策性住房租赁协议的签订日期开始积分：0.1分/月。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注：承租人需为监护人。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拥有特殊住房（自建房、集资房、祖屋，用途为住宅）的，以辖区居委会出具证明显示的入住时间或水电费单、煤气单缴交时间开始积分：0.1分/月。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1.相关积分或加分以职能部门审核结果为准。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2.累计积分，不封顶。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第二类：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学区内光明户籍，学区内租房或居住其他住房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第三类：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非学区内光明户籍，学区内拥有合法产权房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监护人产权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50%）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第四类：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非学区内光明户籍，学区内租房或居住其他住房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60分</w:t>
            </w:r>
          </w:p>
        </w:tc>
        <w:tc>
          <w:tcPr>
            <w:tcW w:w="4500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第五类：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深圳市其他区户籍，学区内拥有合法产权房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监护人产权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50%）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restart"/>
            <w:noWrap w:val="0"/>
            <w:vAlign w:val="top"/>
          </w:tcPr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1.入户时长加分：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以适龄儿童、少年父母（监护人）一方户口迁入深圳市时长积分：0.1分/月。</w:t>
            </w:r>
          </w:p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2. 住房加分：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拥有合法产权房（用途为住宅）的，以房地产证、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u w:val="none"/>
              </w:rPr>
              <w:t>不动产证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的发证日期，或与政府（职能部门）签订的政策性住房协议的签订日期开始积分：0.1分/月。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租房（用途为住宅）的，以《房屋租赁凭证》（红本）的发证日期，或与政府（职能部门）签订的政策性住房租赁协议的签订日期开始积分：0.1分/月。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注：承租人需为监护人。</w:t>
            </w: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第六类：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深圳市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其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他区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户籍，学区内租房或居住其他住房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第七类：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非深圳户籍，学区内拥有合法产权房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监护人产权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50%）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1.住房加分：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拥有合法产权房（用途为住宅）的，以房地产证、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u w:val="none"/>
              </w:rPr>
              <w:t>不动产证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的发证日期，或与政府（职能部门）签订的政策性住房协议的签订日期开始积分：0.1分/月；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租房的（用途为住宅），以《房屋租赁凭证》（红本）的发证日期，或与政府（职能部门）签订的政策性住房租赁协议的签订日期开始积分：0.1分/月。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注：承租人需为监护人。</w:t>
            </w:r>
          </w:p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2.社保加分: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以家长一方社保为依据，选取养老险和医疗险同时缴纳时间计算积分（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截止到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月），补缴的不算积分：0.1分/月。</w:t>
            </w:r>
          </w:p>
          <w:p>
            <w:pPr>
              <w:widowControl/>
              <w:spacing w:line="0" w:lineRule="atLeast"/>
              <w:ind w:firstLine="481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.双居住证加分：</w:t>
            </w:r>
          </w:p>
          <w:p>
            <w:pPr>
              <w:widowControl/>
              <w:spacing w:line="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非深户籍适龄儿童、少年父母（监护人）双方均持有具有使用功能的居住证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或一方持有具仍使用功能的居住证，另一方为深户）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加1分。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>
            <w:pPr>
              <w:spacing w:line="400" w:lineRule="exact"/>
              <w:ind w:firstLine="48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第八类：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非深圳户籍，学区内租房或居住其他住房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分</w:t>
            </w:r>
          </w:p>
        </w:tc>
        <w:tc>
          <w:tcPr>
            <w:tcW w:w="4500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spacing w:line="400" w:lineRule="exact"/>
              <w:ind w:firstLine="480" w:firstLineChars="0"/>
              <w:jc w:val="left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备注：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（一）尾数超过15天按1月计算，不满15天按半月计算。积分计算截止日期为申请入学当年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（二）学区内光明户籍：指的是适龄儿童、少年户籍地址在学区内。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（三）申请学位的住房需为家庭实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际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居住，申请人所提供的住房证明材料需同实际居住地一致，没有实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际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居住的住房材料不能用于学位申请。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其他住房是指拥有合法产权房和租房</w:t>
      </w:r>
      <w:r>
        <w:rPr>
          <w:rFonts w:hint="eastAsia" w:ascii="仿宋_GB2312" w:hAnsi="宋体" w:eastAsia="仿宋_GB2312" w:cs="宋体"/>
          <w:i w:val="0"/>
          <w:iCs w:val="0"/>
          <w:color w:val="auto"/>
          <w:sz w:val="32"/>
          <w:szCs w:val="32"/>
          <w:u w:val="none"/>
          <w:shd w:val="clear" w:color="auto" w:fill="FFFFFF"/>
        </w:rPr>
        <w:t>（持有红本《房屋租赁凭证》）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之外的其他类型的住房，其中光明户籍拥有如下特殊住房可计算居住时长加分：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1.祖屋：提供辖区居委会开具的证明材料；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2.自建房：取得《深圳市农村城市化历史遗留违法建筑普查申报收件回执》，并由辖区居委会开具证明；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3.集资房：</w:t>
      </w:r>
      <w:r>
        <w:rPr>
          <w:rFonts w:hint="eastAsia" w:ascii="仿宋_GB2312" w:hAnsi="宋体" w:eastAsia="仿宋_GB2312" w:cs="宋体"/>
          <w:i w:val="0"/>
          <w:iCs w:val="0"/>
          <w:color w:val="auto"/>
          <w:sz w:val="32"/>
          <w:szCs w:val="32"/>
          <w:u w:val="none"/>
          <w:shd w:val="clear" w:color="auto" w:fill="FFFFFF"/>
        </w:rPr>
        <w:t>提供与集资单位签订的购房合同或收据，并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由辖区居委会开具证明。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）学位类别以学位申请时核定为准，通过学校初审后将不予变更。台湾地区户籍儿童、少年与深圳市其他区户籍儿童、少年同等待遇；非深圳户籍儿童、少年包括港澳户籍儿童、少年。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）中山大学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深圳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附属学校首先面向中山大学深圳校区全职在编教职工子女（含中山大学附属第七医院职工子女）招生，剩余学位供学区内其他适龄儿童、少年积分入学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）烈士子女、符合条件的现役军人子女及复退军人子女、消防救援队伍人员子女、公安英模和因公牺牲伤残警察子女、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持“鹏城优才卡”或高层次人才证书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优待优惠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政策人员的子女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按相关政策落实公办学位。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第三条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每位符合条件的适龄儿童需填报三个志愿：第一、二志愿可填报公办学校或民办学校，第三志愿为民办学校志愿，必须填报。公办学校志愿需按学区填报，民办学校学区为光明区范围。第一志愿信息计算的学位类别和积分，将作为招生录取依据。家长填报材料完成后，招生系统根据第一志愿信息自动计算适龄儿童、少年的初步学位类别和积分，最终学位类别、积分以各职能部门审核为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义务教育学校招生按照以下办法录取：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义务教育学校招生遵循“类别积分优先，依照志愿顺序”的原则进行录取。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（一）第一至第二志愿录取。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系统先将所有学生按照学位类型顺序和积分的高低顺序排队，第一类＞第二类＞第三类＞第四类＞第五类＞第六类＞第七类＞第八类，相同学位类型，按积分由高到低排序，按照“类别积分优先，依照志愿顺序”的原则进行录取。即，首先从排第一位的学生开始筛选录取，检索该学生第一志愿，第一志愿有空余学位，则录取到该学校；其次检索排第二位的学生，按其志愿顺序检索，录取到尚有空余学位的志愿学校；依次类推，检索每个学生的第一、第二志愿，当第一志愿学校已经录取满，检索第二志愿学校。如果检索学生两个志愿后，志愿学校学位均已录取满，参与下一批次公办学校补充录取及第三志愿（民办学校志愿）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分录取优先顺序：当多个申请人积分与录取分数相同且申请人数超过招生计划时，按如下顺序确定录取名单：（1）第一志愿＞第二志愿＞第三志愿。（2）志愿顺序相同时，深户以父母其中一方入深户时间长的优先录取（以户口簿显示的入深户时间为准）；非深圳户籍以父母其中一方缴纳深圳社保（养老保险或医疗保险）累计时间长的优先录取，如缴纳深圳社保（养老保险或医疗保险）累计时长相同，优先录取父母一方在光明区居住时间长的（以居住信息登记为准）。（3）如以上均相同，则以抽签的方式确定录取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（二）公办学校补充录取及第三志愿（民办学校志愿）录取。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、二志愿录取完成后，如所有公办学校均已完成招生计划，区教育局按家长所报第三志愿（民办学校志愿）进行录取。第一、二志愿录取完成后，如果公办学校仍有空余学位，将面向全区未被录取的适龄儿童、少年征集志愿，进行补充录取；仍未被录取的，区教育局按家长所报第三志愿（民办学校志愿）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（三）民办学校补充录取。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资料审核合格，所有志愿均未被录取的，适龄儿童家长可联系仍有空余学位的民办学校，由相应学校报区教育局补充录取。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第五条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材料审核不合格的和未按光明区</w:t>
      </w:r>
      <w:r>
        <w:rPr>
          <w:rFonts w:hint="eastAsia" w:ascii="Calibri" w:hAnsi="Calibri" w:eastAsia="仿宋_GB2312" w:cs="宋体"/>
          <w:color w:val="auto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通知要求的时间提交有关证明材料的，不参加学位派位。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第六条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 本办法最终解释权归光明区教育局。</w:t>
      </w:r>
    </w:p>
    <w:p>
      <w:pPr>
        <w:rPr>
          <w:color w:val="auto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BE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yongri_newsarticles_title1"/>
    <w:qFormat/>
    <w:uiPriority w:val="0"/>
    <w:rPr>
      <w:rFonts w:hint="default" w:ascii="Tahoma" w:hAnsi="Tahoma" w:cs="Tahoma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jyj425-007</cp:lastModifiedBy>
  <dcterms:modified xsi:type="dcterms:W3CDTF">2024-05-31T11:39:29Z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