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napToGrid w:val="0"/>
        <w:spacing w:before="0" w:beforeAutospacing="0" w:after="0" w:afterAutospacing="0" w:line="560" w:lineRule="exact"/>
        <w:ind w:firstLine="0" w:firstLineChars="0"/>
        <w:jc w:val="center"/>
        <w:outlineLvl w:val="0"/>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《光明区公共数据授权运营暂行管理办法</w:t>
      </w:r>
    </w:p>
    <w:p>
      <w:pPr>
        <w:widowControl w:val="0"/>
        <w:overflowPunct w:val="0"/>
        <w:snapToGrid w:val="0"/>
        <w:spacing w:before="0" w:beforeAutospacing="0" w:after="0" w:afterAutospacing="0"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2"/>
          <w:sz w:val="44"/>
          <w:szCs w:val="44"/>
          <w:lang w:val="en-US" w:eastAsia="zh-CN" w:bidi="ar-SA"/>
        </w:rPr>
        <w:t>（征求意见稿）》起草说</w:t>
      </w:r>
      <w:bookmarkStart w:id="5" w:name="_GoBack"/>
      <w:bookmarkEnd w:id="5"/>
      <w:r>
        <w:rPr>
          <w:rFonts w:hint="eastAsia" w:ascii="方正小标宋简体" w:hAnsi="方正小标宋简体" w:eastAsia="方正小标宋简体" w:cs="方正小标宋简体"/>
          <w:bCs/>
          <w:kern w:val="2"/>
          <w:sz w:val="44"/>
          <w:szCs w:val="44"/>
          <w:lang w:val="en-US" w:eastAsia="zh-CN" w:bidi="ar-SA"/>
        </w:rPr>
        <w:t>明</w:t>
      </w:r>
    </w:p>
    <w:p>
      <w:pPr>
        <w:overflowPunct w:val="0"/>
        <w:snapToGrid w:val="0"/>
        <w:spacing w:before="0" w:beforeAutospacing="0" w:after="0" w:afterAutospacing="0" w:line="560" w:lineRule="exact"/>
        <w:ind w:firstLine="640" w:firstLineChars="200"/>
        <w:rPr>
          <w:rFonts w:ascii="Times New Roman" w:hAnsi="Times New Roman" w:eastAsia="仿宋_GB2312"/>
          <w:sz w:val="32"/>
          <w:szCs w:val="32"/>
        </w:rPr>
      </w:pPr>
    </w:p>
    <w:p>
      <w:pPr>
        <w:overflowPunct w:val="0"/>
        <w:snapToGrid w:val="0"/>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根据《关于构建数据基础制度 更好发挥数据要素作用的意见》《广东省公共数据管理办法》《深圳经济特区数字经济产业促进条例》</w:t>
      </w:r>
      <w:r>
        <w:rPr>
          <w:rFonts w:hint="eastAsia"/>
          <w:lang w:val="en-US" w:eastAsia="zh-CN"/>
        </w:rPr>
        <w:t>《深圳经济特区数据条例》等相关</w:t>
      </w:r>
      <w:r>
        <w:rPr>
          <w:rFonts w:hint="eastAsia" w:ascii="仿宋_GB2312" w:hAnsi="仿宋_GB2312" w:eastAsia="仿宋_GB2312" w:cs="仿宋_GB2312"/>
          <w:sz w:val="32"/>
          <w:szCs w:val="32"/>
        </w:rPr>
        <w:t>要求，为规范、促进公共数据开放利用，加快释放公共数据价值，提升政府治理能力和公共服务水平，结合我区实际，我局起草了《</w:t>
      </w:r>
      <w:r>
        <w:rPr>
          <w:rFonts w:hint="default" w:ascii="仿宋_GB2312" w:hAnsi="仿宋_GB2312" w:cs="仿宋_GB2312"/>
          <w:sz w:val="32"/>
          <w:szCs w:val="32"/>
          <w:lang w:val="en" w:eastAsia="zh-CN"/>
        </w:rPr>
        <w:t>光明区公共数据授权运营暂行管理</w:t>
      </w:r>
      <w:r>
        <w:rPr>
          <w:rFonts w:hint="eastAsia" w:ascii="仿宋_GB2312" w:hAnsi="仿宋_GB2312" w:eastAsia="仿宋_GB2312" w:cs="仿宋_GB2312"/>
          <w:sz w:val="32"/>
          <w:szCs w:val="32"/>
        </w:rPr>
        <w:t>（征求意见稿）》（以下简称《办法》），现就有关情况说明如下。</w:t>
      </w:r>
    </w:p>
    <w:p>
      <w:pPr>
        <w:keepNext/>
        <w:keepLines/>
        <w:widowControl w:val="0"/>
        <w:overflowPunct w:val="0"/>
        <w:snapToGrid w:val="0"/>
        <w:spacing w:before="0" w:beforeAutospacing="0" w:after="0" w:afterAutospacing="0" w:line="560" w:lineRule="exact"/>
        <w:ind w:firstLine="640" w:firstLineChars="200"/>
        <w:jc w:val="both"/>
        <w:outlineLvl w:val="0"/>
        <w:rPr>
          <w:rFonts w:hint="eastAsia" w:ascii="黑体" w:hAnsi="黑体" w:eastAsia="黑体" w:cs="黑体"/>
          <w:bCs/>
          <w:kern w:val="44"/>
          <w:sz w:val="32"/>
          <w:szCs w:val="44"/>
        </w:rPr>
      </w:pPr>
      <w:bookmarkStart w:id="0" w:name="_Toc12779"/>
      <w:bookmarkStart w:id="1" w:name="_Toc3719"/>
      <w:bookmarkStart w:id="2" w:name="_Toc42796398"/>
      <w:r>
        <w:rPr>
          <w:rFonts w:hint="eastAsia" w:ascii="黑体" w:hAnsi="黑体" w:eastAsia="黑体" w:cs="黑体"/>
          <w:bCs/>
          <w:kern w:val="44"/>
          <w:sz w:val="32"/>
          <w:szCs w:val="44"/>
          <w:lang w:val="en-US" w:eastAsia="zh-CN" w:bidi="ar-SA"/>
        </w:rPr>
        <w:t>一、制定的必要性</w:t>
      </w:r>
      <w:bookmarkEnd w:id="0"/>
      <w:bookmarkEnd w:id="1"/>
      <w:bookmarkEnd w:id="2"/>
    </w:p>
    <w:p>
      <w:pPr>
        <w:keepNext w:val="0"/>
        <w:keepLines w:val="0"/>
        <w:widowControl/>
        <w:spacing w:before="0" w:beforeAutospacing="0" w:after="0" w:afterAutospacing="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一是贯彻</w:t>
      </w:r>
      <w:r>
        <w:rPr>
          <w:rFonts w:hint="eastAsia" w:ascii="仿宋_GB2312" w:hAnsi="仿宋_GB2312" w:cs="仿宋_GB2312"/>
          <w:b/>
          <w:bCs/>
          <w:sz w:val="32"/>
          <w:szCs w:val="32"/>
          <w:lang w:eastAsia="zh-CN"/>
        </w:rPr>
        <w:t>国家及地方文件</w:t>
      </w:r>
      <w:r>
        <w:rPr>
          <w:rFonts w:hint="eastAsia" w:ascii="仿宋_GB2312" w:hAnsi="仿宋_GB2312" w:eastAsia="仿宋_GB2312" w:cs="仿宋_GB2312"/>
          <w:b/>
          <w:bCs/>
          <w:sz w:val="32"/>
          <w:szCs w:val="32"/>
        </w:rPr>
        <w:t>的重要部署。</w:t>
      </w:r>
      <w:r>
        <w:rPr>
          <w:rFonts w:hint="eastAsia" w:ascii="仿宋_GB2312" w:hAnsi="仿宋_GB2312" w:eastAsia="仿宋_GB2312" w:cs="仿宋_GB2312"/>
          <w:sz w:val="32"/>
          <w:szCs w:val="32"/>
        </w:rPr>
        <w:t>2022年12月，中共中央、国务院印发的《关于构建数据基础制度 更好发挥数据要素作用的意见》（以下简称“数据二十条”）明确提出要推进实施公共数据确权授权机制，探索建立公共数据资源开放收益合理分享机制，完善数据全流程合规与监管规则体系。</w:t>
      </w:r>
      <w:r>
        <w:rPr>
          <w:rFonts w:hint="eastAsia" w:ascii="仿宋_GB2312" w:hAnsi="仿宋_GB2312" w:cs="仿宋_GB2312"/>
          <w:sz w:val="32"/>
          <w:szCs w:val="32"/>
          <w:lang w:eastAsia="zh-CN"/>
        </w:rPr>
        <w:t>《广东省数字政府改革建设“十四五”规划》及</w:t>
      </w:r>
      <w:r>
        <w:rPr>
          <w:rFonts w:hint="eastAsia" w:ascii="仿宋_GB2312" w:hAnsi="仿宋_GB2312" w:eastAsia="仿宋_GB2312" w:cs="仿宋_GB2312"/>
          <w:sz w:val="32"/>
          <w:szCs w:val="32"/>
        </w:rPr>
        <w:t>《广东省数据要素市场化配置改革行动方案的通知</w:t>
      </w:r>
      <w:r>
        <w:rPr>
          <w:rFonts w:hint="eastAsia" w:ascii="仿宋_GB2312" w:hAnsi="仿宋_GB2312" w:cs="仿宋_GB2312"/>
          <w:sz w:val="32"/>
          <w:szCs w:val="32"/>
          <w:lang w:eastAsia="zh-CN"/>
        </w:rPr>
        <w:t>》提出建立健全公共数据运营规则，</w:t>
      </w:r>
      <w:r>
        <w:rPr>
          <w:rFonts w:hint="eastAsia" w:ascii="仿宋_GB2312" w:hAnsi="仿宋_GB2312" w:eastAsia="仿宋_GB2312" w:cs="仿宋_GB2312"/>
          <w:sz w:val="32"/>
          <w:szCs w:val="32"/>
        </w:rPr>
        <w:t>创新公共数据运营模式，推动数据要素市场化配置改革试点。</w:t>
      </w:r>
      <w:r>
        <w:rPr>
          <w:rFonts w:hint="eastAsia" w:ascii="仿宋_GB2312" w:hAnsi="仿宋_GB2312" w:cs="仿宋_GB2312"/>
          <w:sz w:val="32"/>
          <w:szCs w:val="32"/>
          <w:lang w:val="en-US" w:eastAsia="zh-CN"/>
        </w:rPr>
        <w:t>而</w:t>
      </w:r>
      <w:r>
        <w:rPr>
          <w:rFonts w:hint="eastAsia" w:ascii="仿宋_GB2312" w:hAnsi="仿宋_GB2312" w:eastAsia="仿宋_GB2312" w:cs="仿宋_GB2312"/>
          <w:sz w:val="32"/>
          <w:szCs w:val="32"/>
        </w:rPr>
        <w:t>深圳</w:t>
      </w:r>
      <w:r>
        <w:rPr>
          <w:rFonts w:hint="eastAsia" w:ascii="仿宋_GB2312" w:hAnsi="仿宋_GB2312" w:cs="仿宋_GB2312"/>
          <w:sz w:val="32"/>
          <w:szCs w:val="32"/>
          <w:lang w:val="en-US" w:eastAsia="zh-CN"/>
        </w:rPr>
        <w:t>为了</w:t>
      </w:r>
      <w:r>
        <w:rPr>
          <w:rFonts w:hint="eastAsia" w:ascii="仿宋_GB2312" w:hAnsi="仿宋_GB2312" w:eastAsia="仿宋_GB2312" w:cs="仿宋_GB2312"/>
          <w:sz w:val="32"/>
          <w:szCs w:val="32"/>
        </w:rPr>
        <w:t>充分发挥数据要素市场化配置先行示范作用，</w:t>
      </w:r>
      <w:r>
        <w:rPr>
          <w:rFonts w:hint="eastAsia" w:ascii="仿宋_GB2312" w:hAnsi="仿宋_GB2312" w:cs="仿宋_GB2312"/>
          <w:sz w:val="32"/>
          <w:szCs w:val="32"/>
          <w:lang w:eastAsia="zh-CN"/>
        </w:rPr>
        <w:t>制定</w:t>
      </w:r>
      <w:r>
        <w:rPr>
          <w:rFonts w:hint="eastAsia" w:ascii="仿宋_GB2312" w:hAnsi="仿宋_GB2312" w:eastAsia="仿宋_GB2312" w:cs="仿宋_GB2312"/>
          <w:sz w:val="32"/>
          <w:szCs w:val="32"/>
        </w:rPr>
        <w:t>发布《深圳经济特区数据条例》，针对</w:t>
      </w:r>
      <w:r>
        <w:rPr>
          <w:rFonts w:hint="eastAsia" w:ascii="仿宋_GB2312" w:hAnsi="仿宋_GB2312" w:cs="仿宋_GB2312"/>
          <w:sz w:val="32"/>
          <w:szCs w:val="32"/>
          <w:lang w:val="en-US" w:eastAsia="zh-CN"/>
        </w:rPr>
        <w:t>推进</w:t>
      </w:r>
      <w:r>
        <w:rPr>
          <w:rFonts w:hint="eastAsia" w:ascii="仿宋_GB2312" w:hAnsi="仿宋_GB2312" w:eastAsia="仿宋_GB2312" w:cs="仿宋_GB2312"/>
          <w:sz w:val="32"/>
          <w:szCs w:val="32"/>
        </w:rPr>
        <w:t>公共数据共享、开放、利用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数据要素市场</w:t>
      </w:r>
      <w:r>
        <w:rPr>
          <w:rFonts w:hint="eastAsia" w:ascii="仿宋_GB2312" w:hAnsi="仿宋_GB2312" w:cs="仿宋_GB2312"/>
          <w:sz w:val="32"/>
          <w:szCs w:val="32"/>
          <w:lang w:val="en-US" w:eastAsia="zh-CN"/>
        </w:rPr>
        <w:t>等方面</w:t>
      </w:r>
      <w:r>
        <w:rPr>
          <w:rFonts w:hint="eastAsia" w:ascii="仿宋_GB2312" w:hAnsi="仿宋_GB2312" w:eastAsia="仿宋_GB2312" w:cs="仿宋_GB2312"/>
          <w:sz w:val="32"/>
          <w:szCs w:val="32"/>
        </w:rPr>
        <w:t>提出</w:t>
      </w:r>
      <w:r>
        <w:rPr>
          <w:rFonts w:hint="eastAsia" w:ascii="仿宋_GB2312" w:hAnsi="仿宋_GB2312" w:cs="仿宋_GB2312"/>
          <w:sz w:val="32"/>
          <w:szCs w:val="32"/>
          <w:lang w:val="en-US" w:eastAsia="zh-CN"/>
        </w:rPr>
        <w:t>36</w:t>
      </w:r>
      <w:r>
        <w:rPr>
          <w:rFonts w:hint="eastAsia" w:ascii="仿宋_GB2312" w:hAnsi="仿宋_GB2312" w:eastAsia="仿宋_GB2312" w:cs="仿宋_GB2312"/>
          <w:sz w:val="32"/>
          <w:szCs w:val="32"/>
        </w:rPr>
        <w:t>条规定</w:t>
      </w:r>
      <w:r>
        <w:rPr>
          <w:rFonts w:hint="eastAsia" w:ascii="仿宋_GB2312" w:hAnsi="仿宋_GB2312" w:cs="仿宋_GB2312"/>
          <w:sz w:val="32"/>
          <w:szCs w:val="32"/>
          <w:lang w:eastAsia="zh-CN"/>
        </w:rPr>
        <w:t>，为深圳下一步</w:t>
      </w:r>
      <w:r>
        <w:rPr>
          <w:rFonts w:hint="eastAsia" w:ascii="仿宋_GB2312" w:hAnsi="仿宋_GB2312" w:cs="仿宋_GB2312"/>
          <w:sz w:val="32"/>
          <w:szCs w:val="32"/>
          <w:lang w:val="en-US" w:eastAsia="zh-CN"/>
        </w:rPr>
        <w:t>优化</w:t>
      </w:r>
      <w:r>
        <w:rPr>
          <w:rFonts w:hint="eastAsia" w:ascii="仿宋_GB2312" w:hAnsi="仿宋_GB2312" w:cs="仿宋_GB2312"/>
          <w:sz w:val="32"/>
          <w:szCs w:val="32"/>
          <w:lang w:eastAsia="zh-CN"/>
        </w:rPr>
        <w:t>数据要素市场化配置奠定基础</w:t>
      </w:r>
      <w:r>
        <w:rPr>
          <w:rFonts w:hint="eastAsia" w:ascii="仿宋_GB2312" w:hAnsi="仿宋_GB2312" w:eastAsia="仿宋_GB2312" w:cs="仿宋_GB2312"/>
          <w:sz w:val="32"/>
          <w:szCs w:val="32"/>
        </w:rPr>
        <w:t>。</w:t>
      </w:r>
    </w:p>
    <w:p>
      <w:pPr>
        <w:pStyle w:val="31"/>
        <w:keepNext w:val="0"/>
        <w:keepLines w:val="0"/>
        <w:widowControl/>
        <w:spacing w:before="0" w:beforeAutospacing="0" w:after="0" w:afterAutospacing="0"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是光明区具备进一步探索开展公共数据授权运营工作的基础。</w:t>
      </w:r>
      <w:r>
        <w:rPr>
          <w:rFonts w:ascii="仿宋_GB2312" w:hAnsi="仿宋_GB2312" w:eastAsia="仿宋_GB2312" w:cs="仿宋_GB2312"/>
          <w:color w:val="000000"/>
          <w:sz w:val="32"/>
          <w:szCs w:val="31"/>
        </w:rPr>
        <w:t>光明区公共数据开发应用实践经验丰富</w:t>
      </w:r>
      <w:r>
        <w:rPr>
          <w:rFonts w:hint="eastAsia" w:ascii="仿宋_GB2312" w:hAnsi="仿宋_GB2312" w:eastAsia="仿宋_GB2312" w:cs="仿宋_GB2312"/>
          <w:color w:val="000000"/>
          <w:sz w:val="32"/>
          <w:szCs w:val="31"/>
        </w:rPr>
        <w:t>，以应用场景驱动公共数据开放利</w:t>
      </w:r>
      <w:r>
        <w:rPr>
          <w:rFonts w:hint="eastAsia" w:ascii="仿宋_GB2312" w:eastAsia="仿宋_GB2312" w:cs="仿宋_GB2312"/>
          <w:color w:val="000000"/>
          <w:sz w:val="31"/>
          <w:szCs w:val="31"/>
        </w:rPr>
        <w:t>用，完成社区、工信、科技金融、AI等多个应用场景的公共数据资源需求对接，在政务服务、基层治理、产业空间等领域率</w:t>
      </w:r>
      <w:r>
        <w:rPr>
          <w:rFonts w:hint="eastAsia" w:ascii="仿宋_GB2312" w:eastAsia="仿宋_GB2312" w:cs="仿宋_GB2312"/>
          <w:color w:val="000000"/>
          <w:sz w:val="31"/>
          <w:szCs w:val="31"/>
          <w:lang w:val="en-US" w:eastAsia="zh-CN"/>
        </w:rPr>
        <w:t>先</w:t>
      </w:r>
      <w:r>
        <w:rPr>
          <w:rFonts w:hint="eastAsia" w:ascii="仿宋_GB2312" w:eastAsia="仿宋_GB2312" w:cs="仿宋_GB2312"/>
          <w:color w:val="000000"/>
          <w:sz w:val="31"/>
          <w:szCs w:val="31"/>
        </w:rPr>
        <w:t>形成一系列</w:t>
      </w:r>
      <w:r>
        <w:rPr>
          <w:rFonts w:hint="eastAsia" w:ascii="仿宋_GB2312" w:eastAsia="仿宋_GB2312" w:cs="仿宋_GB2312"/>
          <w:color w:val="000000"/>
          <w:sz w:val="31"/>
          <w:szCs w:val="31"/>
          <w:lang w:val="en-US" w:eastAsia="zh-CN"/>
        </w:rPr>
        <w:t>的</w:t>
      </w:r>
      <w:r>
        <w:rPr>
          <w:rFonts w:hint="eastAsia" w:ascii="仿宋_GB2312" w:eastAsia="仿宋_GB2312" w:cs="仿宋_GB2312"/>
          <w:color w:val="000000"/>
          <w:sz w:val="31"/>
          <w:szCs w:val="31"/>
        </w:rPr>
        <w:t>应用示范。同时，光明区依托数据安全联合创新实验室，深入研究数据沙箱、隐私计算等技术，在公共数据安全可控流通与安全企业合作方面积累了一定经验。光明区在深圳市数字孪生先锋城市建设行动计划（2023）中全市先锋数据率先推进数据一数一源标准试点，对探索下一步数据职责权属奠定</w:t>
      </w:r>
      <w:r>
        <w:rPr>
          <w:rFonts w:hint="eastAsia" w:ascii="仿宋_GB2312" w:eastAsia="仿宋_GB2312" w:cs="仿宋_GB2312"/>
          <w:color w:val="000000"/>
          <w:sz w:val="31"/>
          <w:szCs w:val="31"/>
          <w:lang w:eastAsia="zh-CN"/>
        </w:rPr>
        <w:t>了</w:t>
      </w:r>
      <w:r>
        <w:rPr>
          <w:rFonts w:hint="eastAsia" w:ascii="仿宋_GB2312" w:eastAsia="仿宋_GB2312" w:cs="仿宋_GB2312"/>
          <w:color w:val="000000"/>
          <w:sz w:val="31"/>
          <w:szCs w:val="31"/>
        </w:rPr>
        <w:t>基础。目前已具备较为完善的公共数据流通基础，开展授权运营工作时机已成熟。制定《办法》有利于进一步规范、促进本区公共数据开放利用，鼓励公共数据和社会数据融合应用，加快释放公共数据价值</w:t>
      </w:r>
      <w:r>
        <w:rPr>
          <w:rFonts w:hint="eastAsia" w:ascii="仿宋_GB2312" w:hAnsi="仿宋_GB2312" w:eastAsia="仿宋_GB2312" w:cs="仿宋_GB2312"/>
          <w:snapToGrid w:val="0"/>
          <w:sz w:val="32"/>
          <w:szCs w:val="32"/>
        </w:rPr>
        <w:t>。</w:t>
      </w:r>
    </w:p>
    <w:p>
      <w:pPr>
        <w:keepNext/>
        <w:keepLines/>
        <w:widowControl w:val="0"/>
        <w:overflowPunct w:val="0"/>
        <w:snapToGrid w:val="0"/>
        <w:spacing w:before="0" w:beforeAutospacing="0" w:after="0" w:afterAutospacing="0" w:line="560" w:lineRule="exact"/>
        <w:ind w:firstLine="640" w:firstLineChars="0"/>
        <w:jc w:val="both"/>
        <w:outlineLvl w:val="0"/>
        <w:rPr>
          <w:rFonts w:hint="eastAsia" w:ascii="黑体" w:hAnsi="黑体" w:eastAsia="黑体" w:cs="黑体"/>
          <w:bCs/>
          <w:kern w:val="44"/>
          <w:sz w:val="32"/>
          <w:szCs w:val="44"/>
        </w:rPr>
      </w:pPr>
      <w:bookmarkStart w:id="3" w:name="_Toc16789"/>
      <w:bookmarkStart w:id="4" w:name="_Toc42796410"/>
      <w:r>
        <w:rPr>
          <w:rFonts w:hint="eastAsia" w:ascii="黑体" w:hAnsi="黑体" w:eastAsia="黑体" w:cs="黑体"/>
          <w:bCs/>
          <w:kern w:val="44"/>
          <w:sz w:val="32"/>
          <w:szCs w:val="44"/>
          <w:lang w:val="en-US" w:eastAsia="zh-CN" w:bidi="ar-SA"/>
        </w:rPr>
        <w:t>二、</w:t>
      </w:r>
      <w:bookmarkEnd w:id="3"/>
      <w:bookmarkEnd w:id="4"/>
      <w:r>
        <w:rPr>
          <w:rFonts w:hint="eastAsia" w:ascii="黑体" w:hAnsi="黑体" w:eastAsia="黑体" w:cs="黑体"/>
          <w:bCs/>
          <w:kern w:val="44"/>
          <w:sz w:val="32"/>
          <w:szCs w:val="44"/>
          <w:lang w:val="en-US" w:eastAsia="zh-CN" w:bidi="ar-SA"/>
        </w:rPr>
        <w:t>起草过程</w:t>
      </w:r>
    </w:p>
    <w:p>
      <w:pPr>
        <w:overflowPunct w:val="0"/>
        <w:snapToGrid w:val="0"/>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月起，区政务服务数据管理局组建专班，组织</w:t>
      </w:r>
      <w:r>
        <w:rPr>
          <w:rFonts w:hint="eastAsia" w:ascii="仿宋_GB2312" w:hAnsi="仿宋_GB2312" w:cs="仿宋_GB2312"/>
          <w:sz w:val="32"/>
          <w:szCs w:val="32"/>
          <w:lang w:eastAsia="zh-CN"/>
        </w:rPr>
        <w:t>学习全国各地市</w:t>
      </w:r>
      <w:r>
        <w:rPr>
          <w:rFonts w:hint="eastAsia" w:ascii="仿宋_GB2312" w:hAnsi="仿宋_GB2312" w:eastAsia="仿宋_GB2312" w:cs="仿宋_GB2312"/>
          <w:sz w:val="32"/>
          <w:szCs w:val="32"/>
        </w:rPr>
        <w:t>公共数据授权运营</w:t>
      </w:r>
      <w:r>
        <w:rPr>
          <w:rFonts w:hint="eastAsia" w:ascii="仿宋_GB2312" w:hAnsi="仿宋_GB2312" w:cs="仿宋_GB2312"/>
          <w:sz w:val="32"/>
          <w:szCs w:val="32"/>
          <w:lang w:eastAsia="zh-CN"/>
        </w:rPr>
        <w:t>的先进办法，并前往相关地市学习</w:t>
      </w:r>
      <w:r>
        <w:rPr>
          <w:rFonts w:hint="eastAsia" w:ascii="仿宋_GB2312" w:hAnsi="仿宋_GB2312" w:eastAsia="仿宋_GB2312" w:cs="仿宋_GB2312"/>
          <w:sz w:val="32"/>
          <w:szCs w:val="32"/>
        </w:rPr>
        <w:t>调研。</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2024年3月，区政务服务数据管理局对比各地公共数据授权运营管理办法及其经验做法后，考虑到福田区与光明区同属深圳市，工作模式和环境较为匹配，且福田区已有一定的授权运营实施经验，决定以《福田</w:t>
      </w:r>
      <w:r>
        <w:rPr>
          <w:rFonts w:hint="default" w:ascii="仿宋_GB2312" w:hAnsi="仿宋_GB2312" w:eastAsia="仿宋_GB2312" w:cs="仿宋_GB2312"/>
          <w:kern w:val="2"/>
          <w:sz w:val="32"/>
          <w:szCs w:val="32"/>
          <w:lang w:val="en" w:eastAsia="zh-CN" w:bidi="ar-SA"/>
        </w:rPr>
        <w:t>区公共数据授权运营暂行管理</w:t>
      </w:r>
      <w:r>
        <w:rPr>
          <w:rFonts w:hint="eastAsia" w:ascii="仿宋_GB2312" w:hAnsi="仿宋_GB2312" w:eastAsia="仿宋_GB2312" w:cs="仿宋_GB2312"/>
          <w:sz w:val="32"/>
          <w:szCs w:val="32"/>
          <w:lang w:val="en-US" w:eastAsia="zh-CN"/>
        </w:rPr>
        <w:t>》为底稿优化完善</w:t>
      </w:r>
      <w:r>
        <w:rPr>
          <w:rFonts w:hint="eastAsia" w:ascii="仿宋_GB2312" w:hAnsi="仿宋_GB2312" w:eastAsia="仿宋_GB2312" w:cs="仿宋_GB2312"/>
          <w:kern w:val="2"/>
          <w:sz w:val="32"/>
          <w:szCs w:val="32"/>
          <w:lang w:val="en-US" w:eastAsia="zh-CN" w:bidi="ar-SA"/>
        </w:rPr>
        <w:t>形成《</w:t>
      </w:r>
      <w:r>
        <w:rPr>
          <w:rFonts w:hint="default" w:ascii="仿宋_GB2312" w:hAnsi="仿宋_GB2312" w:eastAsia="仿宋_GB2312" w:cs="仿宋_GB2312"/>
          <w:kern w:val="2"/>
          <w:sz w:val="32"/>
          <w:szCs w:val="32"/>
          <w:lang w:val="en" w:eastAsia="zh-CN" w:bidi="ar-SA"/>
        </w:rPr>
        <w:t>光明区公共数据授权运营暂行管理</w:t>
      </w:r>
      <w:r>
        <w:rPr>
          <w:rFonts w:hint="eastAsia" w:ascii="仿宋_GB2312" w:hAnsi="仿宋_GB2312" w:eastAsia="仿宋_GB2312" w:cs="仿宋_GB2312"/>
          <w:kern w:val="2"/>
          <w:sz w:val="32"/>
          <w:szCs w:val="32"/>
          <w:lang w:val="en-US" w:eastAsia="zh-CN" w:bidi="ar-SA"/>
        </w:rPr>
        <w:t>（征求意见稿）》初稿</w:t>
      </w:r>
      <w:r>
        <w:rPr>
          <w:rFonts w:hint="eastAsia" w:ascii="仿宋_GB2312" w:hAnsi="仿宋_GB2312" w:eastAsia="仿宋_GB2312" w:cs="仿宋_GB2312"/>
          <w:sz w:val="32"/>
          <w:szCs w:val="32"/>
          <w:lang w:val="en-US" w:eastAsia="zh-CN"/>
        </w:rPr>
        <w:t>。</w:t>
      </w:r>
    </w:p>
    <w:p>
      <w:pPr>
        <w:spacing w:before="0" w:beforeAutospacing="0" w:after="0" w:afterAutospacing="0" w:line="560" w:lineRule="exact"/>
        <w:rPr>
          <w:rFonts w:hint="eastAsia"/>
        </w:rPr>
      </w:pPr>
      <w:r>
        <w:rPr>
          <w:rFonts w:hint="eastAsia" w:ascii="仿宋_GB2312" w:hAnsi="仿宋_GB2312" w:cs="仿宋_GB2312"/>
          <w:sz w:val="32"/>
          <w:szCs w:val="32"/>
          <w:lang w:val="en-US" w:eastAsia="zh-CN"/>
        </w:rPr>
        <w:t>其中，相较于福田区公共数据授权运营暂行管理办法，光明区公共数据授权运营暂行管理制度在以下方面进行探索：一是</w:t>
      </w:r>
      <w:r>
        <w:rPr>
          <w:rFonts w:hint="default" w:ascii="仿宋_GB2312" w:hAnsi="仿宋_GB2312" w:eastAsia="仿宋_GB2312" w:cs="仿宋_GB2312"/>
          <w:i w:val="0"/>
          <w:iCs w:val="0"/>
          <w:caps w:val="0"/>
          <w:color w:val="auto"/>
          <w:spacing w:val="0"/>
          <w:sz w:val="32"/>
          <w:szCs w:val="32"/>
          <w:lang w:val="en" w:eastAsia="zh-CN"/>
        </w:rPr>
        <w:t>鼓励</w:t>
      </w:r>
      <w:r>
        <w:rPr>
          <w:rFonts w:hint="eastAsia" w:ascii="仿宋_GB2312" w:hAnsi="仿宋_GB2312" w:eastAsia="仿宋_GB2312" w:cs="仿宋_GB2312"/>
          <w:i w:val="0"/>
          <w:iCs w:val="0"/>
          <w:caps w:val="0"/>
          <w:color w:val="auto"/>
          <w:spacing w:val="0"/>
          <w:sz w:val="32"/>
          <w:szCs w:val="32"/>
          <w:lang w:val="en-US" w:eastAsia="zh-CN"/>
        </w:rPr>
        <w:t>在与民生紧密相关、光明科学城发展和科研数据价值挖掘等领域先行</w:t>
      </w:r>
      <w:r>
        <w:rPr>
          <w:rFonts w:hint="default" w:ascii="仿宋_GB2312" w:hAnsi="仿宋_GB2312" w:eastAsia="仿宋_GB2312" w:cs="仿宋_GB2312"/>
          <w:i w:val="0"/>
          <w:iCs w:val="0"/>
          <w:caps w:val="0"/>
          <w:color w:val="auto"/>
          <w:spacing w:val="0"/>
          <w:sz w:val="32"/>
          <w:szCs w:val="32"/>
          <w:lang w:val="en" w:eastAsia="zh-CN"/>
        </w:rPr>
        <w:t>探索公共数据授权运营工作</w:t>
      </w:r>
      <w:r>
        <w:rPr>
          <w:rFonts w:hint="eastAsia" w:ascii="仿宋_GB2312" w:hAnsi="仿宋_GB2312" w:cs="仿宋_GB2312"/>
          <w:i w:val="0"/>
          <w:iCs w:val="0"/>
          <w:caps w:val="0"/>
          <w:color w:val="auto"/>
          <w:spacing w:val="0"/>
          <w:sz w:val="32"/>
          <w:szCs w:val="32"/>
          <w:lang w:val="en" w:eastAsia="zh-CN"/>
        </w:rPr>
        <w:t>。二是强化授权运营单位权利与行为规范，规避授权运营过程中可能产生的风险。三是强化结果导向，明确监督和评估的结果作为再次申请授权运营的</w:t>
      </w:r>
      <w:r>
        <w:rPr>
          <w:rFonts w:hint="eastAsia" w:ascii="仿宋_GB2312" w:hAnsi="仿宋_GB2312" w:cs="仿宋_GB2312"/>
          <w:i w:val="0"/>
          <w:iCs w:val="0"/>
          <w:caps w:val="0"/>
          <w:color w:val="auto"/>
          <w:spacing w:val="0"/>
          <w:sz w:val="32"/>
          <w:szCs w:val="32"/>
          <w:lang w:val="en-US" w:eastAsia="zh-CN"/>
        </w:rPr>
        <w:t>重要</w:t>
      </w:r>
      <w:r>
        <w:rPr>
          <w:rFonts w:hint="eastAsia" w:ascii="仿宋_GB2312" w:hAnsi="仿宋_GB2312" w:cs="仿宋_GB2312"/>
          <w:i w:val="0"/>
          <w:iCs w:val="0"/>
          <w:caps w:val="0"/>
          <w:color w:val="auto"/>
          <w:spacing w:val="0"/>
          <w:sz w:val="32"/>
          <w:szCs w:val="32"/>
          <w:lang w:val="en" w:eastAsia="zh-CN"/>
        </w:rPr>
        <w:t>依据。四是弱化授权运营单位与运营合作方的监管行为和公共数据主管部门的成效评估环节。五是删除了数源单位的补偿协议机制。</w:t>
      </w:r>
    </w:p>
    <w:p>
      <w:pPr>
        <w:pStyle w:val="2"/>
        <w:spacing w:before="0" w:beforeAutospacing="0" w:after="0" w:afterAutospacing="0" w:line="560" w:lineRule="exact"/>
        <w:rPr>
          <w:rFonts w:hint="eastAsia" w:eastAsia="仿宋_GB2312"/>
        </w:rPr>
      </w:pPr>
      <w:r>
        <w:rPr>
          <w:rFonts w:hint="default" w:ascii="仿宋_GB2312" w:hAnsi="仿宋_GB2312" w:eastAsia="仿宋_GB2312" w:cs="仿宋_GB2312"/>
          <w:sz w:val="32"/>
          <w:szCs w:val="32"/>
          <w:lang w:val="en" w:eastAsia="zh-CN"/>
        </w:rPr>
        <w:t>2024</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区政务服务数据管理局</w:t>
      </w:r>
      <w:r>
        <w:rPr>
          <w:rFonts w:hint="eastAsia" w:ascii="仿宋_GB2312" w:hAnsi="仿宋_GB2312" w:eastAsia="仿宋_GB2312" w:cs="仿宋_GB2312"/>
          <w:sz w:val="32"/>
          <w:szCs w:val="32"/>
          <w:lang w:eastAsia="zh-CN"/>
        </w:rPr>
        <w:t>与区属国企、数据安全厂商、数据治理</w:t>
      </w:r>
      <w:r>
        <w:rPr>
          <w:rFonts w:hint="eastAsia" w:ascii="仿宋_GB2312" w:hAnsi="仿宋_GB2312" w:eastAsia="仿宋_GB2312" w:cs="仿宋_GB2312"/>
          <w:kern w:val="2"/>
          <w:sz w:val="32"/>
          <w:szCs w:val="32"/>
          <w:lang w:val="en" w:eastAsia="zh-CN" w:bidi="ar-SA"/>
        </w:rPr>
        <w:t>企业等</w:t>
      </w:r>
      <w:r>
        <w:rPr>
          <w:rFonts w:hint="eastAsia" w:ascii="仿宋_GB2312" w:hAnsi="仿宋_GB2312" w:eastAsia="仿宋_GB2312" w:cs="仿宋_GB2312"/>
          <w:kern w:val="2"/>
          <w:sz w:val="32"/>
          <w:szCs w:val="32"/>
          <w:lang w:val="en-US" w:eastAsia="zh-CN" w:bidi="ar-SA"/>
        </w:rPr>
        <w:t>相关方</w:t>
      </w:r>
      <w:r>
        <w:rPr>
          <w:rFonts w:hint="eastAsia" w:ascii="仿宋_GB2312" w:hAnsi="仿宋_GB2312" w:eastAsia="仿宋_GB2312" w:cs="仿宋_GB2312"/>
          <w:kern w:val="2"/>
          <w:sz w:val="32"/>
          <w:szCs w:val="32"/>
          <w:lang w:val="en" w:eastAsia="zh-CN" w:bidi="ar-SA"/>
        </w:rPr>
        <w:t>多次探索研究并逐步更新《</w:t>
      </w:r>
      <w:r>
        <w:rPr>
          <w:rFonts w:hint="default" w:ascii="仿宋_GB2312" w:hAnsi="仿宋_GB2312" w:eastAsia="仿宋_GB2312" w:cs="仿宋_GB2312"/>
          <w:kern w:val="2"/>
          <w:sz w:val="32"/>
          <w:szCs w:val="32"/>
          <w:lang w:val="en" w:eastAsia="zh-CN" w:bidi="ar-SA"/>
        </w:rPr>
        <w:t>光明区公共数据授权运营暂行管理</w:t>
      </w:r>
      <w:r>
        <w:rPr>
          <w:rFonts w:hint="eastAsia" w:ascii="仿宋_GB2312" w:hAnsi="仿宋_GB2312" w:eastAsia="仿宋_GB2312" w:cs="仿宋_GB2312"/>
          <w:kern w:val="2"/>
          <w:sz w:val="32"/>
          <w:szCs w:val="32"/>
          <w:lang w:val="en" w:eastAsia="zh-CN" w:bidi="ar-SA"/>
        </w:rPr>
        <w:t>（征求意见稿）》。</w:t>
      </w:r>
    </w:p>
    <w:p>
      <w:pPr>
        <w:keepNext/>
        <w:keepLines/>
        <w:widowControl w:val="0"/>
        <w:overflowPunct w:val="0"/>
        <w:snapToGrid w:val="0"/>
        <w:spacing w:before="0" w:beforeAutospacing="0" w:after="0" w:afterAutospacing="0" w:line="560" w:lineRule="exact"/>
        <w:ind w:firstLine="640" w:firstLineChars="200"/>
        <w:jc w:val="both"/>
        <w:outlineLvl w:val="0"/>
        <w:rPr>
          <w:rFonts w:hint="eastAsia" w:ascii="黑体" w:hAnsi="黑体" w:eastAsia="黑体" w:cs="黑体"/>
          <w:bCs/>
          <w:kern w:val="44"/>
          <w:sz w:val="32"/>
          <w:szCs w:val="44"/>
        </w:rPr>
      </w:pPr>
      <w:r>
        <w:rPr>
          <w:rFonts w:hint="eastAsia" w:ascii="黑体" w:hAnsi="黑体" w:eastAsia="黑体" w:cs="黑体"/>
          <w:bCs/>
          <w:kern w:val="44"/>
          <w:sz w:val="32"/>
          <w:szCs w:val="44"/>
          <w:lang w:val="en-US" w:eastAsia="zh-CN" w:bidi="ar-SA"/>
        </w:rPr>
        <w:t>三、主要内容</w:t>
      </w:r>
    </w:p>
    <w:p>
      <w:pPr>
        <w:overflowPunct w:val="0"/>
        <w:snapToGrid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《办法》包括总则、</w:t>
      </w:r>
      <w:r>
        <w:rPr>
          <w:rFonts w:hint="eastAsia" w:ascii="仿宋_GB2312" w:hAnsi="仿宋_GB2312" w:cs="仿宋_GB2312"/>
          <w:sz w:val="32"/>
          <w:szCs w:val="32"/>
          <w:lang w:eastAsia="zh-CN"/>
        </w:rPr>
        <w:t>职责分工</w:t>
      </w:r>
      <w:r>
        <w:rPr>
          <w:rFonts w:hint="eastAsia" w:ascii="仿宋_GB2312" w:hAnsi="仿宋_GB2312" w:eastAsia="仿宋_GB2312" w:cs="仿宋_GB2312"/>
          <w:sz w:val="32"/>
          <w:szCs w:val="32"/>
        </w:rPr>
        <w:t>、授权运营</w:t>
      </w:r>
      <w:r>
        <w:rPr>
          <w:rFonts w:hint="eastAsia" w:ascii="仿宋_GB2312" w:hAnsi="仿宋_GB2312" w:cs="仿宋_GB2312"/>
          <w:sz w:val="32"/>
          <w:szCs w:val="32"/>
          <w:lang w:eastAsia="zh-CN"/>
        </w:rPr>
        <w:t>单位选定、</w:t>
      </w:r>
      <w:r>
        <w:rPr>
          <w:rFonts w:hint="eastAsia" w:ascii="仿宋_GB2312" w:hAnsi="仿宋_GB2312" w:eastAsia="仿宋_GB2312" w:cs="仿宋_GB2312"/>
          <w:sz w:val="32"/>
          <w:szCs w:val="32"/>
          <w:lang w:eastAsia="zh-CN"/>
        </w:rPr>
        <w:t>公共数据授权</w:t>
      </w:r>
      <w:r>
        <w:rPr>
          <w:rFonts w:hint="eastAsia" w:ascii="仿宋_GB2312" w:hAnsi="仿宋_GB2312" w:cs="仿宋_GB2312"/>
          <w:sz w:val="32"/>
          <w:szCs w:val="32"/>
          <w:lang w:eastAsia="zh-CN"/>
        </w:rPr>
        <w:t>运营工作流程、</w:t>
      </w:r>
      <w:r>
        <w:rPr>
          <w:rFonts w:hint="eastAsia" w:ascii="仿宋_GB2312" w:hAnsi="仿宋_GB2312" w:eastAsia="仿宋_GB2312" w:cs="仿宋_GB2312"/>
          <w:sz w:val="32"/>
          <w:szCs w:val="32"/>
        </w:rPr>
        <w:t>监督管理</w:t>
      </w:r>
      <w:r>
        <w:rPr>
          <w:rFonts w:hint="eastAsia" w:ascii="仿宋_GB2312" w:hAnsi="仿宋_GB2312" w:cs="仿宋_GB2312"/>
          <w:sz w:val="32"/>
          <w:szCs w:val="32"/>
          <w:lang w:eastAsia="zh-CN"/>
        </w:rPr>
        <w:t>及安全保障、权益保障</w:t>
      </w:r>
      <w:r>
        <w:rPr>
          <w:rFonts w:hint="eastAsia" w:ascii="仿宋_GB2312" w:hAnsi="仿宋_GB2312" w:eastAsia="仿宋_GB2312" w:cs="仿宋_GB2312"/>
          <w:sz w:val="32"/>
          <w:szCs w:val="32"/>
        </w:rPr>
        <w:t>、法律责任、附则共</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章</w:t>
      </w:r>
      <w:r>
        <w:rPr>
          <w:rFonts w:hint="eastAsia" w:ascii="仿宋_GB2312" w:hAnsi="仿宋_GB2312" w:cs="仿宋_GB2312"/>
          <w:sz w:val="32"/>
          <w:szCs w:val="32"/>
          <w:lang w:eastAsia="zh-CN"/>
        </w:rPr>
        <w:t>共</w:t>
      </w:r>
      <w:r>
        <w:rPr>
          <w:rFonts w:hint="eastAsia" w:ascii="仿宋_GB2312" w:hAnsi="仿宋_GB2312" w:cs="仿宋_GB2312"/>
          <w:sz w:val="32"/>
          <w:szCs w:val="32"/>
          <w:lang w:val="en-US" w:eastAsia="zh-CN"/>
        </w:rPr>
        <w:t>41</w:t>
      </w:r>
      <w:r>
        <w:rPr>
          <w:rFonts w:hint="eastAsia" w:ascii="仿宋_GB2312" w:hAnsi="仿宋_GB2312" w:eastAsia="仿宋_GB2312" w:cs="仿宋_GB2312"/>
          <w:sz w:val="32"/>
          <w:szCs w:val="32"/>
        </w:rPr>
        <w:t>条。</w:t>
      </w:r>
    </w:p>
    <w:p>
      <w:pPr>
        <w:overflowPunct w:val="0"/>
        <w:snapToGrid w:val="0"/>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第一章：总则，共</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rPr>
        <w:t>具体条款包括制定目的、</w:t>
      </w:r>
      <w:r>
        <w:rPr>
          <w:rFonts w:hint="eastAsia" w:ascii="仿宋_GB2312" w:hAnsi="仿宋_GB2312" w:cs="仿宋_GB2312"/>
          <w:sz w:val="32"/>
          <w:szCs w:val="32"/>
          <w:lang w:eastAsia="zh-CN"/>
        </w:rPr>
        <w:t>总体原则、</w:t>
      </w:r>
      <w:r>
        <w:rPr>
          <w:rFonts w:hint="eastAsia" w:ascii="仿宋_GB2312" w:hAnsi="仿宋_GB2312" w:eastAsia="仿宋_GB2312" w:cs="仿宋_GB2312"/>
          <w:sz w:val="32"/>
          <w:szCs w:val="32"/>
        </w:rPr>
        <w:t>适用范围</w:t>
      </w:r>
      <w:r>
        <w:rPr>
          <w:rFonts w:hint="eastAsia" w:ascii="仿宋_GB2312" w:hAnsi="仿宋_GB2312" w:cs="仿宋_GB2312"/>
          <w:sz w:val="32"/>
          <w:szCs w:val="32"/>
          <w:lang w:eastAsia="zh-CN"/>
        </w:rPr>
        <w:t>及</w:t>
      </w:r>
      <w:r>
        <w:rPr>
          <w:rFonts w:hint="eastAsia" w:ascii="仿宋_GB2312" w:hAnsi="仿宋_GB2312" w:eastAsia="仿宋_GB2312" w:cs="仿宋_GB2312"/>
          <w:sz w:val="32"/>
          <w:szCs w:val="32"/>
        </w:rPr>
        <w:t>名词解释。</w:t>
      </w:r>
    </w:p>
    <w:p>
      <w:pPr>
        <w:overflowPunct w:val="0"/>
        <w:snapToGrid w:val="0"/>
        <w:spacing w:before="0" w:beforeAutospacing="0" w:after="0" w:afterAutospacing="0" w:line="560" w:lineRule="exact"/>
        <w:ind w:firstLine="643" w:firstLineChars="200"/>
        <w:rPr>
          <w:rFonts w:hint="eastAsia" w:ascii="方正楷体_GBK" w:hAnsi="方正楷体_GBK" w:eastAsia="方正楷体_GBK" w:cs="方正楷体_GBK"/>
          <w:b/>
          <w:bCs/>
          <w:sz w:val="32"/>
          <w:szCs w:val="32"/>
        </w:rPr>
      </w:pPr>
      <w:r>
        <w:rPr>
          <w:rFonts w:hint="eastAsia" w:ascii="楷体_GB2312" w:hAnsi="楷体_GB2312" w:eastAsia="楷体_GB2312" w:cs="楷体_GB2312"/>
          <w:b/>
          <w:bCs/>
          <w:sz w:val="32"/>
          <w:szCs w:val="32"/>
        </w:rPr>
        <w:t>第二章：</w:t>
      </w:r>
      <w:r>
        <w:rPr>
          <w:rFonts w:hint="eastAsia" w:ascii="楷体_GB2312" w:hAnsi="楷体_GB2312" w:eastAsia="楷体_GB2312" w:cs="楷体_GB2312"/>
          <w:b/>
          <w:bCs/>
          <w:sz w:val="32"/>
          <w:szCs w:val="32"/>
          <w:lang w:eastAsia="zh-CN"/>
        </w:rPr>
        <w:t>职责分工</w:t>
      </w:r>
      <w:r>
        <w:rPr>
          <w:rFonts w:hint="eastAsia" w:ascii="楷体_GB2312" w:hAnsi="楷体_GB2312" w:eastAsia="楷体_GB2312" w:cs="楷体_GB2312"/>
          <w:b/>
          <w:bCs/>
          <w:sz w:val="32"/>
          <w:szCs w:val="32"/>
        </w:rPr>
        <w:t>，共</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条。</w:t>
      </w:r>
      <w:r>
        <w:rPr>
          <w:rFonts w:hint="eastAsia" w:ascii="仿宋_GB2312" w:hAnsi="仿宋_GB2312" w:eastAsia="仿宋_GB2312" w:cs="仿宋_GB2312"/>
          <w:b w:val="0"/>
          <w:bCs w:val="0"/>
          <w:sz w:val="32"/>
          <w:szCs w:val="32"/>
          <w:lang w:eastAsia="zh-CN"/>
        </w:rPr>
        <w:t>本章具体明确了区公共数据管理部门、授权运营单位和数源单位的职责，同时还提出了政府其他职能部门承担的监管工作。</w:t>
      </w:r>
    </w:p>
    <w:p>
      <w:pPr>
        <w:overflowPunct w:val="0"/>
        <w:snapToGrid w:val="0"/>
        <w:spacing w:before="0" w:beforeAutospacing="0" w:after="0" w:afterAutospacing="0" w:line="560" w:lineRule="exact"/>
        <w:ind w:firstLine="643" w:firstLineChars="200"/>
        <w:rPr>
          <w:rFonts w:hint="eastAsia" w:ascii="Times New Roman" w:hAnsi="Times New Roman" w:eastAsia="仿宋_GB2312"/>
          <w:sz w:val="32"/>
          <w:szCs w:val="32"/>
        </w:rPr>
      </w:pPr>
      <w:r>
        <w:rPr>
          <w:rFonts w:hint="eastAsia" w:ascii="楷体_GB2312" w:hAnsi="楷体_GB2312" w:eastAsia="楷体_GB2312" w:cs="楷体_GB2312"/>
          <w:b/>
          <w:bCs/>
          <w:sz w:val="32"/>
          <w:szCs w:val="32"/>
        </w:rPr>
        <w:t>第三章：授权运营单位选定，共</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条。</w:t>
      </w:r>
      <w:r>
        <w:rPr>
          <w:rFonts w:hint="eastAsia" w:ascii="Times New Roman" w:hAnsi="Times New Roman" w:eastAsia="仿宋_GB2312"/>
          <w:sz w:val="32"/>
          <w:szCs w:val="32"/>
        </w:rPr>
        <w:t>具体条款包括对公共数据授权运营单位的资质要求、技术</w:t>
      </w:r>
      <w:r>
        <w:rPr>
          <w:rFonts w:hint="eastAsia"/>
          <w:sz w:val="32"/>
          <w:szCs w:val="32"/>
          <w:lang w:eastAsia="zh-CN"/>
        </w:rPr>
        <w:t>和安全</w:t>
      </w:r>
      <w:r>
        <w:rPr>
          <w:rFonts w:hint="eastAsia" w:ascii="Times New Roman" w:hAnsi="Times New Roman" w:eastAsia="仿宋_GB2312"/>
          <w:sz w:val="32"/>
          <w:szCs w:val="32"/>
        </w:rPr>
        <w:t>要求</w:t>
      </w:r>
      <w:r>
        <w:rPr>
          <w:rFonts w:hint="eastAsia"/>
          <w:sz w:val="32"/>
          <w:szCs w:val="32"/>
          <w:lang w:eastAsia="zh-CN"/>
        </w:rPr>
        <w:t>，以</w:t>
      </w:r>
      <w:r>
        <w:rPr>
          <w:rFonts w:hint="eastAsia" w:ascii="Times New Roman" w:hAnsi="Times New Roman" w:eastAsia="仿宋_GB2312"/>
          <w:sz w:val="32"/>
          <w:szCs w:val="32"/>
        </w:rPr>
        <w:t>及</w:t>
      </w:r>
      <w:r>
        <w:rPr>
          <w:rFonts w:hint="eastAsia"/>
          <w:sz w:val="32"/>
          <w:szCs w:val="32"/>
          <w:lang w:eastAsia="zh-CN"/>
        </w:rPr>
        <w:t>明</w:t>
      </w:r>
      <w:r>
        <w:rPr>
          <w:rFonts w:hint="eastAsia" w:ascii="Times New Roman" w:hAnsi="Times New Roman" w:eastAsia="仿宋_GB2312"/>
          <w:sz w:val="32"/>
          <w:szCs w:val="32"/>
        </w:rPr>
        <w:t>确了</w:t>
      </w:r>
      <w:r>
        <w:rPr>
          <w:rFonts w:hint="eastAsia" w:ascii="仿宋_GB2312" w:hAnsi="Times New Roman" w:eastAsia="仿宋_GB2312"/>
          <w:spacing w:val="-6"/>
          <w:sz w:val="32"/>
          <w:szCs w:val="20"/>
        </w:rPr>
        <w:t>授权运营</w:t>
      </w:r>
      <w:r>
        <w:rPr>
          <w:rFonts w:hint="eastAsia" w:ascii="仿宋_GB2312"/>
          <w:spacing w:val="-6"/>
          <w:sz w:val="32"/>
          <w:szCs w:val="20"/>
          <w:lang w:eastAsia="zh-CN"/>
        </w:rPr>
        <w:t>期限等。</w:t>
      </w:r>
    </w:p>
    <w:p>
      <w:pPr>
        <w:overflowPunct w:val="0"/>
        <w:snapToGrid w:val="0"/>
        <w:spacing w:before="0" w:beforeAutospacing="0" w:after="0" w:afterAutospacing="0" w:line="56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第四章：公共数据授权运营工作流程，共</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条。</w:t>
      </w:r>
      <w:r>
        <w:rPr>
          <w:rFonts w:ascii="Times New Roman" w:hAnsi="Times New Roman" w:eastAsia="仿宋_GB2312"/>
          <w:sz w:val="32"/>
          <w:szCs w:val="32"/>
        </w:rPr>
        <w:t>具体条款包括</w:t>
      </w:r>
      <w:r>
        <w:rPr>
          <w:rFonts w:hint="eastAsia" w:ascii="Times New Roman" w:hAnsi="Times New Roman" w:eastAsia="仿宋_GB2312"/>
          <w:sz w:val="32"/>
          <w:szCs w:val="32"/>
        </w:rPr>
        <w:t>平台建设、平台功能、平台安全及服务协议签订</w:t>
      </w:r>
      <w:r>
        <w:rPr>
          <w:rFonts w:hint="eastAsia"/>
          <w:sz w:val="32"/>
          <w:szCs w:val="32"/>
          <w:lang w:eastAsia="zh-CN"/>
        </w:rPr>
        <w:t>、数据资源的对接处理、应用场景的收集、产品的登记备案和安全评估</w:t>
      </w:r>
      <w:r>
        <w:rPr>
          <w:rFonts w:hint="eastAsia" w:ascii="Times New Roman" w:hAnsi="Times New Roman" w:eastAsia="仿宋_GB2312"/>
          <w:sz w:val="32"/>
          <w:szCs w:val="32"/>
        </w:rPr>
        <w:t>等。</w:t>
      </w:r>
      <w:r>
        <w:rPr>
          <w:rFonts w:ascii="Times New Roman" w:hAnsi="Times New Roman" w:eastAsia="仿宋_GB2312"/>
          <w:sz w:val="32"/>
          <w:szCs w:val="32"/>
        </w:rPr>
        <w:t>主要明确</w:t>
      </w:r>
      <w:r>
        <w:rPr>
          <w:rFonts w:hint="eastAsia" w:ascii="Times New Roman" w:hAnsi="Times New Roman" w:eastAsia="仿宋_GB2312"/>
          <w:sz w:val="32"/>
          <w:szCs w:val="32"/>
        </w:rPr>
        <w:t>区公共数据授权运营服务平台</w:t>
      </w:r>
      <w:r>
        <w:rPr>
          <w:rFonts w:hint="eastAsia" w:ascii="仿宋_GB2312" w:hAnsi="仿宋_GB2312" w:eastAsia="仿宋_GB2312" w:cs="仿宋_GB2312"/>
          <w:i w:val="0"/>
          <w:iCs w:val="0"/>
          <w:caps w:val="0"/>
          <w:color w:val="auto"/>
          <w:spacing w:val="0"/>
          <w:sz w:val="32"/>
          <w:szCs w:val="32"/>
          <w:lang w:eastAsia="zh-CN"/>
        </w:rPr>
        <w:t>需在政务外网划分单独的区域进行部署，</w:t>
      </w:r>
      <w:r>
        <w:rPr>
          <w:rFonts w:hint="eastAsia" w:ascii="仿宋_GB2312" w:hAnsi="仿宋_GB2312" w:eastAsia="仿宋_GB2312" w:cs="仿宋_GB2312"/>
          <w:i w:val="0"/>
          <w:iCs w:val="0"/>
          <w:caps w:val="0"/>
          <w:color w:val="auto"/>
          <w:spacing w:val="0"/>
          <w:sz w:val="32"/>
          <w:szCs w:val="32"/>
        </w:rPr>
        <w:t>具备数据治理、脱敏脱密、数据应用合规审核等功能，满足公共数据开发利用合规监管要求</w:t>
      </w:r>
      <w:r>
        <w:rPr>
          <w:rFonts w:hint="eastAsia" w:ascii="仿宋_GB2312" w:hAnsi="仿宋_GB2312" w:cs="仿宋_GB2312"/>
          <w:i w:val="0"/>
          <w:iCs w:val="0"/>
          <w:caps w:val="0"/>
          <w:color w:val="auto"/>
          <w:spacing w:val="0"/>
          <w:sz w:val="32"/>
          <w:szCs w:val="32"/>
          <w:lang w:eastAsia="zh-CN"/>
        </w:rPr>
        <w:t>，要求授权运营单位在运营过程中发现风险隐患时及时停止活动并向公共数据主管部门报备。</w:t>
      </w:r>
      <w:r>
        <w:rPr>
          <w:rFonts w:hint="eastAsia" w:ascii="Times New Roman" w:hAnsi="Times New Roman" w:eastAsia="仿宋_GB2312"/>
          <w:sz w:val="32"/>
          <w:szCs w:val="32"/>
        </w:rPr>
        <w:t>明确“依场景”数据资源授权和使用的原则，明确公共数据产品及服务可以</w:t>
      </w:r>
      <w:r>
        <w:rPr>
          <w:rFonts w:hint="eastAsia"/>
          <w:sz w:val="32"/>
          <w:szCs w:val="32"/>
          <w:lang w:eastAsia="zh-CN"/>
        </w:rPr>
        <w:t>在合规设立的</w:t>
      </w:r>
      <w:r>
        <w:rPr>
          <w:rFonts w:hint="eastAsia" w:ascii="Times New Roman" w:hAnsi="Times New Roman" w:eastAsia="仿宋_GB2312"/>
          <w:sz w:val="32"/>
          <w:szCs w:val="32"/>
        </w:rPr>
        <w:t>数据交易所进行市场化流通交易。明确公共数据质量反馈及质量管理机制。</w:t>
      </w:r>
    </w:p>
    <w:p>
      <w:pPr>
        <w:overflowPunct w:val="0"/>
        <w:snapToGrid w:val="0"/>
        <w:spacing w:before="0" w:beforeAutospacing="0" w:after="0" w:afterAutospacing="0" w:line="56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第</w:t>
      </w:r>
      <w:r>
        <w:rPr>
          <w:rFonts w:hint="eastAsia" w:ascii="楷体_GB2312" w:hAnsi="楷体_GB2312" w:eastAsia="楷体_GB2312" w:cs="楷体_GB2312"/>
          <w:b/>
          <w:sz w:val="32"/>
          <w:szCs w:val="32"/>
          <w:lang w:eastAsia="zh-CN"/>
        </w:rPr>
        <w:t>五</w:t>
      </w:r>
      <w:r>
        <w:rPr>
          <w:rFonts w:hint="eastAsia" w:ascii="楷体_GB2312" w:hAnsi="楷体_GB2312" w:eastAsia="楷体_GB2312" w:cs="楷体_GB2312"/>
          <w:b/>
          <w:sz w:val="32"/>
          <w:szCs w:val="32"/>
        </w:rPr>
        <w:t>章：监督管理</w:t>
      </w:r>
      <w:r>
        <w:rPr>
          <w:rFonts w:hint="eastAsia" w:ascii="楷体_GB2312" w:hAnsi="楷体_GB2312" w:eastAsia="楷体_GB2312" w:cs="楷体_GB2312"/>
          <w:b/>
          <w:sz w:val="32"/>
          <w:szCs w:val="32"/>
          <w:lang w:eastAsia="zh-CN"/>
        </w:rPr>
        <w:t>及安全保障</w:t>
      </w:r>
      <w:r>
        <w:rPr>
          <w:rFonts w:hint="eastAsia" w:ascii="楷体_GB2312" w:hAnsi="楷体_GB2312" w:eastAsia="楷体_GB2312" w:cs="楷体_GB2312"/>
          <w:b/>
          <w:sz w:val="32"/>
          <w:szCs w:val="32"/>
        </w:rPr>
        <w:t>，共</w:t>
      </w:r>
      <w:r>
        <w:rPr>
          <w:rFonts w:hint="eastAsia" w:ascii="楷体_GB2312" w:hAnsi="楷体_GB2312" w:eastAsia="楷体_GB2312" w:cs="楷体_GB2312"/>
          <w:b/>
          <w:sz w:val="32"/>
          <w:szCs w:val="32"/>
          <w:lang w:val="en-US" w:eastAsia="zh-CN"/>
        </w:rPr>
        <w:t>9</w:t>
      </w:r>
      <w:r>
        <w:rPr>
          <w:rFonts w:hint="eastAsia" w:ascii="楷体_GB2312" w:hAnsi="楷体_GB2312" w:eastAsia="楷体_GB2312" w:cs="楷体_GB2312"/>
          <w:b/>
          <w:sz w:val="32"/>
          <w:szCs w:val="32"/>
        </w:rPr>
        <w:t>条。</w:t>
      </w:r>
      <w:r>
        <w:rPr>
          <w:rFonts w:ascii="Times New Roman" w:hAnsi="Times New Roman" w:eastAsia="仿宋_GB2312"/>
          <w:sz w:val="32"/>
          <w:szCs w:val="32"/>
        </w:rPr>
        <w:t>具体条款包括</w:t>
      </w:r>
      <w:r>
        <w:rPr>
          <w:rFonts w:hint="eastAsia"/>
          <w:sz w:val="32"/>
          <w:szCs w:val="32"/>
          <w:lang w:eastAsia="zh-CN"/>
        </w:rPr>
        <w:t>明确区公共数据主管部门定期对运营协议的执行情况进行监督检查，授权运营单位也应当对运营合作</w:t>
      </w:r>
      <w:r>
        <w:rPr>
          <w:rFonts w:hint="eastAsia"/>
          <w:sz w:val="32"/>
          <w:szCs w:val="32"/>
          <w:lang w:val="en-US" w:eastAsia="zh-CN"/>
        </w:rPr>
        <w:t>商</w:t>
      </w:r>
      <w:r>
        <w:rPr>
          <w:rFonts w:hint="eastAsia"/>
          <w:sz w:val="32"/>
          <w:szCs w:val="32"/>
          <w:lang w:eastAsia="zh-CN"/>
        </w:rPr>
        <w:t>进行跟踪管理并定期向区公共数据主管部门报备。明确授权运营单位和数据源单位各自的监管职责和要求。明确公共数据授权运营中的</w:t>
      </w:r>
      <w:r>
        <w:rPr>
          <w:rFonts w:hint="eastAsia" w:ascii="Times New Roman" w:hAnsi="Times New Roman" w:eastAsia="仿宋_GB2312"/>
          <w:sz w:val="32"/>
          <w:szCs w:val="32"/>
        </w:rPr>
        <w:t>评估</w:t>
      </w:r>
      <w:r>
        <w:rPr>
          <w:rFonts w:hint="eastAsia"/>
          <w:sz w:val="32"/>
          <w:szCs w:val="32"/>
          <w:lang w:eastAsia="zh-CN"/>
        </w:rPr>
        <w:t>体系，包含安全审计、安全风评等，明确评估结果作为再次申请授权运营的重要依据</w:t>
      </w:r>
      <w:r>
        <w:rPr>
          <w:rFonts w:hint="eastAsia" w:ascii="Times New Roman" w:hAnsi="Times New Roman" w:eastAsia="仿宋_GB2312"/>
          <w:sz w:val="32"/>
          <w:szCs w:val="32"/>
        </w:rPr>
        <w:t>。</w:t>
      </w:r>
    </w:p>
    <w:p>
      <w:pPr>
        <w:overflowPunct w:val="0"/>
        <w:snapToGrid w:val="0"/>
        <w:spacing w:before="0" w:beforeAutospacing="0" w:after="0" w:afterAutospacing="0" w:line="56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第六章：权益保障，共</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条。</w:t>
      </w:r>
      <w:r>
        <w:rPr>
          <w:rFonts w:ascii="Times New Roman" w:hAnsi="Times New Roman" w:eastAsia="仿宋_GB2312"/>
          <w:sz w:val="32"/>
          <w:szCs w:val="32"/>
        </w:rPr>
        <w:t>具体条款包括</w:t>
      </w:r>
      <w:r>
        <w:rPr>
          <w:rFonts w:hint="eastAsia"/>
          <w:sz w:val="32"/>
          <w:szCs w:val="32"/>
          <w:lang w:eastAsia="zh-CN"/>
        </w:rPr>
        <w:t>公共数据授权运营的各利益相关方的各项权益，明确数源单位、数据主体可依法享有和保障自身的数据合法利益</w:t>
      </w:r>
      <w:r>
        <w:rPr>
          <w:rFonts w:hint="eastAsia" w:ascii="Times New Roman" w:hAnsi="Times New Roman" w:eastAsia="仿宋_GB2312"/>
          <w:sz w:val="32"/>
          <w:szCs w:val="32"/>
        </w:rPr>
        <w:t>。</w:t>
      </w:r>
    </w:p>
    <w:p>
      <w:pPr>
        <w:overflowPunct w:val="0"/>
        <w:snapToGrid w:val="0"/>
        <w:spacing w:before="0" w:beforeAutospacing="0" w:after="0" w:afterAutospacing="0" w:line="56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第七章：法律责任，共2条。</w:t>
      </w:r>
      <w:r>
        <w:rPr>
          <w:rFonts w:hint="eastAsia" w:ascii="Times New Roman" w:hAnsi="Times New Roman" w:eastAsia="仿宋_GB2312"/>
          <w:sz w:val="32"/>
          <w:szCs w:val="32"/>
        </w:rPr>
        <w:t>明确参与公共数据授权运营的市场主体的法律责任。</w:t>
      </w:r>
    </w:p>
    <w:p>
      <w:pPr>
        <w:overflowPunct w:val="0"/>
        <w:snapToGrid w:val="0"/>
        <w:spacing w:before="0" w:beforeAutospacing="0" w:after="0" w:afterAutospacing="0" w:line="56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第八章：附则，共2条。</w:t>
      </w:r>
      <w:r>
        <w:rPr>
          <w:rFonts w:ascii="Times New Roman" w:hAnsi="Times New Roman" w:eastAsia="仿宋_GB2312"/>
          <w:sz w:val="32"/>
          <w:szCs w:val="32"/>
        </w:rPr>
        <w:t>具体条款包括</w:t>
      </w:r>
      <w:r>
        <w:rPr>
          <w:rFonts w:hint="eastAsia" w:ascii="Times New Roman" w:hAnsi="Times New Roman" w:eastAsia="仿宋_GB2312"/>
          <w:sz w:val="32"/>
          <w:szCs w:val="32"/>
        </w:rPr>
        <w:t>办法解释单位</w:t>
      </w:r>
      <w:r>
        <w:rPr>
          <w:rFonts w:ascii="Times New Roman" w:hAnsi="Times New Roman" w:eastAsia="仿宋_GB2312"/>
          <w:sz w:val="32"/>
          <w:szCs w:val="32"/>
        </w:rPr>
        <w:t>和</w:t>
      </w:r>
      <w:r>
        <w:rPr>
          <w:rFonts w:hint="eastAsia" w:ascii="Times New Roman" w:hAnsi="Times New Roman" w:eastAsia="仿宋_GB2312"/>
          <w:sz w:val="32"/>
          <w:szCs w:val="32"/>
        </w:rPr>
        <w:t>施行日期</w:t>
      </w:r>
      <w:r>
        <w:rPr>
          <w:rFonts w:ascii="Times New Roman" w:hAnsi="Times New Roman" w:eastAsia="仿宋_GB2312"/>
          <w:sz w:val="32"/>
          <w:szCs w:val="32"/>
        </w:rPr>
        <w:t>。</w:t>
      </w:r>
    </w:p>
    <w:p>
      <w:pPr>
        <w:keepNext/>
        <w:keepLines/>
        <w:widowControl w:val="0"/>
        <w:overflowPunct w:val="0"/>
        <w:snapToGrid w:val="0"/>
        <w:spacing w:before="0" w:beforeAutospacing="0" w:after="0" w:afterAutospacing="0" w:line="560" w:lineRule="exact"/>
        <w:ind w:firstLine="640" w:firstLineChars="200"/>
        <w:jc w:val="both"/>
        <w:outlineLvl w:val="0"/>
        <w:rPr>
          <w:rFonts w:hint="eastAsia" w:ascii="黑体" w:hAnsi="黑体" w:eastAsia="黑体" w:cs="黑体"/>
          <w:bCs/>
          <w:kern w:val="44"/>
          <w:sz w:val="32"/>
          <w:szCs w:val="44"/>
        </w:rPr>
      </w:pPr>
      <w:r>
        <w:rPr>
          <w:rFonts w:hint="eastAsia" w:ascii="黑体" w:hAnsi="黑体" w:eastAsia="黑体" w:cs="黑体"/>
          <w:bCs/>
          <w:kern w:val="44"/>
          <w:sz w:val="32"/>
          <w:szCs w:val="44"/>
          <w:lang w:val="en-US" w:eastAsia="zh-CN" w:bidi="ar-SA"/>
        </w:rPr>
        <w:t>四、办法亮点</w:t>
      </w:r>
    </w:p>
    <w:p>
      <w:pPr>
        <w:widowControl w:val="0"/>
        <w:overflowPunct w:val="0"/>
        <w:snapToGrid w:val="0"/>
        <w:spacing w:before="0" w:beforeAutospacing="0" w:after="0" w:afterAutospacing="0" w:line="560" w:lineRule="exact"/>
        <w:ind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SA"/>
        </w:rPr>
        <w:t>一是建立完善公共数据授权运营工作流程</w:t>
      </w:r>
      <w:r>
        <w:rPr>
          <w:rFonts w:hint="eastAsia" w:ascii="仿宋_GB2312" w:hAnsi="仿宋_GB2312" w:eastAsia="仿宋_GB2312" w:cs="仿宋_GB2312"/>
          <w:kern w:val="2"/>
          <w:sz w:val="32"/>
          <w:szCs w:val="32"/>
          <w:lang w:val="en-US" w:eastAsia="zh-CN" w:bidi="ar-SA"/>
        </w:rPr>
        <w:t>。鉴于</w:t>
      </w:r>
      <w:r>
        <w:rPr>
          <w:rFonts w:hint="eastAsia" w:ascii="仿宋_GB2312" w:hAnsi="仿宋_GB2312" w:cs="仿宋_GB2312"/>
          <w:kern w:val="2"/>
          <w:sz w:val="32"/>
          <w:szCs w:val="32"/>
          <w:lang w:val="en-US" w:eastAsia="zh-CN" w:bidi="ar-SA"/>
        </w:rPr>
        <w:t>当前</w:t>
      </w:r>
      <w:r>
        <w:rPr>
          <w:rFonts w:hint="eastAsia" w:ascii="仿宋_GB2312" w:hAnsi="仿宋_GB2312" w:eastAsia="仿宋_GB2312" w:cs="仿宋_GB2312"/>
          <w:kern w:val="2"/>
          <w:sz w:val="32"/>
          <w:szCs w:val="32"/>
          <w:lang w:val="en-US" w:eastAsia="zh-CN" w:bidi="ar-SA"/>
        </w:rPr>
        <w:t>公共数据授权运</w:t>
      </w:r>
      <w:r>
        <w:rPr>
          <w:rFonts w:hint="eastAsia" w:ascii="仿宋_GB2312" w:hAnsi="仿宋_GB2312" w:cs="仿宋_GB2312"/>
          <w:kern w:val="2"/>
          <w:sz w:val="32"/>
          <w:szCs w:val="32"/>
          <w:lang w:val="en-US" w:eastAsia="zh-CN" w:bidi="ar-SA"/>
        </w:rPr>
        <w:t>营</w:t>
      </w:r>
      <w:r>
        <w:rPr>
          <w:rFonts w:hint="eastAsia" w:ascii="仿宋_GB2312" w:hAnsi="仿宋_GB2312" w:eastAsia="仿宋_GB2312" w:cs="仿宋_GB2312"/>
          <w:kern w:val="2"/>
          <w:sz w:val="32"/>
          <w:szCs w:val="32"/>
          <w:lang w:val="en-US" w:eastAsia="zh-CN" w:bidi="ar-SA"/>
        </w:rPr>
        <w:t>的</w:t>
      </w:r>
      <w:r>
        <w:rPr>
          <w:rFonts w:hint="eastAsia" w:ascii="仿宋_GB2312" w:hAnsi="仿宋_GB2312" w:cs="仿宋_GB2312"/>
          <w:kern w:val="2"/>
          <w:sz w:val="32"/>
          <w:szCs w:val="32"/>
          <w:lang w:val="en-US" w:eastAsia="zh-CN" w:bidi="ar-SA"/>
        </w:rPr>
        <w:t>国家标准和</w:t>
      </w:r>
      <w:r>
        <w:rPr>
          <w:rFonts w:hint="eastAsia" w:ascii="仿宋_GB2312" w:hAnsi="仿宋_GB2312" w:eastAsia="仿宋_GB2312" w:cs="仿宋_GB2312"/>
          <w:kern w:val="2"/>
          <w:sz w:val="32"/>
          <w:szCs w:val="32"/>
          <w:lang w:val="en-US" w:eastAsia="zh-CN" w:bidi="ar-SA"/>
        </w:rPr>
        <w:t>流程机制尚不明确，难以促进各类市场主体积极参与公共数据开发利用等问题。《办法》明确了公共数据授权运营申报的信息发布、申请提交、资格评审、协议签订等流程，为</w:t>
      </w:r>
      <w:r>
        <w:rPr>
          <w:rFonts w:hint="eastAsia" w:ascii="仿宋_GB2312" w:hAnsi="仿宋_GB2312" w:cs="仿宋_GB2312"/>
          <w:kern w:val="2"/>
          <w:sz w:val="32"/>
          <w:szCs w:val="32"/>
          <w:lang w:val="en-US" w:eastAsia="zh-CN" w:bidi="ar-SA"/>
        </w:rPr>
        <w:t>光明区</w:t>
      </w:r>
      <w:r>
        <w:rPr>
          <w:rFonts w:hint="eastAsia" w:ascii="仿宋_GB2312" w:hAnsi="仿宋_GB2312" w:eastAsia="仿宋_GB2312" w:cs="仿宋_GB2312"/>
          <w:kern w:val="2"/>
          <w:sz w:val="32"/>
          <w:szCs w:val="32"/>
          <w:lang w:val="en-US" w:eastAsia="zh-CN" w:bidi="ar-SA"/>
        </w:rPr>
        <w:t>公共数据授权运营工作</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开展提供了具体指引。</w:t>
      </w:r>
    </w:p>
    <w:p>
      <w:pPr>
        <w:overflowPunct w:val="0"/>
        <w:snapToGrid w:val="0"/>
        <w:spacing w:before="0" w:beforeAutospacing="0" w:after="0" w:afterAutospacing="0"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二是明确授权运营单位管理要求。</w:t>
      </w:r>
      <w:r>
        <w:rPr>
          <w:rFonts w:hint="eastAsia" w:ascii="仿宋_GB2312" w:hAnsi="仿宋_GB2312" w:eastAsia="仿宋_GB2312" w:cs="仿宋_GB2312"/>
          <w:sz w:val="32"/>
          <w:szCs w:val="32"/>
        </w:rPr>
        <w:t>鉴于公共数据授权运营活动涉及数据安全、网络安全、公共数据开发利用和价值释放等内容，需要对公共数据授权运营单位进行严格的资格审查和日常管理。《办法》明确公共数据授权运营单位的资质要求、技术要求及主要职责，强化公共数据授权运营单位管理</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rPr>
        <w:t>。</w:t>
      </w:r>
    </w:p>
    <w:p>
      <w:pPr>
        <w:spacing w:before="0" w:beforeAutospacing="0" w:after="0" w:afterAutospacing="0" w:line="560" w:lineRule="exact"/>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kern w:val="2"/>
          <w:sz w:val="32"/>
          <w:szCs w:val="32"/>
          <w:lang w:val="en-US" w:eastAsia="zh-CN" w:bidi="ar-SA"/>
        </w:rPr>
        <w:t>强化公共数据授权和利用统筹。</w:t>
      </w:r>
      <w:r>
        <w:rPr>
          <w:rFonts w:hint="eastAsia" w:ascii="仿宋_GB2312" w:hAnsi="仿宋_GB2312" w:eastAsia="仿宋_GB2312" w:cs="仿宋_GB2312"/>
          <w:kern w:val="2"/>
          <w:sz w:val="32"/>
          <w:szCs w:val="32"/>
          <w:lang w:val="en-US" w:eastAsia="zh-CN" w:bidi="ar-SA"/>
        </w:rPr>
        <w:t>目前公共数据授权管理制度规范体系尚不健全，涉及公共数据授权、安全使用、数据产品流通等环节的制度规范不明确。《办法》规定依据“</w:t>
      </w:r>
      <w:r>
        <w:rPr>
          <w:rFonts w:hint="eastAsia" w:ascii="仿宋_GB2312" w:hAnsi="仿宋_GB2312" w:cs="仿宋_GB2312"/>
          <w:kern w:val="2"/>
          <w:sz w:val="32"/>
          <w:szCs w:val="32"/>
          <w:lang w:val="en-US" w:eastAsia="zh-CN" w:bidi="ar-SA"/>
        </w:rPr>
        <w:t>一事一议</w:t>
      </w:r>
      <w:r>
        <w:rPr>
          <w:rFonts w:hint="eastAsia" w:ascii="仿宋_GB2312" w:hAnsi="仿宋_GB2312" w:eastAsia="仿宋_GB2312" w:cs="仿宋_GB2312"/>
          <w:kern w:val="2"/>
          <w:sz w:val="32"/>
          <w:szCs w:val="32"/>
          <w:lang w:val="en-US" w:eastAsia="zh-CN" w:bidi="ar-SA"/>
        </w:rPr>
        <w:t>”开展数据资源授权和使用的原则，由区公共数据主管部门和数源部门对公共数据资源授权申请进行审核和授权。</w:t>
      </w:r>
      <w:r>
        <w:rPr>
          <w:rFonts w:hint="eastAsia" w:ascii="仿宋_GB2312" w:hAnsi="仿宋_GB2312" w:cs="仿宋_GB2312"/>
          <w:kern w:val="2"/>
          <w:sz w:val="32"/>
          <w:szCs w:val="32"/>
          <w:lang w:val="en-US" w:eastAsia="zh-CN" w:bidi="ar-SA"/>
        </w:rPr>
        <w:t>统筹推进光明区数据要素市场化，逐步引导光明区公共数据价值释放。</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002252"/>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86F4"/>
    <w:multiLevelType w:val="multilevel"/>
    <w:tmpl w:val="BFBF86F4"/>
    <w:lvl w:ilvl="0" w:tentative="0">
      <w:start w:val="1"/>
      <w:numFmt w:val="decimal"/>
      <w:pStyle w:val="6"/>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DCD27883"/>
    <w:multiLevelType w:val="multilevel"/>
    <w:tmpl w:val="DCD27883"/>
    <w:lvl w:ilvl="0" w:tentative="0">
      <w:start w:val="1"/>
      <w:numFmt w:val="decimal"/>
      <w:pStyle w:val="5"/>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F2EE7E3F"/>
    <w:multiLevelType w:val="multilevel"/>
    <w:tmpl w:val="F2EE7E3F"/>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FEF4D"/>
    <w:rsid w:val="4E1A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overflowPunct w:val="0"/>
      <w:snapToGrid w:val="0"/>
      <w:spacing w:before="0" w:beforeAutospacing="0" w:after="0" w:afterAutospacing="0" w:line="600" w:lineRule="exact"/>
      <w:ind w:left="0" w:right="0" w:firstLine="640" w:firstLineChars="200"/>
      <w:jc w:val="both"/>
    </w:pPr>
    <w:rPr>
      <w:rFonts w:hint="default" w:ascii="Times New Roman" w:hAnsi="Times New Roman" w:eastAsia="仿宋_GB2312" w:cs="Times New Roman"/>
      <w:color w:val="auto"/>
      <w:spacing w:val="0"/>
      <w:kern w:val="2"/>
      <w:position w:val="0"/>
      <w:sz w:val="32"/>
      <w:szCs w:val="32"/>
      <w:lang w:val="en-US" w:eastAsia="zh-CN" w:bidi="ar-SA"/>
    </w:rPr>
  </w:style>
  <w:style w:type="paragraph" w:styleId="3">
    <w:name w:val="heading 1"/>
    <w:basedOn w:val="1"/>
    <w:next w:val="1"/>
    <w:link w:val="188"/>
    <w:qFormat/>
    <w:uiPriority w:val="9"/>
    <w:pPr>
      <w:keepNext/>
      <w:keepLines/>
      <w:ind w:firstLine="0" w:firstLineChars="0"/>
      <w:outlineLvl w:val="0"/>
    </w:pPr>
    <w:rPr>
      <w:rFonts w:eastAsia="方正黑体_GBK"/>
      <w:bCs/>
      <w:kern w:val="44"/>
      <w:szCs w:val="44"/>
    </w:rPr>
  </w:style>
  <w:style w:type="paragraph" w:styleId="4">
    <w:name w:val="heading 2"/>
    <w:basedOn w:val="1"/>
    <w:next w:val="1"/>
    <w:link w:val="187"/>
    <w:unhideWhenUsed/>
    <w:qFormat/>
    <w:uiPriority w:val="9"/>
    <w:pPr>
      <w:keepNext/>
      <w:keepLines/>
      <w:numPr>
        <w:ilvl w:val="0"/>
        <w:numId w:val="1"/>
      </w:numPr>
      <w:spacing w:before="50" w:beforeLines="50" w:after="50" w:afterLines="50"/>
      <w:ind w:firstLine="0" w:firstLineChars="0"/>
      <w:outlineLvl w:val="1"/>
    </w:pPr>
    <w:rPr>
      <w:rFonts w:ascii="等线 Light" w:hAnsi="等线 Light" w:eastAsia="楷体_GB2312" w:cs="等线 Light"/>
      <w:b/>
      <w:bCs/>
    </w:rPr>
  </w:style>
  <w:style w:type="paragraph" w:styleId="5">
    <w:name w:val="heading 3"/>
    <w:basedOn w:val="1"/>
    <w:next w:val="1"/>
    <w:link w:val="193"/>
    <w:unhideWhenUsed/>
    <w:qFormat/>
    <w:uiPriority w:val="9"/>
    <w:pPr>
      <w:keepNext/>
      <w:keepLines/>
      <w:numPr>
        <w:ilvl w:val="0"/>
        <w:numId w:val="2"/>
      </w:numPr>
      <w:ind w:firstLine="0" w:firstLineChars="0"/>
      <w:outlineLvl w:val="2"/>
    </w:pPr>
    <w:rPr>
      <w:b/>
      <w:bCs/>
    </w:rPr>
  </w:style>
  <w:style w:type="paragraph" w:styleId="6">
    <w:name w:val="heading 4"/>
    <w:basedOn w:val="1"/>
    <w:next w:val="1"/>
    <w:link w:val="195"/>
    <w:semiHidden/>
    <w:unhideWhenUsed/>
    <w:qFormat/>
    <w:uiPriority w:val="9"/>
    <w:pPr>
      <w:keepNext/>
      <w:keepLines/>
      <w:numPr>
        <w:ilvl w:val="0"/>
        <w:numId w:val="3"/>
      </w:numPr>
      <w:spacing w:before="280" w:after="290" w:line="240" w:lineRule="atLeast"/>
      <w:ind w:left="0" w:firstLine="200"/>
      <w:outlineLvl w:val="3"/>
    </w:pPr>
    <w:rPr>
      <w:rFonts w:ascii="等线 Light" w:hAnsi="等线 Light" w:cs="等线 Light"/>
      <w:bCs/>
      <w:szCs w:val="28"/>
    </w:rPr>
  </w:style>
  <w:style w:type="paragraph" w:styleId="7">
    <w:name w:val="heading 5"/>
    <w:basedOn w:val="1"/>
    <w:next w:val="1"/>
    <w:link w:val="4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4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next w:val="1"/>
    <w:qFormat/>
    <w:uiPriority w:val="0"/>
    <w:pPr>
      <w:ind w:firstLine="420" w:firstLineChars="200"/>
    </w:pPr>
    <w:rPr>
      <w:rFonts w:ascii="Arial" w:hAnsi="Arial" w:eastAsia="微软雅黑"/>
      <w:szCs w:val="24"/>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5B9BD5" w:themeColor="accent1"/>
      <w:sz w:val="18"/>
      <w:szCs w:val="18"/>
      <w14:textFill>
        <w14:solidFill>
          <w14:schemeClr w14:val="accent1"/>
        </w14:solidFill>
      </w14:textFill>
    </w:rPr>
  </w:style>
  <w:style w:type="paragraph" w:styleId="14">
    <w:name w:val="annotation text"/>
    <w:basedOn w:val="1"/>
    <w:link w:val="199"/>
    <w:unhideWhenUsed/>
    <w:qFormat/>
    <w:uiPriority w:val="99"/>
    <w:pPr>
      <w:jc w:val="left"/>
    </w:pPr>
  </w:style>
  <w:style w:type="paragraph" w:styleId="15">
    <w:name w:val="Body Text"/>
    <w:basedOn w:val="1"/>
    <w:next w:val="16"/>
    <w:link w:val="198"/>
    <w:unhideWhenUsed/>
    <w:qFormat/>
    <w:uiPriority w:val="0"/>
    <w:pPr>
      <w:snapToGrid/>
      <w:spacing w:after="120" w:line="240" w:lineRule="auto"/>
      <w:ind w:firstLine="0" w:firstLineChars="0"/>
    </w:pPr>
    <w:rPr>
      <w:rFonts w:ascii="等线" w:hAnsi="等线" w:eastAsia="等线"/>
      <w:sz w:val="21"/>
    </w:rPr>
  </w:style>
  <w:style w:type="paragraph" w:styleId="16">
    <w:name w:val="Title"/>
    <w:basedOn w:val="1"/>
    <w:next w:val="1"/>
    <w:link w:val="194"/>
    <w:qFormat/>
    <w:uiPriority w:val="10"/>
    <w:pPr>
      <w:spacing w:before="240" w:after="60"/>
      <w:ind w:firstLine="0" w:firstLineChars="0"/>
      <w:jc w:val="center"/>
      <w:outlineLvl w:val="0"/>
    </w:pPr>
    <w:rPr>
      <w:rFonts w:ascii="等线 Light" w:hAnsi="等线 Light" w:eastAsia="方正小标宋简体" w:cs="等线 Light"/>
      <w:bCs/>
      <w:sz w:val="36"/>
    </w:rPr>
  </w:style>
  <w:style w:type="paragraph" w:styleId="17">
    <w:name w:val="toc 5"/>
    <w:basedOn w:val="1"/>
    <w:next w:val="1"/>
    <w:unhideWhenUsed/>
    <w:qFormat/>
    <w:uiPriority w:val="39"/>
    <w:pPr>
      <w:overflowPunct w:val="0"/>
      <w:autoSpaceDE w:val="0"/>
      <w:autoSpaceDN w:val="0"/>
      <w:spacing w:after="57"/>
      <w:ind w:left="1134" w:right="0" w:firstLine="0"/>
    </w:pPr>
  </w:style>
  <w:style w:type="paragraph" w:styleId="18">
    <w:name w:val="toc 3"/>
    <w:basedOn w:val="1"/>
    <w:next w:val="1"/>
    <w:unhideWhenUsed/>
    <w:qFormat/>
    <w:uiPriority w:val="39"/>
    <w:pPr>
      <w:overflowPunct w:val="0"/>
      <w:autoSpaceDE w:val="0"/>
      <w:autoSpaceDN w:val="0"/>
      <w:spacing w:after="57"/>
      <w:ind w:left="567" w:right="0" w:firstLine="0"/>
    </w:pPr>
  </w:style>
  <w:style w:type="paragraph" w:styleId="19">
    <w:name w:val="Plain Text"/>
    <w:basedOn w:val="1"/>
    <w:link w:val="197"/>
    <w:unhideWhenUsed/>
    <w:qFormat/>
    <w:uiPriority w:val="99"/>
    <w:rPr>
      <w:rFonts w:ascii="宋体" w:hAnsi="Courier New"/>
    </w:rPr>
  </w:style>
  <w:style w:type="paragraph" w:styleId="20">
    <w:name w:val="toc 8"/>
    <w:basedOn w:val="1"/>
    <w:next w:val="1"/>
    <w:unhideWhenUsed/>
    <w:qFormat/>
    <w:uiPriority w:val="39"/>
    <w:pPr>
      <w:overflowPunct w:val="0"/>
      <w:autoSpaceDE w:val="0"/>
      <w:autoSpaceDN w:val="0"/>
      <w:spacing w:after="57"/>
      <w:ind w:left="1984" w:right="0" w:firstLine="0"/>
    </w:pPr>
  </w:style>
  <w:style w:type="paragraph" w:styleId="21">
    <w:name w:val="Balloon Text"/>
    <w:basedOn w:val="1"/>
    <w:link w:val="189"/>
    <w:semiHidden/>
    <w:unhideWhenUsed/>
    <w:qFormat/>
    <w:uiPriority w:val="99"/>
    <w:rPr>
      <w:sz w:val="18"/>
      <w:szCs w:val="18"/>
    </w:rPr>
  </w:style>
  <w:style w:type="paragraph" w:styleId="22">
    <w:name w:val="footer"/>
    <w:basedOn w:val="1"/>
    <w:link w:val="191"/>
    <w:unhideWhenUsed/>
    <w:qFormat/>
    <w:uiPriority w:val="99"/>
    <w:pPr>
      <w:tabs>
        <w:tab w:val="center" w:pos="4153"/>
        <w:tab w:val="right" w:pos="8306"/>
      </w:tabs>
      <w:spacing w:line="240" w:lineRule="auto"/>
      <w:ind w:firstLine="0" w:firstLineChars="0"/>
      <w:jc w:val="left"/>
    </w:pPr>
    <w:rPr>
      <w:sz w:val="18"/>
      <w:szCs w:val="18"/>
    </w:rPr>
  </w:style>
  <w:style w:type="paragraph" w:styleId="23">
    <w:name w:val="header"/>
    <w:basedOn w:val="1"/>
    <w:link w:val="190"/>
    <w:unhideWhenUsed/>
    <w:qFormat/>
    <w:uiPriority w:val="99"/>
    <w:pPr>
      <w:pBdr>
        <w:bottom w:val="single" w:color="auto" w:sz="6" w:space="1"/>
      </w:pBdr>
      <w:tabs>
        <w:tab w:val="center" w:pos="4153"/>
        <w:tab w:val="right" w:pos="8306"/>
      </w:tabs>
      <w:ind w:firstLine="0" w:firstLineChars="0"/>
      <w:jc w:val="center"/>
    </w:pPr>
    <w:rPr>
      <w:sz w:val="18"/>
      <w:szCs w:val="18"/>
    </w:rPr>
  </w:style>
  <w:style w:type="paragraph" w:styleId="24">
    <w:name w:val="toc 1"/>
    <w:basedOn w:val="1"/>
    <w:next w:val="1"/>
    <w:unhideWhenUsed/>
    <w:qFormat/>
    <w:uiPriority w:val="39"/>
    <w:pPr>
      <w:overflowPunct w:val="0"/>
      <w:autoSpaceDE w:val="0"/>
      <w:autoSpaceDN w:val="0"/>
      <w:spacing w:after="57"/>
      <w:ind w:left="0" w:right="0" w:firstLine="0"/>
    </w:pPr>
  </w:style>
  <w:style w:type="paragraph" w:styleId="25">
    <w:name w:val="toc 4"/>
    <w:basedOn w:val="1"/>
    <w:next w:val="1"/>
    <w:unhideWhenUsed/>
    <w:qFormat/>
    <w:uiPriority w:val="39"/>
    <w:pPr>
      <w:overflowPunct w:val="0"/>
      <w:autoSpaceDE w:val="0"/>
      <w:autoSpaceDN w:val="0"/>
      <w:spacing w:after="57"/>
      <w:ind w:left="850" w:right="0" w:firstLine="0"/>
    </w:pPr>
  </w:style>
  <w:style w:type="paragraph" w:styleId="26">
    <w:name w:val="Subtitle"/>
    <w:basedOn w:val="1"/>
    <w:next w:val="1"/>
    <w:link w:val="52"/>
    <w:qFormat/>
    <w:uiPriority w:val="11"/>
    <w:pPr>
      <w:overflowPunct w:val="0"/>
      <w:autoSpaceDE w:val="0"/>
      <w:autoSpaceDN w:val="0"/>
      <w:spacing w:before="200" w:after="200"/>
    </w:pPr>
    <w:rPr>
      <w:sz w:val="24"/>
      <w:szCs w:val="24"/>
    </w:rPr>
  </w:style>
  <w:style w:type="paragraph" w:styleId="27">
    <w:name w:val="footnote text"/>
    <w:basedOn w:val="1"/>
    <w:link w:val="196"/>
    <w:semiHidden/>
    <w:unhideWhenUsed/>
    <w:qFormat/>
    <w:uiPriority w:val="99"/>
    <w:pPr>
      <w:spacing w:line="240" w:lineRule="auto"/>
      <w:jc w:val="left"/>
    </w:pPr>
    <w:rPr>
      <w:sz w:val="18"/>
      <w:szCs w:val="18"/>
    </w:rPr>
  </w:style>
  <w:style w:type="paragraph" w:styleId="28">
    <w:name w:val="toc 6"/>
    <w:basedOn w:val="1"/>
    <w:next w:val="1"/>
    <w:unhideWhenUsed/>
    <w:qFormat/>
    <w:uiPriority w:val="39"/>
    <w:pPr>
      <w:overflowPunct w:val="0"/>
      <w:autoSpaceDE w:val="0"/>
      <w:autoSpaceDN w:val="0"/>
      <w:spacing w:after="57"/>
      <w:ind w:left="1417" w:right="0" w:firstLine="0"/>
    </w:pPr>
  </w:style>
  <w:style w:type="paragraph" w:styleId="29">
    <w:name w:val="toc 2"/>
    <w:basedOn w:val="1"/>
    <w:next w:val="1"/>
    <w:unhideWhenUsed/>
    <w:qFormat/>
    <w:uiPriority w:val="39"/>
    <w:pPr>
      <w:overflowPunct w:val="0"/>
      <w:autoSpaceDE w:val="0"/>
      <w:autoSpaceDN w:val="0"/>
      <w:spacing w:after="57"/>
      <w:ind w:left="283" w:right="0" w:firstLine="0"/>
    </w:pPr>
  </w:style>
  <w:style w:type="paragraph" w:styleId="30">
    <w:name w:val="toc 9"/>
    <w:basedOn w:val="1"/>
    <w:next w:val="1"/>
    <w:unhideWhenUsed/>
    <w:qFormat/>
    <w:uiPriority w:val="39"/>
    <w:pPr>
      <w:overflowPunct w:val="0"/>
      <w:autoSpaceDE w:val="0"/>
      <w:autoSpaceDN w:val="0"/>
      <w:spacing w:after="57"/>
      <w:ind w:left="2268" w:right="0" w:firstLine="0"/>
    </w:pPr>
  </w:style>
  <w:style w:type="paragraph" w:styleId="3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3">
    <w:name w:val="annotation subject"/>
    <w:basedOn w:val="14"/>
    <w:next w:val="14"/>
    <w:link w:val="200"/>
    <w:semiHidden/>
    <w:unhideWhenUsed/>
    <w:qFormat/>
    <w:uiPriority w:val="99"/>
    <w:rPr>
      <w:b/>
      <w:bCs/>
    </w:rPr>
  </w:style>
  <w:style w:type="table" w:styleId="35">
    <w:name w:val="Table Grid"/>
    <w:basedOn w:val="34"/>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mphasis"/>
    <w:basedOn w:val="36"/>
    <w:qFormat/>
    <w:uiPriority w:val="20"/>
    <w:rPr>
      <w:rFonts w:eastAsia="方正黑体_GBK"/>
      <w:iCs/>
    </w:rPr>
  </w:style>
  <w:style w:type="character" w:styleId="38">
    <w:name w:val="Hyperlink"/>
    <w:unhideWhenUsed/>
    <w:qFormat/>
    <w:uiPriority w:val="99"/>
    <w:rPr>
      <w:color w:val="0563C1" w:themeColor="hyperlink"/>
      <w:u w:val="single"/>
      <w14:textFill>
        <w14:solidFill>
          <w14:schemeClr w14:val="hlink"/>
        </w14:solidFill>
      </w14:textFill>
    </w:rPr>
  </w:style>
  <w:style w:type="character" w:styleId="39">
    <w:name w:val="annotation reference"/>
    <w:basedOn w:val="36"/>
    <w:semiHidden/>
    <w:unhideWhenUsed/>
    <w:qFormat/>
    <w:uiPriority w:val="99"/>
    <w:rPr>
      <w:sz w:val="21"/>
      <w:szCs w:val="21"/>
    </w:rPr>
  </w:style>
  <w:style w:type="character" w:styleId="40">
    <w:name w:val="footnote reference"/>
    <w:basedOn w:val="36"/>
    <w:semiHidden/>
    <w:unhideWhenUsed/>
    <w:qFormat/>
    <w:uiPriority w:val="99"/>
    <w:rPr>
      <w:vertAlign w:val="superscript"/>
    </w:rPr>
  </w:style>
  <w:style w:type="character" w:customStyle="1" w:styleId="41">
    <w:name w:val="Heading 1 Char"/>
    <w:basedOn w:val="36"/>
    <w:qFormat/>
    <w:uiPriority w:val="9"/>
    <w:rPr>
      <w:rFonts w:ascii="Arial" w:hAnsi="Arial" w:eastAsia="Arial" w:cs="Arial"/>
      <w:sz w:val="40"/>
      <w:szCs w:val="40"/>
    </w:rPr>
  </w:style>
  <w:style w:type="character" w:customStyle="1" w:styleId="42">
    <w:name w:val="Heading 2 Char"/>
    <w:basedOn w:val="36"/>
    <w:qFormat/>
    <w:uiPriority w:val="9"/>
    <w:rPr>
      <w:rFonts w:ascii="Arial" w:hAnsi="Arial" w:eastAsia="Arial" w:cs="Arial"/>
      <w:sz w:val="34"/>
    </w:rPr>
  </w:style>
  <w:style w:type="character" w:customStyle="1" w:styleId="43">
    <w:name w:val="Heading 3 Char"/>
    <w:basedOn w:val="36"/>
    <w:qFormat/>
    <w:uiPriority w:val="9"/>
    <w:rPr>
      <w:rFonts w:ascii="Arial" w:hAnsi="Arial" w:eastAsia="Arial" w:cs="Arial"/>
      <w:sz w:val="30"/>
      <w:szCs w:val="30"/>
    </w:rPr>
  </w:style>
  <w:style w:type="character" w:customStyle="1" w:styleId="44">
    <w:name w:val="Heading 4 Char"/>
    <w:basedOn w:val="36"/>
    <w:qFormat/>
    <w:uiPriority w:val="9"/>
    <w:rPr>
      <w:rFonts w:ascii="Arial" w:hAnsi="Arial" w:eastAsia="Arial" w:cs="Arial"/>
      <w:b/>
      <w:bCs/>
      <w:sz w:val="26"/>
      <w:szCs w:val="26"/>
    </w:rPr>
  </w:style>
  <w:style w:type="character" w:customStyle="1" w:styleId="45">
    <w:name w:val="Heading 5 Char"/>
    <w:basedOn w:val="36"/>
    <w:link w:val="7"/>
    <w:qFormat/>
    <w:uiPriority w:val="9"/>
    <w:rPr>
      <w:rFonts w:ascii="Arial" w:hAnsi="Arial" w:eastAsia="Arial" w:cs="Arial"/>
      <w:b/>
      <w:bCs/>
      <w:sz w:val="24"/>
      <w:szCs w:val="24"/>
    </w:rPr>
  </w:style>
  <w:style w:type="character" w:customStyle="1" w:styleId="46">
    <w:name w:val="Heading 6 Char"/>
    <w:basedOn w:val="36"/>
    <w:link w:val="8"/>
    <w:qFormat/>
    <w:uiPriority w:val="9"/>
    <w:rPr>
      <w:rFonts w:ascii="Arial" w:hAnsi="Arial" w:eastAsia="Arial" w:cs="Arial"/>
      <w:b/>
      <w:bCs/>
      <w:sz w:val="22"/>
      <w:szCs w:val="22"/>
    </w:rPr>
  </w:style>
  <w:style w:type="character" w:customStyle="1" w:styleId="47">
    <w:name w:val="Heading 7 Char"/>
    <w:basedOn w:val="36"/>
    <w:link w:val="9"/>
    <w:qFormat/>
    <w:uiPriority w:val="9"/>
    <w:rPr>
      <w:rFonts w:ascii="Arial" w:hAnsi="Arial" w:eastAsia="Arial" w:cs="Arial"/>
      <w:b/>
      <w:bCs/>
      <w:i/>
      <w:iCs/>
      <w:sz w:val="22"/>
      <w:szCs w:val="22"/>
    </w:rPr>
  </w:style>
  <w:style w:type="character" w:customStyle="1" w:styleId="48">
    <w:name w:val="Heading 8 Char"/>
    <w:basedOn w:val="36"/>
    <w:link w:val="10"/>
    <w:qFormat/>
    <w:uiPriority w:val="9"/>
    <w:rPr>
      <w:rFonts w:ascii="Arial" w:hAnsi="Arial" w:eastAsia="Arial" w:cs="Arial"/>
      <w:i/>
      <w:iCs/>
      <w:sz w:val="22"/>
      <w:szCs w:val="22"/>
    </w:rPr>
  </w:style>
  <w:style w:type="character" w:customStyle="1" w:styleId="49">
    <w:name w:val="Heading 9 Char"/>
    <w:basedOn w:val="36"/>
    <w:link w:val="11"/>
    <w:qFormat/>
    <w:uiPriority w:val="9"/>
    <w:rPr>
      <w:rFonts w:ascii="Arial" w:hAnsi="Arial" w:eastAsia="Arial" w:cs="Arial"/>
      <w:i/>
      <w:iCs/>
      <w:sz w:val="21"/>
      <w:szCs w:val="21"/>
    </w:rPr>
  </w:style>
  <w:style w:type="paragraph" w:styleId="50">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1">
    <w:name w:val="Title Char"/>
    <w:basedOn w:val="36"/>
    <w:qFormat/>
    <w:uiPriority w:val="10"/>
    <w:rPr>
      <w:sz w:val="48"/>
      <w:szCs w:val="48"/>
    </w:rPr>
  </w:style>
  <w:style w:type="character" w:customStyle="1" w:styleId="52">
    <w:name w:val="Subtitle Char"/>
    <w:basedOn w:val="36"/>
    <w:link w:val="26"/>
    <w:qFormat/>
    <w:uiPriority w:val="11"/>
    <w:rPr>
      <w:sz w:val="24"/>
      <w:szCs w:val="24"/>
    </w:rPr>
  </w:style>
  <w:style w:type="paragraph" w:styleId="53">
    <w:name w:val="Quote"/>
    <w:basedOn w:val="1"/>
    <w:next w:val="1"/>
    <w:link w:val="54"/>
    <w:qFormat/>
    <w:uiPriority w:val="29"/>
    <w:pPr>
      <w:overflowPunct w:val="0"/>
      <w:autoSpaceDE w:val="0"/>
      <w:autoSpaceDN w:val="0"/>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basedOn w:val="36"/>
    <w:qFormat/>
    <w:uiPriority w:val="99"/>
  </w:style>
  <w:style w:type="character" w:customStyle="1" w:styleId="58">
    <w:name w:val="Footer Char"/>
    <w:basedOn w:val="36"/>
    <w:qFormat/>
    <w:uiPriority w:val="99"/>
  </w:style>
  <w:style w:type="character" w:customStyle="1" w:styleId="59">
    <w:name w:val="Caption Char"/>
    <w:qFormat/>
    <w:uiPriority w:val="99"/>
  </w:style>
  <w:style w:type="table" w:customStyle="1" w:styleId="60">
    <w:name w:val="Table Grid Light"/>
    <w:basedOn w:val="34"/>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1">
    <w:name w:val="Plain Table 1"/>
    <w:basedOn w:val="34"/>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2">
    <w:name w:val="Plain Table 2"/>
    <w:basedOn w:val="34"/>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3">
    <w:name w:val="Plain Table 3"/>
    <w:basedOn w:val="34"/>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4">
    <w:name w:val="Plain Table 4"/>
    <w:basedOn w:val="34"/>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5">
    <w:name w:val="Plain Table 5"/>
    <w:basedOn w:val="34"/>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Grid Table 1 Light"/>
    <w:basedOn w:val="34"/>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7">
    <w:name w:val="Grid Table 1 Light - Accent 1"/>
    <w:basedOn w:val="34"/>
    <w:qFormat/>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8">
    <w:name w:val="Grid Table 1 Light - Accent 2"/>
    <w:basedOn w:val="34"/>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9">
    <w:name w:val="Grid Table 1 Light - Accent 3"/>
    <w:basedOn w:val="34"/>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0">
    <w:name w:val="Grid Table 1 Light - Accent 4"/>
    <w:basedOn w:val="34"/>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1">
    <w:name w:val="Grid Table 1 Light - Accent 5"/>
    <w:basedOn w:val="34"/>
    <w:qFormat/>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72">
    <w:name w:val="Grid Table 1 Light - Accent 6"/>
    <w:basedOn w:val="34"/>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3">
    <w:name w:val="Grid Table 2"/>
    <w:basedOn w:val="34"/>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4">
    <w:name w:val="Grid Table 2 - Accent 1"/>
    <w:basedOn w:val="34"/>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75">
    <w:name w:val="Grid Table 2 - Accent 2"/>
    <w:basedOn w:val="34"/>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6">
    <w:name w:val="Grid Table 2 - Accent 3"/>
    <w:basedOn w:val="34"/>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7">
    <w:name w:val="Grid Table 2 - Accent 4"/>
    <w:basedOn w:val="34"/>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8">
    <w:name w:val="Grid Table 2 - Accent 5"/>
    <w:basedOn w:val="34"/>
    <w:qFormat/>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79">
    <w:name w:val="Grid Table 2 - Accent 6"/>
    <w:basedOn w:val="34"/>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0">
    <w:name w:val="Grid Table 3"/>
    <w:basedOn w:val="34"/>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1">
    <w:name w:val="Grid Table 3 - Accent 1"/>
    <w:basedOn w:val="34"/>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82">
    <w:name w:val="Grid Table 3 - Accent 2"/>
    <w:basedOn w:val="34"/>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3">
    <w:name w:val="Grid Table 3 - Accent 3"/>
    <w:basedOn w:val="34"/>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4">
    <w:name w:val="Grid Table 3 - Accent 4"/>
    <w:basedOn w:val="34"/>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5">
    <w:name w:val="Grid Table 3 - Accent 5"/>
    <w:basedOn w:val="34"/>
    <w:qFormat/>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86">
    <w:name w:val="Grid Table 3 - Accent 6"/>
    <w:basedOn w:val="34"/>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7">
    <w:name w:val="Grid Table 4"/>
    <w:basedOn w:val="34"/>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8">
    <w:name w:val="Grid Table 4 - Accent 1"/>
    <w:basedOn w:val="34"/>
    <w:qFormat/>
    <w:uiPriority w:val="5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tblStylePr w:type="neCell"/>
    <w:tblStylePr w:type="nwCell"/>
    <w:tblStylePr w:type="seCell"/>
    <w:tblStylePr w:type="swCell"/>
  </w:style>
  <w:style w:type="table" w:customStyle="1" w:styleId="89">
    <w:name w:val="Grid Table 4 - Accent 2"/>
    <w:basedOn w:val="34"/>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0">
    <w:name w:val="Grid Table 4 - Accent 3"/>
    <w:basedOn w:val="34"/>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1">
    <w:name w:val="Grid Table 4 - Accent 4"/>
    <w:basedOn w:val="34"/>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2">
    <w:name w:val="Grid Table 4 - Accent 5"/>
    <w:basedOn w:val="34"/>
    <w:qFormat/>
    <w:uiPriority w:val="5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93">
    <w:name w:val="Grid Table 4 - Accent 6"/>
    <w:basedOn w:val="34"/>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4">
    <w:name w:val="Grid Table 5 Dark"/>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5">
    <w:name w:val="Grid Table 5 Dark- Accent 1"/>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tblStylePr w:type="neCell"/>
    <w:tblStylePr w:type="nwCell"/>
    <w:tblStylePr w:type="seCell"/>
    <w:tblStylePr w:type="swCell"/>
  </w:style>
  <w:style w:type="table" w:customStyle="1" w:styleId="96">
    <w:name w:val="Grid Table 5 Dark - Accent 2"/>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7">
    <w:name w:val="Grid Table 5 Dark - Accent 3"/>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98">
    <w:name w:val="Grid Table 5 Dark- Accent 4"/>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9">
    <w:name w:val="Grid Table 5 Dark - Accent 5"/>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tblStylePr w:type="neCell"/>
    <w:tblStylePr w:type="nwCell"/>
    <w:tblStylePr w:type="seCell"/>
    <w:tblStylePr w:type="swCell"/>
  </w:style>
  <w:style w:type="table" w:customStyle="1" w:styleId="100">
    <w:name w:val="Grid Table 5 Dark - Accent 6"/>
    <w:basedOn w:val="34"/>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1">
    <w:name w:val="Grid Table 6 Colorful"/>
    <w:basedOn w:val="34"/>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1"/>
    <w:basedOn w:val="34"/>
    <w:qFormat/>
    <w:uiPriority w:val="99"/>
    <w:pPr>
      <w:overflowPunct w:val="0"/>
      <w:autoSpaceDE w:val="0"/>
      <w:autoSpaceDN w:val="0"/>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2"/>
    <w:basedOn w:val="34"/>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6 Colorful - Accent 3"/>
    <w:basedOn w:val="34"/>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6 Colorful - Accent 4"/>
    <w:basedOn w:val="34"/>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6 Colorful - Accent 5"/>
    <w:basedOn w:val="34"/>
    <w:qFormat/>
    <w:uiPriority w:val="99"/>
    <w:pPr>
      <w:overflowPunct w:val="0"/>
      <w:autoSpaceDE w:val="0"/>
      <w:autoSpaceDN w:val="0"/>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7">
    <w:name w:val="Grid Table 6 Colorful - Accent 6"/>
    <w:basedOn w:val="34"/>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2Vert"/>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8">
    <w:name w:val="Grid Table 7 Colorful"/>
    <w:basedOn w:val="34"/>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1"/>
    <w:basedOn w:val="34"/>
    <w:qFormat/>
    <w:uiPriority w:val="99"/>
    <w:pPr>
      <w:overflowPunct w:val="0"/>
      <w:autoSpaceDE w:val="0"/>
      <w:autoSpaceDN w:val="0"/>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auto"/>
      </w:tc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2"/>
    <w:basedOn w:val="34"/>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1">
    <w:name w:val="Grid Table 7 Colorful - Accent 3"/>
    <w:basedOn w:val="34"/>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2">
    <w:name w:val="Grid Table 7 Colorful - Accent 4"/>
    <w:basedOn w:val="34"/>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3">
    <w:name w:val="Grid Table 7 Colorful - Accent 5"/>
    <w:basedOn w:val="34"/>
    <w:qFormat/>
    <w:uiPriority w:val="99"/>
    <w:pPr>
      <w:overflowPunct w:val="0"/>
      <w:autoSpaceDE w:val="0"/>
      <w:autoSpaceDN w:val="0"/>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auto"/>
      </w:tc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4">
    <w:name w:val="Grid Table 7 Colorful - Accent 6"/>
    <w:basedOn w:val="34"/>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5">
    <w:name w:val="List Table 1 Light"/>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6">
    <w:name w:val="List Table 1 Light - Accent 1"/>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tblStylePr w:type="neCell"/>
    <w:tblStylePr w:type="nwCell"/>
    <w:tblStylePr w:type="seCell"/>
    <w:tblStylePr w:type="swCell"/>
  </w:style>
  <w:style w:type="table" w:customStyle="1" w:styleId="117">
    <w:name w:val="List Table 1 Light - Accent 2"/>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18">
    <w:name w:val="List Table 1 Light - Accent 3"/>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9">
    <w:name w:val="List Table 1 Light - Accent 4"/>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0">
    <w:name w:val="List Table 1 Light - Accent 5"/>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tblStylePr w:type="neCell"/>
    <w:tblStylePr w:type="nwCell"/>
    <w:tblStylePr w:type="seCell"/>
    <w:tblStylePr w:type="swCell"/>
  </w:style>
  <w:style w:type="table" w:customStyle="1" w:styleId="121">
    <w:name w:val="List Table 1 Light - Accent 6"/>
    <w:basedOn w:val="34"/>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2">
    <w:name w:val="List Table 2"/>
    <w:basedOn w:val="34"/>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3">
    <w:name w:val="List Table 2 - Accent 1"/>
    <w:basedOn w:val="34"/>
    <w:qFormat/>
    <w:uiPriority w:val="99"/>
    <w:pPr>
      <w:overflowPunct w:val="0"/>
      <w:autoSpaceDE w:val="0"/>
      <w:autoSpaceDN w:val="0"/>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24">
    <w:name w:val="List Table 2 - Accent 2"/>
    <w:basedOn w:val="34"/>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5">
    <w:name w:val="List Table 2 - Accent 3"/>
    <w:basedOn w:val="34"/>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6">
    <w:name w:val="List Table 2 - Accent 4"/>
    <w:basedOn w:val="34"/>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7">
    <w:name w:val="List Table 2 - Accent 5"/>
    <w:basedOn w:val="34"/>
    <w:qFormat/>
    <w:uiPriority w:val="99"/>
    <w:pPr>
      <w:overflowPunct w:val="0"/>
      <w:autoSpaceDE w:val="0"/>
      <w:autoSpaceDN w:val="0"/>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28">
    <w:name w:val="List Table 2 - Accent 6"/>
    <w:basedOn w:val="34"/>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9">
    <w:name w:val="List Table 3"/>
    <w:basedOn w:val="34"/>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0">
    <w:name w:val="List Table 3 - Accent 1"/>
    <w:basedOn w:val="34"/>
    <w:qFormat/>
    <w:uiPriority w:val="99"/>
    <w:pPr>
      <w:overflowPunct w:val="0"/>
      <w:autoSpaceDE w:val="0"/>
      <w:autoSpaceDN w:val="0"/>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31">
    <w:name w:val="List Table 3 - Accent 2"/>
    <w:basedOn w:val="34"/>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2">
    <w:name w:val="List Table 3 - Accent 3"/>
    <w:basedOn w:val="34"/>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3">
    <w:name w:val="List Table 3 - Accent 4"/>
    <w:basedOn w:val="34"/>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4">
    <w:name w:val="List Table 3 - Accent 5"/>
    <w:basedOn w:val="34"/>
    <w:qFormat/>
    <w:uiPriority w:val="99"/>
    <w:pPr>
      <w:overflowPunct w:val="0"/>
      <w:autoSpaceDE w:val="0"/>
      <w:autoSpaceDN w:val="0"/>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5">
    <w:name w:val="List Table 3 - Accent 6"/>
    <w:basedOn w:val="34"/>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6">
    <w:name w:val="List Table 4"/>
    <w:basedOn w:val="34"/>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7">
    <w:name w:val="List Table 4 - Accent 1"/>
    <w:basedOn w:val="34"/>
    <w:qFormat/>
    <w:uiPriority w:val="9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38">
    <w:name w:val="List Table 4 - Accent 2"/>
    <w:basedOn w:val="34"/>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9">
    <w:name w:val="List Table 4 - Accent 3"/>
    <w:basedOn w:val="34"/>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0">
    <w:name w:val="List Table 4 - Accent 4"/>
    <w:basedOn w:val="34"/>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1">
    <w:name w:val="List Table 4 - Accent 5"/>
    <w:basedOn w:val="34"/>
    <w:qFormat/>
    <w:uiPriority w:val="9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42">
    <w:name w:val="List Table 4 - Accent 6"/>
    <w:basedOn w:val="34"/>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3">
    <w:name w:val="List Table 5 Dark"/>
    <w:basedOn w:val="34"/>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4">
    <w:name w:val="List Table 5 Dark - Accent 1"/>
    <w:basedOn w:val="34"/>
    <w:qFormat/>
    <w:uiPriority w:val="99"/>
    <w:pPr>
      <w:overflowPunct w:val="0"/>
      <w:autoSpaceDE w:val="0"/>
      <w:autoSpaceDN w:val="0"/>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tblStylePr w:type="neCell"/>
    <w:tblStylePr w:type="nwCell"/>
    <w:tblStylePr w:type="seCell"/>
    <w:tblStylePr w:type="swCell"/>
  </w:style>
  <w:style w:type="table" w:customStyle="1" w:styleId="145">
    <w:name w:val="List Table 5 Dark - Accent 2"/>
    <w:basedOn w:val="34"/>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6">
    <w:name w:val="List Table 5 Dark - Accent 3"/>
    <w:basedOn w:val="34"/>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7">
    <w:name w:val="List Table 5 Dark - Accent 4"/>
    <w:basedOn w:val="34"/>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48">
    <w:name w:val="List Table 5 Dark - Accent 5"/>
    <w:basedOn w:val="34"/>
    <w:qFormat/>
    <w:uiPriority w:val="99"/>
    <w:pPr>
      <w:overflowPunct w:val="0"/>
      <w:autoSpaceDE w:val="0"/>
      <w:autoSpaceDN w:val="0"/>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tblStylePr w:type="neCell"/>
    <w:tblStylePr w:type="nwCell"/>
    <w:tblStylePr w:type="seCell"/>
    <w:tblStylePr w:type="swCell"/>
  </w:style>
  <w:style w:type="table" w:customStyle="1" w:styleId="149">
    <w:name w:val="List Table 5 Dark - Accent 6"/>
    <w:basedOn w:val="34"/>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0">
    <w:name w:val="List Table 6 Colorful"/>
    <w:basedOn w:val="34"/>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1">
    <w:name w:val="List Table 6 Colorful - Accent 1"/>
    <w:basedOn w:val="34"/>
    <w:qFormat/>
    <w:uiPriority w:val="99"/>
    <w:pPr>
      <w:overflowPunct w:val="0"/>
      <w:autoSpaceDE w:val="0"/>
      <w:autoSpaceDN w:val="0"/>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2">
    <w:name w:val="List Table 6 Colorful - Accent 2"/>
    <w:basedOn w:val="34"/>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6 Colorful - Accent 3"/>
    <w:basedOn w:val="34"/>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4"/>
    <w:basedOn w:val="34"/>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5"/>
    <w:basedOn w:val="34"/>
    <w:qFormat/>
    <w:uiPriority w:val="99"/>
    <w:pPr>
      <w:overflowPunct w:val="0"/>
      <w:autoSpaceDE w:val="0"/>
      <w:autoSpaceDN w:val="0"/>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6"/>
    <w:basedOn w:val="34"/>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st Table 7 Colorful"/>
    <w:basedOn w:val="34"/>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8">
    <w:name w:val="List Table 7 Colorful - Accent 1"/>
    <w:basedOn w:val="34"/>
    <w:qFormat/>
    <w:uiPriority w:val="99"/>
    <w:pPr>
      <w:overflowPunct w:val="0"/>
      <w:autoSpaceDE w:val="0"/>
      <w:autoSpaceDN w:val="0"/>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auto"/>
      </w:tc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9">
    <w:name w:val="List Table 7 Colorful - Accent 2"/>
    <w:basedOn w:val="34"/>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0">
    <w:name w:val="List Table 7 Colorful - Accent 3"/>
    <w:basedOn w:val="34"/>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4"/>
    <w:basedOn w:val="34"/>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5"/>
    <w:basedOn w:val="34"/>
    <w:qFormat/>
    <w:uiPriority w:val="99"/>
    <w:pPr>
      <w:overflowPunct w:val="0"/>
      <w:autoSpaceDE w:val="0"/>
      <w:autoSpaceDN w:val="0"/>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auto"/>
      </w:tc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6"/>
    <w:basedOn w:val="34"/>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4">
    <w:name w:val="Lined - Accent"/>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5">
    <w:name w:val="Lined - Accent 1"/>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6">
    <w:name w:val="Lined - Accent 2"/>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7">
    <w:name w:val="Lined - Accent 3"/>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8">
    <w:name w:val="Lined - Accent 4"/>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9">
    <w:name w:val="Lined - Accent 5"/>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70">
    <w:name w:val="Lined - Accent 6"/>
    <w:basedOn w:val="34"/>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1">
    <w:name w:val="Bordered &amp; Lined - Accent"/>
    <w:basedOn w:val="34"/>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2">
    <w:name w:val="Bordered &amp; Lined - Accent 1"/>
    <w:basedOn w:val="34"/>
    <w:qFormat/>
    <w:uiPriority w:val="99"/>
    <w:pPr>
      <w:overflowPunct w:val="0"/>
      <w:autoSpaceDE w:val="0"/>
      <w:autoSpaceDN w:val="0"/>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73">
    <w:name w:val="Bordered &amp; Lined - Accent 2"/>
    <w:basedOn w:val="34"/>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4">
    <w:name w:val="Bordered &amp; Lined - Accent 3"/>
    <w:basedOn w:val="34"/>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5">
    <w:name w:val="Bordered &amp; Lined - Accent 4"/>
    <w:basedOn w:val="34"/>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6">
    <w:name w:val="Bordered &amp; Lined - Accent 5"/>
    <w:basedOn w:val="34"/>
    <w:qFormat/>
    <w:uiPriority w:val="99"/>
    <w:pPr>
      <w:overflowPunct w:val="0"/>
      <w:autoSpaceDE w:val="0"/>
      <w:autoSpaceDN w:val="0"/>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77">
    <w:name w:val="Bordered &amp; Lined - Accent 6"/>
    <w:basedOn w:val="34"/>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8">
    <w:name w:val="Bordered"/>
    <w:basedOn w:val="34"/>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9">
    <w:name w:val="Bordered - Accent 1"/>
    <w:basedOn w:val="34"/>
    <w:qFormat/>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80">
    <w:name w:val="Bordered - Accent 2"/>
    <w:basedOn w:val="34"/>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1">
    <w:name w:val="Bordered - Accent 3"/>
    <w:basedOn w:val="34"/>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2">
    <w:name w:val="Bordered - Accent 4"/>
    <w:basedOn w:val="34"/>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3">
    <w:name w:val="Bordered - Accent 5"/>
    <w:basedOn w:val="34"/>
    <w:qFormat/>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4">
    <w:name w:val="Bordered - Accent 6"/>
    <w:basedOn w:val="34"/>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5">
    <w:name w:val="Footnote Text Char"/>
    <w:qFormat/>
    <w:uiPriority w:val="99"/>
    <w:rPr>
      <w:sz w:val="18"/>
    </w:rPr>
  </w:style>
  <w:style w:type="paragraph" w:customStyle="1" w:styleId="18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187">
    <w:name w:val="标题 2 字符"/>
    <w:basedOn w:val="36"/>
    <w:link w:val="4"/>
    <w:qFormat/>
    <w:uiPriority w:val="9"/>
    <w:rPr>
      <w:rFonts w:ascii="等线 Light" w:hAnsi="等线 Light" w:eastAsia="楷体_GB2312" w:cs="等线 Light"/>
      <w:b/>
      <w:bCs/>
      <w:kern w:val="2"/>
      <w:sz w:val="32"/>
      <w:szCs w:val="32"/>
    </w:rPr>
  </w:style>
  <w:style w:type="character" w:customStyle="1" w:styleId="188">
    <w:name w:val="标题 1 字符"/>
    <w:basedOn w:val="36"/>
    <w:link w:val="3"/>
    <w:qFormat/>
    <w:uiPriority w:val="9"/>
    <w:rPr>
      <w:rFonts w:eastAsia="方正黑体_GBK" w:cs="等线"/>
      <w:bCs/>
      <w:kern w:val="44"/>
      <w:sz w:val="32"/>
      <w:szCs w:val="44"/>
    </w:rPr>
  </w:style>
  <w:style w:type="character" w:customStyle="1" w:styleId="189">
    <w:name w:val="批注框文本 字符"/>
    <w:basedOn w:val="36"/>
    <w:link w:val="21"/>
    <w:semiHidden/>
    <w:qFormat/>
    <w:uiPriority w:val="99"/>
    <w:rPr>
      <w:sz w:val="18"/>
      <w:szCs w:val="18"/>
    </w:rPr>
  </w:style>
  <w:style w:type="character" w:customStyle="1" w:styleId="190">
    <w:name w:val="页眉 字符"/>
    <w:basedOn w:val="36"/>
    <w:link w:val="23"/>
    <w:qFormat/>
    <w:uiPriority w:val="99"/>
    <w:rPr>
      <w:rFonts w:eastAsia="方正仿宋_GBK" w:cs="等线"/>
      <w:kern w:val="2"/>
      <w:sz w:val="18"/>
      <w:szCs w:val="18"/>
    </w:rPr>
  </w:style>
  <w:style w:type="character" w:customStyle="1" w:styleId="191">
    <w:name w:val="页脚 字符"/>
    <w:basedOn w:val="36"/>
    <w:link w:val="22"/>
    <w:qFormat/>
    <w:uiPriority w:val="99"/>
    <w:rPr>
      <w:rFonts w:eastAsia="方正仿宋_GBK" w:cs="等线"/>
      <w:kern w:val="2"/>
      <w:sz w:val="18"/>
      <w:szCs w:val="18"/>
    </w:rPr>
  </w:style>
  <w:style w:type="paragraph" w:styleId="192">
    <w:name w:val="List Paragraph"/>
    <w:basedOn w:val="1"/>
    <w:qFormat/>
    <w:uiPriority w:val="99"/>
    <w:pPr>
      <w:ind w:firstLine="420"/>
    </w:pPr>
  </w:style>
  <w:style w:type="character" w:customStyle="1" w:styleId="193">
    <w:name w:val="标题 3 字符"/>
    <w:basedOn w:val="36"/>
    <w:link w:val="5"/>
    <w:qFormat/>
    <w:uiPriority w:val="9"/>
    <w:rPr>
      <w:rFonts w:eastAsia="方正仿宋_GBK" w:cs="等线"/>
      <w:b/>
      <w:bCs/>
      <w:kern w:val="2"/>
      <w:sz w:val="32"/>
      <w:szCs w:val="32"/>
    </w:rPr>
  </w:style>
  <w:style w:type="character" w:customStyle="1" w:styleId="194">
    <w:name w:val="标题 字符"/>
    <w:basedOn w:val="36"/>
    <w:link w:val="16"/>
    <w:qFormat/>
    <w:uiPriority w:val="10"/>
    <w:rPr>
      <w:rFonts w:ascii="等线 Light" w:hAnsi="等线 Light" w:eastAsia="方正小标宋简体" w:cs="等线 Light"/>
      <w:bCs/>
      <w:kern w:val="2"/>
      <w:sz w:val="36"/>
      <w:szCs w:val="32"/>
    </w:rPr>
  </w:style>
  <w:style w:type="character" w:customStyle="1" w:styleId="195">
    <w:name w:val="标题 4 字符"/>
    <w:basedOn w:val="36"/>
    <w:link w:val="6"/>
    <w:semiHidden/>
    <w:qFormat/>
    <w:uiPriority w:val="9"/>
    <w:rPr>
      <w:rFonts w:ascii="等线 Light" w:hAnsi="等线 Light" w:eastAsia="仿宋_GB2312" w:cs="等线 Light"/>
      <w:bCs/>
      <w:kern w:val="2"/>
      <w:sz w:val="32"/>
      <w:szCs w:val="28"/>
    </w:rPr>
  </w:style>
  <w:style w:type="character" w:customStyle="1" w:styleId="196">
    <w:name w:val="脚注文本 字符"/>
    <w:basedOn w:val="36"/>
    <w:link w:val="27"/>
    <w:semiHidden/>
    <w:qFormat/>
    <w:uiPriority w:val="99"/>
    <w:rPr>
      <w:rFonts w:eastAsia="方正仿宋_GBK" w:cs="等线"/>
      <w:kern w:val="2"/>
      <w:sz w:val="18"/>
      <w:szCs w:val="18"/>
    </w:rPr>
  </w:style>
  <w:style w:type="character" w:customStyle="1" w:styleId="197">
    <w:name w:val="纯文本 字符"/>
    <w:basedOn w:val="36"/>
    <w:link w:val="19"/>
    <w:qFormat/>
    <w:uiPriority w:val="99"/>
    <w:rPr>
      <w:rFonts w:ascii="宋体" w:hAnsi="Courier New" w:eastAsia="方正仿宋_GBK" w:cs="等线"/>
      <w:kern w:val="2"/>
      <w:sz w:val="32"/>
      <w:szCs w:val="22"/>
    </w:rPr>
  </w:style>
  <w:style w:type="character" w:customStyle="1" w:styleId="198">
    <w:name w:val="正文文本 字符"/>
    <w:basedOn w:val="36"/>
    <w:link w:val="15"/>
    <w:qFormat/>
    <w:uiPriority w:val="0"/>
    <w:rPr>
      <w:rFonts w:ascii="等线" w:hAnsi="等线" w:eastAsia="等线" w:cs="等线"/>
      <w:kern w:val="2"/>
      <w:sz w:val="21"/>
      <w:szCs w:val="22"/>
    </w:rPr>
  </w:style>
  <w:style w:type="character" w:customStyle="1" w:styleId="199">
    <w:name w:val="批注文字 字符"/>
    <w:basedOn w:val="36"/>
    <w:link w:val="14"/>
    <w:qFormat/>
    <w:uiPriority w:val="99"/>
    <w:rPr>
      <w:rFonts w:eastAsia="方正仿宋_GBK" w:cs="等线"/>
      <w:kern w:val="2"/>
      <w:sz w:val="32"/>
      <w:szCs w:val="22"/>
    </w:rPr>
  </w:style>
  <w:style w:type="character" w:customStyle="1" w:styleId="200">
    <w:name w:val="批注主题 字符"/>
    <w:basedOn w:val="199"/>
    <w:link w:val="33"/>
    <w:semiHidden/>
    <w:qFormat/>
    <w:uiPriority w:val="99"/>
    <w:rPr>
      <w:rFonts w:eastAsia="方正仿宋_GBK" w:cs="等线"/>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研究院模板.dotx</Template>
  <TotalTime>3</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2023-09-28T06:50:00Z</dcterms:created>
  <dc:creator>Momo</dc:creator>
  <cp:lastModifiedBy>ZKHL</cp:lastModifiedBy>
  <dcterms:modified xsi:type="dcterms:W3CDTF">2024-05-31T08:40:19Z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6247B92079B84931ABA6AD337DDCB3ED</vt:lpwstr>
  </property>
</Properties>
</file>