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光明区科技创新局关于</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eastAsia="zh-CN"/>
        </w:rPr>
        <w:t>深圳市</w:t>
      </w:r>
      <w:r>
        <w:rPr>
          <w:rFonts w:hint="eastAsia" w:ascii="方正小标宋简体" w:hAnsi="方正小标宋简体" w:eastAsia="方正小标宋简体" w:cs="方正小标宋简体"/>
          <w:color w:val="auto"/>
          <w:sz w:val="44"/>
          <w:szCs w:val="44"/>
        </w:rPr>
        <w:t>光明区</w:t>
      </w:r>
    </w:p>
    <w:p>
      <w:pPr>
        <w:ind w:left="0" w:lef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合成生物</w:t>
      </w:r>
      <w:r>
        <w:rPr>
          <w:rFonts w:hint="eastAsia" w:ascii="方正小标宋简体" w:hAnsi="方正小标宋简体" w:eastAsia="方正小标宋简体" w:cs="方正小标宋简体"/>
          <w:color w:val="auto"/>
          <w:sz w:val="44"/>
          <w:szCs w:val="44"/>
          <w:lang w:eastAsia="zh-CN"/>
        </w:rPr>
        <w:t>企业</w:t>
      </w:r>
      <w:r>
        <w:rPr>
          <w:rFonts w:hint="eastAsia" w:ascii="方正小标宋简体" w:hAnsi="方正小标宋简体" w:eastAsia="方正小标宋简体" w:cs="方正小标宋简体"/>
          <w:color w:val="auto"/>
          <w:sz w:val="44"/>
          <w:szCs w:val="44"/>
        </w:rPr>
        <w:t>认定</w:t>
      </w:r>
      <w:r>
        <w:rPr>
          <w:rFonts w:hint="eastAsia" w:ascii="方正小标宋简体" w:hAnsi="方正小标宋简体" w:eastAsia="方正小标宋简体" w:cs="方正小标宋简体"/>
          <w:color w:val="auto"/>
          <w:sz w:val="44"/>
          <w:szCs w:val="44"/>
          <w:lang w:eastAsia="zh-CN"/>
        </w:rPr>
        <w:t>与</w:t>
      </w:r>
      <w:r>
        <w:rPr>
          <w:rFonts w:hint="eastAsia" w:ascii="方正小标宋简体" w:hAnsi="方正小标宋简体" w:eastAsia="方正小标宋简体" w:cs="方正小标宋简体"/>
          <w:color w:val="auto"/>
          <w:sz w:val="44"/>
          <w:szCs w:val="44"/>
        </w:rPr>
        <w:t>管理</w:t>
      </w:r>
      <w:r>
        <w:rPr>
          <w:rFonts w:hint="eastAsia" w:ascii="方正小标宋简体" w:hAnsi="方正小标宋简体" w:eastAsia="方正小标宋简体" w:cs="方正小标宋简体"/>
          <w:color w:val="auto"/>
          <w:sz w:val="44"/>
          <w:szCs w:val="44"/>
          <w:lang w:eastAsia="zh-CN"/>
        </w:rPr>
        <w:t>暂行</w:t>
      </w:r>
      <w:r>
        <w:rPr>
          <w:rFonts w:hint="eastAsia" w:ascii="方正小标宋简体" w:hAnsi="方正小标宋简体" w:eastAsia="方正小标宋简体" w:cs="方正小标宋简体"/>
          <w:color w:val="auto"/>
          <w:sz w:val="44"/>
          <w:szCs w:val="44"/>
        </w:rPr>
        <w:t>办法</w:t>
      </w:r>
    </w:p>
    <w:p>
      <w:pPr>
        <w:ind w:left="0" w:leftChars="0" w:firstLine="0" w:firstLineChars="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rPr>
        <w:t>（征求意见稿）</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eastAsia="zh-CN"/>
        </w:rPr>
        <w:t>的起草说明</w:t>
      </w:r>
    </w:p>
    <w:p>
      <w:pPr>
        <w:rPr>
          <w:rFonts w:hint="default"/>
          <w:color w:val="auto"/>
          <w:lang w:val="en-US"/>
        </w:rPr>
      </w:pPr>
    </w:p>
    <w:p>
      <w:pPr>
        <w:rPr>
          <w:rFonts w:hint="eastAsia"/>
          <w:color w:val="auto"/>
          <w:lang w:val="en-US" w:eastAsia="zh-CN"/>
        </w:rPr>
      </w:pPr>
      <w:r>
        <w:rPr>
          <w:rFonts w:hint="eastAsia" w:ascii="仿宋_GB2312" w:hAnsi="仿宋_GB2312" w:eastAsia="仿宋_GB2312" w:cs="仿宋_GB2312"/>
          <w:color w:val="auto"/>
          <w:sz w:val="32"/>
          <w:szCs w:val="32"/>
        </w:rPr>
        <w:t>为</w:t>
      </w:r>
      <w:r>
        <w:rPr>
          <w:rFonts w:hint="eastAsia" w:ascii="仿宋_GB2312" w:hAnsi="仿宋_GB2312" w:cs="仿宋_GB2312"/>
          <w:color w:val="auto"/>
          <w:sz w:val="32"/>
          <w:szCs w:val="32"/>
          <w:lang w:eastAsia="zh-CN"/>
        </w:rPr>
        <w:t>进一步</w:t>
      </w:r>
      <w:r>
        <w:rPr>
          <w:rFonts w:hint="eastAsia" w:ascii="仿宋_GB2312" w:hAnsi="仿宋_GB2312" w:eastAsia="仿宋_GB2312" w:cs="仿宋_GB2312"/>
          <w:color w:val="auto"/>
          <w:sz w:val="32"/>
          <w:szCs w:val="32"/>
        </w:rPr>
        <w:t>规范光明区合成生物企业认定与管理工作，助力光明区合成生物创新链产业链融合发展，根据</w:t>
      </w:r>
      <w:r>
        <w:rPr>
          <w:rFonts w:hint="eastAsia" w:ascii="仿宋_GB2312" w:hAnsi="仿宋_GB2312" w:eastAsia="仿宋_GB2312" w:cs="仿宋_GB2312"/>
          <w:color w:val="auto"/>
          <w:sz w:val="32"/>
          <w:szCs w:val="32"/>
          <w:highlight w:val="none"/>
          <w:lang w:eastAsia="zh-CN"/>
        </w:rPr>
        <w:t>《光明区经济发展专项资金管理办法》（深光府规〔2023〕15号</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rPr>
        <w:t>《深圳市光明区关于支持合成生物创新链产业链融合发展的若干措施》</w:t>
      </w:r>
      <w:r>
        <w:rPr>
          <w:rFonts w:hint="eastAsia" w:ascii="仿宋_GB2312" w:hAnsi="仿宋_GB2312" w:eastAsia="仿宋_GB2312" w:cs="仿宋_GB2312"/>
          <w:color w:val="auto"/>
          <w:sz w:val="32"/>
          <w:szCs w:val="32"/>
          <w:highlight w:val="none"/>
          <w:lang w:eastAsia="zh-CN"/>
        </w:rPr>
        <w:t>（深光府规〔2023〕1号</w:t>
      </w:r>
      <w:r>
        <w:rPr>
          <w:rFonts w:hint="eastAsia" w:ascii="仿宋_GB2312" w:hAnsi="仿宋_GB2312" w:cs="仿宋_GB2312"/>
          <w:color w:val="auto"/>
          <w:sz w:val="32"/>
          <w:szCs w:val="32"/>
          <w:highlight w:val="none"/>
          <w:lang w:eastAsia="zh-CN"/>
        </w:rPr>
        <w:t>，</w:t>
      </w:r>
      <w:r>
        <w:rPr>
          <w:rFonts w:hint="eastAsia"/>
          <w:color w:val="auto"/>
          <w:lang w:val="en-US" w:eastAsia="zh-CN"/>
        </w:rPr>
        <w:t>以下简称“《措施》”</w:t>
      </w:r>
      <w:r>
        <w:rPr>
          <w:rFonts w:hint="eastAsia" w:ascii="仿宋_GB2312" w:hAnsi="仿宋_GB2312" w:eastAsia="仿宋_GB2312" w:cs="仿宋_GB2312"/>
          <w:color w:val="auto"/>
          <w:sz w:val="32"/>
          <w:szCs w:val="32"/>
          <w:lang w:eastAsia="zh-CN"/>
        </w:rPr>
        <w:t>）相关规定</w:t>
      </w:r>
      <w:r>
        <w:rPr>
          <w:rFonts w:hint="eastAsia" w:ascii="仿宋_GB2312" w:hAnsi="仿宋_GB2312" w:eastAsia="仿宋_GB2312" w:cs="仿宋_GB2312"/>
          <w:color w:val="auto"/>
          <w:sz w:val="32"/>
          <w:szCs w:val="32"/>
        </w:rPr>
        <w:t>，结合光明实际，我局</w:t>
      </w:r>
      <w:r>
        <w:rPr>
          <w:rFonts w:hint="eastAsia" w:ascii="仿宋_GB2312" w:hAnsi="仿宋_GB2312" w:cs="仿宋_GB2312"/>
          <w:color w:val="auto"/>
          <w:sz w:val="32"/>
          <w:szCs w:val="32"/>
          <w:lang w:eastAsia="zh-CN"/>
        </w:rPr>
        <w:t>起草了</w:t>
      </w:r>
      <w:r>
        <w:rPr>
          <w:rFonts w:hint="eastAsia" w:ascii="仿宋_GB2312" w:hAnsi="仿宋_GB2312" w:eastAsia="仿宋_GB2312" w:cs="仿宋_GB2312"/>
          <w:color w:val="auto"/>
          <w:sz w:val="32"/>
          <w:szCs w:val="32"/>
        </w:rPr>
        <w:t>《深圳市光明区合成生物企业认定与管理暂行办法（征求意见稿）》</w:t>
      </w:r>
      <w:r>
        <w:rPr>
          <w:rFonts w:hint="eastAsia"/>
          <w:color w:val="auto"/>
          <w:lang w:val="en-US" w:eastAsia="zh-CN"/>
        </w:rPr>
        <w:t>（以下简称“《办法》”），现将有关情况说明如下：</w:t>
      </w:r>
      <w:bookmarkStart w:id="0" w:name="_GoBack"/>
      <w:bookmarkEnd w:id="0"/>
    </w:p>
    <w:p>
      <w:pPr>
        <w:pStyle w:val="3"/>
        <w:rPr>
          <w:rFonts w:hint="eastAsia" w:ascii="黑体" w:hAnsi="黑体" w:eastAsia="黑体" w:cs="黑体"/>
          <w:color w:val="auto"/>
          <w:lang w:val="en-US" w:eastAsia="zh-CN"/>
        </w:rPr>
      </w:pPr>
      <w:r>
        <w:rPr>
          <w:rFonts w:hint="eastAsia" w:ascii="黑体" w:hAnsi="黑体" w:eastAsia="黑体" w:cs="黑体"/>
          <w:color w:val="auto"/>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color w:val="auto"/>
          <w:lang w:val="en-US" w:eastAsia="zh-CN"/>
        </w:rPr>
      </w:pPr>
      <w:r>
        <w:rPr>
          <w:rFonts w:hint="eastAsia" w:ascii="仿宋_GB2312" w:hAnsi="仿宋_GB2312" w:eastAsia="仿宋_GB2312" w:cs="仿宋_GB2312"/>
          <w:color w:val="auto"/>
          <w:spacing w:val="0"/>
          <w:kern w:val="2"/>
          <w:sz w:val="32"/>
          <w:szCs w:val="32"/>
        </w:rPr>
        <w:t>为深入贯彻落实《深圳市政府关于发展壮大战略性新兴产业集群和培育发展未来产业的意见》，加快实施《深圳市培育发展未来产业行动计划（2022-2025年）》，锚定世界一流科学城和深圳北部中心奋斗目标，推动合成生物创新链产业链深度融合，根据国家、省、市最新出台的相关文件精神及政策实施情况，修编</w:t>
      </w:r>
      <w:r>
        <w:rPr>
          <w:rFonts w:hint="eastAsia" w:ascii="仿宋_GB2312" w:hAnsi="仿宋_GB2312" w:cs="仿宋_GB2312"/>
          <w:color w:val="auto"/>
          <w:spacing w:val="0"/>
          <w:kern w:val="2"/>
          <w:sz w:val="32"/>
          <w:szCs w:val="32"/>
          <w:lang w:eastAsia="zh-CN"/>
        </w:rPr>
        <w:t>印发了</w:t>
      </w:r>
      <w:r>
        <w:rPr>
          <w:rFonts w:hint="eastAsia" w:ascii="仿宋_GB2312" w:hAnsi="仿宋_GB2312" w:eastAsia="仿宋_GB2312" w:cs="仿宋_GB2312"/>
          <w:color w:val="auto"/>
          <w:spacing w:val="0"/>
          <w:kern w:val="2"/>
          <w:sz w:val="32"/>
          <w:szCs w:val="32"/>
        </w:rPr>
        <w:t>《措施》</w:t>
      </w:r>
      <w:r>
        <w:rPr>
          <w:rFonts w:hint="eastAsia" w:ascii="仿宋_GB2312" w:hAnsi="仿宋_GB2312" w:cs="仿宋_GB2312"/>
          <w:color w:val="auto"/>
          <w:spacing w:val="0"/>
          <w:kern w:val="2"/>
          <w:sz w:val="32"/>
          <w:szCs w:val="32"/>
          <w:lang w:eastAsia="zh-CN"/>
        </w:rPr>
        <w:t>。</w:t>
      </w: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lang w:val="en-US" w:eastAsia="zh-CN"/>
        </w:rPr>
      </w:pPr>
      <w:r>
        <w:rPr>
          <w:rFonts w:hint="default" w:ascii="Times New Roman" w:hAnsi="Times New Roman" w:eastAsia="仿宋_GB2312" w:cs="Times New Roman"/>
          <w:color w:val="auto"/>
          <w:spacing w:val="0"/>
          <w:kern w:val="2"/>
          <w:sz w:val="32"/>
          <w:szCs w:val="32"/>
          <w:lang w:val="en-US" w:eastAsia="zh-CN" w:bidi="ar-SA"/>
        </w:rPr>
        <w:t>为</w:t>
      </w:r>
      <w:r>
        <w:rPr>
          <w:rFonts w:hint="eastAsia" w:ascii="Times New Roman" w:hAnsi="Times New Roman" w:eastAsia="仿宋_GB2312" w:cs="Times New Roman"/>
          <w:color w:val="auto"/>
          <w:spacing w:val="0"/>
          <w:kern w:val="2"/>
          <w:sz w:val="32"/>
          <w:szCs w:val="32"/>
          <w:lang w:val="en-US" w:eastAsia="zh-CN" w:bidi="ar-SA"/>
        </w:rPr>
        <w:t>便于《措施》实施与执行，</w:t>
      </w:r>
      <w:r>
        <w:rPr>
          <w:rFonts w:ascii="Times New Roman" w:hAnsi="Times New Roman" w:eastAsia="仿宋_GB2312" w:cs="Times New Roman"/>
          <w:color w:val="auto"/>
          <w:sz w:val="32"/>
          <w:szCs w:val="32"/>
        </w:rPr>
        <w:t>加快实施创新驱动发展战略，支持粤港澳大湾区前沿科技领域升级，营造良好创新创业生态环境，助力</w:t>
      </w:r>
      <w:r>
        <w:rPr>
          <w:rFonts w:hint="eastAsia" w:ascii="Times New Roman" w:hAnsi="Times New Roman" w:eastAsia="仿宋_GB2312" w:cs="Times New Roman"/>
          <w:color w:val="auto"/>
          <w:sz w:val="32"/>
          <w:szCs w:val="32"/>
        </w:rPr>
        <w:t>光明区合成生物科技创新链产业链融合发展，</w:t>
      </w:r>
      <w:r>
        <w:rPr>
          <w:rFonts w:hint="eastAsia" w:ascii="Times New Roman" w:hAnsi="Times New Roman" w:eastAsia="仿宋_GB2312" w:cs="Times New Roman"/>
          <w:color w:val="auto"/>
          <w:sz w:val="32"/>
          <w:szCs w:val="32"/>
          <w:lang w:eastAsia="zh-CN"/>
        </w:rPr>
        <w:t>进一步</w:t>
      </w:r>
      <w:r>
        <w:rPr>
          <w:rFonts w:ascii="Times New Roman" w:hAnsi="Times New Roman" w:eastAsia="仿宋_GB2312" w:cs="Times New Roman"/>
          <w:color w:val="auto"/>
          <w:sz w:val="32"/>
          <w:szCs w:val="32"/>
        </w:rPr>
        <w:t>规范</w:t>
      </w:r>
      <w:r>
        <w:rPr>
          <w:rFonts w:hint="eastAsia" w:ascii="Times New Roman" w:hAnsi="Times New Roman" w:eastAsia="仿宋_GB2312" w:cs="Times New Roman"/>
          <w:color w:val="auto"/>
          <w:sz w:val="32"/>
          <w:szCs w:val="32"/>
        </w:rPr>
        <w:t>深圳市光明区合成生物</w:t>
      </w:r>
      <w:r>
        <w:rPr>
          <w:rFonts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rPr>
        <w:t>认定</w:t>
      </w:r>
      <w:r>
        <w:rPr>
          <w:rFonts w:hint="eastAsia" w:ascii="Times New Roman" w:hAnsi="Times New Roman" w:eastAsia="仿宋_GB2312" w:cs="Times New Roman"/>
          <w:color w:val="auto"/>
          <w:sz w:val="32"/>
          <w:szCs w:val="32"/>
          <w:lang w:eastAsia="zh-CN"/>
        </w:rPr>
        <w:t>与</w:t>
      </w:r>
      <w:r>
        <w:rPr>
          <w:rFonts w:hint="eastAsia" w:ascii="Times New Roman" w:hAnsi="Times New Roman" w:eastAsia="仿宋_GB2312" w:cs="Times New Roman"/>
          <w:color w:val="auto"/>
          <w:sz w:val="32"/>
          <w:szCs w:val="32"/>
        </w:rPr>
        <w:t>管理工作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我局</w:t>
      </w:r>
      <w:r>
        <w:rPr>
          <w:rFonts w:hint="eastAsia" w:ascii="仿宋_GB2312" w:hAnsi="仿宋_GB2312" w:eastAsia="仿宋_GB2312" w:cs="仿宋_GB2312"/>
          <w:color w:val="auto"/>
          <w:sz w:val="32"/>
          <w:szCs w:val="32"/>
          <w:lang w:val="en-US" w:eastAsia="zh-CN"/>
        </w:rPr>
        <w:t>结合光明区实际，</w:t>
      </w:r>
      <w:r>
        <w:rPr>
          <w:rFonts w:hint="eastAsia" w:ascii="Times New Roman" w:hAnsi="Times New Roman" w:eastAsia="仿宋_GB2312" w:cs="Times New Roman"/>
          <w:color w:val="auto"/>
          <w:sz w:val="32"/>
          <w:szCs w:val="32"/>
          <w:lang w:eastAsia="zh-CN"/>
        </w:rPr>
        <w:t>起草</w:t>
      </w:r>
      <w:r>
        <w:rPr>
          <w:rFonts w:hint="eastAsia" w:ascii="Times New Roman" w:hAnsi="Times New Roman" w:eastAsia="仿宋_GB2312" w:cs="Times New Roman"/>
          <w:color w:val="auto"/>
          <w:sz w:val="32"/>
          <w:szCs w:val="32"/>
        </w:rPr>
        <w:t>《办法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按照</w:t>
      </w:r>
      <w:r>
        <w:rPr>
          <w:rFonts w:hint="eastAsia" w:ascii="Times New Roman" w:hAnsi="Times New Roman" w:eastAsia="仿宋_GB2312" w:cs="Times New Roman"/>
          <w:color w:val="auto"/>
          <w:sz w:val="32"/>
          <w:szCs w:val="32"/>
          <w:lang w:eastAsia="zh-CN"/>
        </w:rPr>
        <w:t>《办法》</w:t>
      </w:r>
      <w:r>
        <w:rPr>
          <w:rFonts w:hint="eastAsia" w:ascii="Times New Roman" w:hAnsi="Times New Roman" w:eastAsia="仿宋_GB2312" w:cs="Times New Roman"/>
          <w:color w:val="auto"/>
          <w:sz w:val="32"/>
          <w:szCs w:val="32"/>
        </w:rPr>
        <w:t>认定的合成生物企业，方可申请享受《措施》有关优惠和扶持政策。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《办法》共六个章节十七条。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第一章 总则：</w:t>
      </w:r>
      <w:r>
        <w:rPr>
          <w:rFonts w:hint="default" w:ascii="Times New Roman" w:hAnsi="Times New Roman" w:eastAsia="仿宋_GB2312" w:cs="Times New Roman"/>
          <w:b w:val="0"/>
          <w:bCs w:val="0"/>
          <w:color w:val="auto"/>
          <w:sz w:val="32"/>
          <w:szCs w:val="32"/>
          <w:lang w:val="en-US" w:eastAsia="zh-CN"/>
        </w:rPr>
        <w:t>分别对编制背景、适用范围、服务对象、有关原则进行了说明解释，明确了按照《办法》认定的合成生物企业，方可申请享受《措施》有关优惠和扶持政策；明确了合成生物企业认定管理工作坚持为合成生物企业服务、促进合成生物产业发展的宗旨，遵循公开、公平、公正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仿宋_GB2312" w:cs="Times New Roman"/>
          <w:b/>
          <w:bCs/>
          <w:color w:val="auto"/>
          <w:sz w:val="32"/>
          <w:szCs w:val="32"/>
          <w:lang w:val="en-US" w:eastAsia="zh-CN"/>
        </w:rPr>
        <w:t>第二章 认定条件：</w:t>
      </w:r>
      <w:r>
        <w:rPr>
          <w:rFonts w:hint="default" w:ascii="Times New Roman" w:hAnsi="Times New Roman" w:eastAsia="仿宋_GB2312" w:cs="Times New Roman"/>
          <w:b w:val="0"/>
          <w:bCs w:val="0"/>
          <w:color w:val="auto"/>
          <w:sz w:val="32"/>
          <w:szCs w:val="32"/>
          <w:lang w:val="en-US" w:eastAsia="zh-CN"/>
        </w:rPr>
        <w:t>明确了合成生物企业包括从事合成生物各细分领域技术研发的相关企业与</w:t>
      </w:r>
      <w:r>
        <w:rPr>
          <w:rFonts w:hint="default" w:ascii="Times New Roman" w:hAnsi="Times New Roman" w:eastAsia="仿宋_GB2312" w:cs="Times New Roman"/>
          <w:color w:val="auto"/>
          <w:sz w:val="32"/>
          <w:szCs w:val="32"/>
        </w:rPr>
        <w:t>从事合成生物技术应用与支撑领域相关企业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val="en-US" w:eastAsia="zh-CN" w:bidi="ar-SA"/>
        </w:rPr>
        <w:t>结合光明科学城合成生物企业现状与未来发展特点，从企业资质、研发能力、转化能力多维度设立认定标准，同时限定不得认定及撤销的情形。</w:t>
      </w:r>
    </w:p>
    <w:p>
      <w:pPr>
        <w:pStyle w:val="2"/>
        <w:pageBreakBefore w:val="0"/>
        <w:kinsoku/>
        <w:overflowPunct/>
        <w:topLinePunct w:val="0"/>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（一）细分领域</w:t>
      </w:r>
    </w:p>
    <w:p>
      <w:pPr>
        <w:pageBreakBefore w:val="0"/>
        <w:kinsoku/>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1.从事合成生物各细分领域技术研发的相关企业，包括基因合成组装、DNA存储与生物计算领域、生物分子、途径与线路工程领域、宿主与群落的工程化领域、合成生物理论构建、建模与自动化领域。</w:t>
      </w:r>
    </w:p>
    <w:p>
      <w:pPr>
        <w:pageBreakBefore w:val="0"/>
        <w:kinsoku/>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2.从事合成生物技术应用相关企业，包括生命健康领域、食品与农业领域、材料与能源领域、环境与可持续发展领域。</w:t>
      </w:r>
    </w:p>
    <w:p>
      <w:pPr>
        <w:pageBreakBefore w:val="0"/>
        <w:kinsoku/>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3.合成生物产业配套领域相关企业，包括为合成生物技术研发及应用领域产业链提供关键技术支撑及配套服务的相关企业。</w:t>
      </w:r>
    </w:p>
    <w:p>
      <w:pPr>
        <w:pStyle w:val="2"/>
        <w:pageBreakBefore w:val="0"/>
        <w:kinsoku/>
        <w:overflowPunct/>
        <w:topLinePunct w:val="0"/>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（二）企业资质</w:t>
      </w:r>
    </w:p>
    <w:p>
      <w:pPr>
        <w:pStyle w:val="7"/>
        <w:pageBreakBefore w:val="0"/>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1.法人资格：</w:t>
      </w:r>
      <w:r>
        <w:rPr>
          <w:rFonts w:hint="eastAsia" w:ascii="仿宋_GB2312" w:hAnsi="仿宋_GB2312" w:eastAsia="仿宋_GB2312" w:cs="仿宋_GB2312"/>
          <w:color w:val="auto"/>
          <w:sz w:val="32"/>
          <w:szCs w:val="32"/>
        </w:rPr>
        <w:t>登记地、纳税地和主要经营场地均在光明区，具备独立法人资格。</w:t>
      </w:r>
    </w:p>
    <w:p>
      <w:pPr>
        <w:pStyle w:val="7"/>
        <w:pageBreakBefore w:val="0"/>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2.主营业务：</w:t>
      </w:r>
      <w:r>
        <w:rPr>
          <w:rFonts w:hint="eastAsia" w:ascii="仿宋_GB2312" w:hAnsi="仿宋_GB2312" w:eastAsia="仿宋_GB2312" w:cs="仿宋_GB2312"/>
          <w:color w:val="auto"/>
          <w:sz w:val="32"/>
          <w:szCs w:val="32"/>
        </w:rPr>
        <w:t>符合总则中主营业务定义的合成生物相关企业</w:t>
      </w:r>
      <w:r>
        <w:rPr>
          <w:rFonts w:hint="eastAsia" w:ascii="仿宋_GB2312" w:hAnsi="仿宋_GB2312" w:eastAsia="仿宋_GB2312" w:cs="仿宋_GB2312"/>
          <w:color w:val="auto"/>
          <w:sz w:val="32"/>
          <w:szCs w:val="32"/>
          <w:lang w:eastAsia="zh-CN"/>
        </w:rPr>
        <w:t>。</w:t>
      </w:r>
    </w:p>
    <w:p>
      <w:pPr>
        <w:pStyle w:val="2"/>
        <w:pageBreakBefore w:val="0"/>
        <w:kinsoku/>
        <w:overflowPunct/>
        <w:topLinePunct w:val="0"/>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（三）经济效益或研发能力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1.经济效益或研发投入：</w:t>
      </w:r>
      <w:r>
        <w:rPr>
          <w:rFonts w:hint="default" w:ascii="仿宋_GB2312" w:hAnsi="仿宋_GB2312" w:eastAsia="仿宋_GB2312" w:cs="仿宋_GB2312"/>
          <w:color w:val="auto"/>
          <w:sz w:val="32"/>
          <w:szCs w:val="32"/>
          <w:lang w:val="en"/>
        </w:rPr>
        <w:t>上年度主营业务收入不低于200万元</w:t>
      </w:r>
      <w:r>
        <w:rPr>
          <w:rFonts w:hint="eastAsia" w:ascii="仿宋_GB2312" w:hAnsi="仿宋_GB2312" w:eastAsia="仿宋_GB2312" w:cs="仿宋_GB2312"/>
          <w:color w:val="auto"/>
          <w:sz w:val="32"/>
          <w:szCs w:val="32"/>
          <w:lang w:val="en" w:eastAsia="zh-CN"/>
        </w:rPr>
        <w:t>，且主营业务收入</w:t>
      </w:r>
      <w:r>
        <w:rPr>
          <w:rFonts w:hint="default" w:ascii="仿宋_GB2312" w:hAnsi="仿宋_GB2312" w:eastAsia="仿宋_GB2312" w:cs="仿宋_GB2312"/>
          <w:color w:val="auto"/>
          <w:sz w:val="32"/>
          <w:szCs w:val="32"/>
          <w:lang w:val="en"/>
        </w:rPr>
        <w:t>占全部营业收入比例不低于60%</w:t>
      </w:r>
      <w:r>
        <w:rPr>
          <w:rFonts w:hint="eastAsia" w:ascii="仿宋_GB2312" w:hAnsi="仿宋_GB2312" w:eastAsia="仿宋_GB2312" w:cs="仿宋_GB2312"/>
          <w:color w:val="auto"/>
          <w:sz w:val="32"/>
          <w:szCs w:val="32"/>
          <w:lang w:val="en-US" w:eastAsia="zh-CN"/>
        </w:rPr>
        <w:t>或上年度研发投入不低于</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00万元，且合成生物领域的研发投入占全部研发投入比例不低于60%。</w:t>
      </w:r>
    </w:p>
    <w:p>
      <w:pPr>
        <w:pStyle w:val="7"/>
        <w:pageBreakBefore w:val="0"/>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2.研发人员：</w:t>
      </w:r>
      <w:r>
        <w:rPr>
          <w:rFonts w:hint="eastAsia" w:ascii="仿宋_GB2312" w:hAnsi="仿宋_GB2312" w:eastAsia="仿宋_GB2312" w:cs="仿宋_GB2312"/>
          <w:b w:val="0"/>
          <w:bCs w:val="0"/>
          <w:color w:val="auto"/>
          <w:sz w:val="32"/>
          <w:szCs w:val="32"/>
          <w:lang w:val="en-US" w:eastAsia="zh-CN"/>
        </w:rPr>
        <w:t>上年度从事研发和相关技术创新活动的科技人员占企业职工总数的比例不低于15%。</w:t>
      </w:r>
    </w:p>
    <w:p>
      <w:pPr>
        <w:pStyle w:val="7"/>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（四）转化能力</w:t>
      </w:r>
    </w:p>
    <w:p>
      <w:pPr>
        <w:pStyle w:val="7"/>
        <w:pageBreakBefore w:val="0"/>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发明专利：</w:t>
      </w:r>
      <w:r>
        <w:rPr>
          <w:rFonts w:hint="eastAsia" w:ascii="仿宋_GB2312" w:hAnsi="仿宋_GB2312" w:eastAsia="仿宋_GB2312" w:cs="仿宋_GB2312"/>
          <w:b w:val="0"/>
          <w:bCs w:val="0"/>
          <w:color w:val="auto"/>
          <w:kern w:val="2"/>
          <w:sz w:val="32"/>
          <w:szCs w:val="32"/>
          <w:lang w:val="en-US" w:eastAsia="zh-CN" w:bidi="ar-SA"/>
        </w:rPr>
        <w:t>拥有已授权发明专利且产权明确清晰，无知识产权争议。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sz w:val="32"/>
          <w:szCs w:val="32"/>
          <w:lang w:eastAsia="zh-CN"/>
        </w:rPr>
        <w:t>第三章</w:t>
      </w:r>
      <w:r>
        <w:rPr>
          <w:rFonts w:hint="eastAsia" w:ascii="仿宋_GB2312" w:hAnsi="仿宋_GB2312" w:eastAsia="仿宋_GB2312" w:cs="仿宋_GB2312"/>
          <w:b/>
          <w:bCs/>
          <w:color w:val="auto"/>
          <w:sz w:val="32"/>
          <w:szCs w:val="32"/>
          <w:lang w:val="en-US" w:eastAsia="zh-CN"/>
        </w:rPr>
        <w:t xml:space="preserve"> 认定程序：</w:t>
      </w:r>
      <w:r>
        <w:rPr>
          <w:rFonts w:hint="eastAsia" w:ascii="仿宋_GB2312" w:hAnsi="仿宋_GB2312" w:eastAsia="仿宋_GB2312" w:cs="仿宋_GB2312"/>
          <w:b w:val="0"/>
          <w:bCs w:val="0"/>
          <w:color w:val="auto"/>
          <w:sz w:val="32"/>
          <w:szCs w:val="32"/>
          <w:lang w:val="en-US" w:eastAsia="zh-CN"/>
        </w:rPr>
        <w:t>明确光明区合成生物企业认定程序。一是提交合成生物企业资质、研发能力、转化能力所需证明材料；二是光明区科技主管部门开展认定核查与评审工作，通过专家评审、征求意见、上会审议、挂网公示等方式，依法依规认定申报项目。</w:t>
      </w:r>
    </w:p>
    <w:p>
      <w:pPr>
        <w:pStyle w:val="7"/>
        <w:pageBreakBefore w:val="0"/>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lang w:val="en-US" w:eastAsia="zh-CN" w:bidi="ar-SA"/>
        </w:rPr>
        <w:t>第四章 评估管理：</w:t>
      </w:r>
      <w:r>
        <w:rPr>
          <w:rFonts w:hint="eastAsia" w:ascii="仿宋_GB2312" w:hAnsi="仿宋_GB2312" w:eastAsia="仿宋_GB2312" w:cs="仿宋_GB2312"/>
          <w:color w:val="auto"/>
          <w:sz w:val="32"/>
          <w:szCs w:val="32"/>
          <w:lang w:val="en-US" w:eastAsia="zh-CN"/>
        </w:rPr>
        <w:t>明确列出光明区合成生物企业认定成功后的评估与管理事项，以及考核不合格的情况。强调</w:t>
      </w:r>
      <w:r>
        <w:rPr>
          <w:rFonts w:hint="eastAsia" w:ascii="仿宋_GB2312" w:hAnsi="仿宋_GB2312" w:eastAsia="仿宋_GB2312" w:cs="仿宋_GB2312"/>
          <w:color w:val="auto"/>
          <w:sz w:val="32"/>
          <w:szCs w:val="32"/>
        </w:rPr>
        <w:t>光明区科技创新局负责建立合成生物企业数据库，并对通过认定企业实行年度评估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对年度考核不合格的企业取消其认定资格并从合成生物企业数据库除名。</w:t>
      </w:r>
    </w:p>
    <w:p>
      <w:pPr>
        <w:pStyle w:val="2"/>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第五章</w:t>
      </w:r>
      <w:r>
        <w:rPr>
          <w:rFonts w:hint="eastAsia" w:ascii="仿宋_GB2312" w:hAnsi="仿宋_GB2312" w:eastAsia="仿宋_GB2312" w:cs="仿宋_GB2312"/>
          <w:color w:val="auto"/>
          <w:sz w:val="32"/>
          <w:szCs w:val="32"/>
          <w:lang w:val="en-US" w:eastAsia="zh-CN"/>
        </w:rPr>
        <w:t xml:space="preserve"> 监督：</w:t>
      </w:r>
      <w:r>
        <w:rPr>
          <w:rFonts w:hint="eastAsia" w:ascii="仿宋_GB2312" w:hAnsi="仿宋_GB2312" w:eastAsia="仿宋_GB2312" w:cs="仿宋_GB2312"/>
          <w:b w:val="0"/>
          <w:bCs w:val="0"/>
          <w:color w:val="auto"/>
          <w:sz w:val="32"/>
          <w:szCs w:val="32"/>
          <w:lang w:val="en-US" w:eastAsia="zh-CN"/>
        </w:rPr>
        <w:t>明确受资助的相关附加条款，以及对申请方、评审方和专项资金管理方违规违法行为的处罚办法。</w:t>
      </w:r>
    </w:p>
    <w:p>
      <w:pPr>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color w:val="auto"/>
          <w:lang w:val="en-US"/>
        </w:rPr>
      </w:pPr>
      <w:r>
        <w:rPr>
          <w:rFonts w:hint="eastAsia" w:ascii="仿宋_GB2312" w:hAnsi="仿宋_GB2312" w:eastAsia="仿宋_GB2312" w:cs="仿宋_GB2312"/>
          <w:b/>
          <w:bCs/>
          <w:color w:val="auto"/>
          <w:sz w:val="32"/>
          <w:szCs w:val="32"/>
          <w:lang w:val="en-US" w:eastAsia="zh-CN"/>
        </w:rPr>
        <w:t>第六章 附则：</w:t>
      </w:r>
      <w:r>
        <w:rPr>
          <w:rFonts w:hint="eastAsia" w:ascii="仿宋_GB2312" w:hAnsi="仿宋_GB2312" w:eastAsia="仿宋_GB2312" w:cs="仿宋_GB2312"/>
          <w:b w:val="0"/>
          <w:bCs w:val="0"/>
          <w:color w:val="auto"/>
          <w:sz w:val="32"/>
          <w:szCs w:val="32"/>
          <w:lang w:val="en-US" w:eastAsia="zh-CN"/>
        </w:rPr>
        <w:t>《办法》由光明区科技创新局负责解释，自</w:t>
      </w:r>
      <w:r>
        <w:rPr>
          <w:rFonts w:hint="eastAsia" w:ascii="仿宋_GB2312" w:hAnsi="仿宋_GB2312" w:cs="仿宋_GB2312"/>
          <w:b w:val="0"/>
          <w:bCs w:val="0"/>
          <w:color w:val="auto"/>
          <w:sz w:val="32"/>
          <w:szCs w:val="32"/>
          <w:highlight w:val="none"/>
          <w:lang w:val="en-US" w:eastAsia="zh-CN"/>
        </w:rPr>
        <w:t>印发之日</w:t>
      </w:r>
      <w:r>
        <w:rPr>
          <w:rFonts w:hint="eastAsia" w:ascii="仿宋_GB2312" w:hAnsi="仿宋_GB2312" w:eastAsia="仿宋_GB2312" w:cs="仿宋_GB2312"/>
          <w:b w:val="0"/>
          <w:bCs w:val="0"/>
          <w:color w:val="auto"/>
          <w:sz w:val="32"/>
          <w:szCs w:val="32"/>
          <w:highlight w:val="none"/>
          <w:lang w:val="en-US" w:eastAsia="zh-CN"/>
        </w:rPr>
        <w:t>起施行</w:t>
      </w:r>
      <w:r>
        <w:rPr>
          <w:rFonts w:hint="eastAsia" w:ascii="仿宋_GB2312" w:hAnsi="仿宋_GB2312" w:eastAsia="仿宋_GB2312" w:cs="仿宋_GB2312"/>
          <w:b w:val="0"/>
          <w:bCs w:val="0"/>
          <w:color w:val="auto"/>
          <w:sz w:val="32"/>
          <w:szCs w:val="32"/>
          <w:lang w:val="en-US" w:eastAsia="zh-CN"/>
        </w:rPr>
        <w:t>，有效期三年。</w:t>
      </w:r>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71A9C"/>
    <w:rsid w:val="35F2E7DF"/>
    <w:rsid w:val="538EE643"/>
    <w:rsid w:val="6CE71A9C"/>
    <w:rsid w:val="BFBFA350"/>
    <w:rsid w:val="D86EACBB"/>
    <w:rsid w:val="FEC6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line="590" w:lineRule="exact"/>
      <w:jc w:val="center"/>
      <w:outlineLvl w:val="0"/>
    </w:pPr>
    <w:rPr>
      <w:rFonts w:ascii="Calibri" w:hAnsi="Calibri" w:eastAsia="宋体"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560" w:lineRule="exact"/>
      <w:ind w:left="0" w:firstLine="880" w:firstLineChars="200"/>
    </w:pPr>
    <w:rPr>
      <w:rFonts w:hint="eastAsia" w:ascii="Times New Roman" w:hAnsi="Times New Roman" w:cs="Times New Roman"/>
      <w:szCs w:val="32"/>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2024-07-04T11:25:00Z</dcterms:created>
  <dc:creator>kcj</dc:creator>
  <cp:lastModifiedBy>陈宏燕</cp:lastModifiedBy>
  <dcterms:modified xsi:type="dcterms:W3CDTF">2024-07-04T10:35:47Z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