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60" w:lineRule="exact"/>
        <w:ind w:left="420" w:leftChars="200"/>
        <w:jc w:val="both"/>
        <w:textAlignment w:val="auto"/>
        <w:rPr>
          <w:rFonts w:ascii="Calibri" w:hAnsi="Calibri"/>
        </w:rPr>
      </w:pPr>
    </w:p>
    <w:p>
      <w:pPr>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等线" w:eastAsia="方正小标宋简体"/>
          <w:sz w:val="44"/>
          <w:szCs w:val="44"/>
          <w:lang w:eastAsia="zh-CN"/>
        </w:rPr>
      </w:pPr>
      <w:r>
        <w:rPr>
          <w:rFonts w:hint="eastAsia" w:ascii="方正小标宋简体" w:hAnsi="等线" w:eastAsia="方正小标宋简体"/>
          <w:sz w:val="44"/>
          <w:szCs w:val="44"/>
        </w:rPr>
        <w:t>《</w:t>
      </w:r>
      <w:r>
        <w:rPr>
          <w:rFonts w:hint="eastAsia" w:ascii="方正小标宋简体" w:hAnsi="等线" w:eastAsia="方正小标宋简体"/>
          <w:sz w:val="44"/>
          <w:szCs w:val="44"/>
          <w:lang w:eastAsia="zh-CN"/>
        </w:rPr>
        <w:t>深圳市光明区支持新型储能产业加快</w:t>
      </w:r>
    </w:p>
    <w:p>
      <w:pPr>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hAnsi="等线" w:eastAsia="方正小标宋简体"/>
          <w:sz w:val="44"/>
          <w:szCs w:val="44"/>
        </w:rPr>
      </w:pPr>
      <w:r>
        <w:rPr>
          <w:rFonts w:hint="eastAsia" w:ascii="方正小标宋简体" w:hAnsi="等线" w:eastAsia="方正小标宋简体"/>
          <w:sz w:val="44"/>
          <w:szCs w:val="44"/>
          <w:lang w:eastAsia="zh-CN"/>
        </w:rPr>
        <w:t>发展扶持计划操作规程</w:t>
      </w:r>
      <w:r>
        <w:rPr>
          <w:rFonts w:hint="eastAsia" w:ascii="方正小标宋简体" w:hAnsi="等线" w:eastAsia="方正小标宋简体"/>
          <w:sz w:val="44"/>
          <w:szCs w:val="44"/>
        </w:rPr>
        <w:t>》起草说明</w:t>
      </w:r>
    </w:p>
    <w:p>
      <w:pPr>
        <w:pageBreakBefore w:val="0"/>
        <w:widowControl/>
        <w:kinsoku/>
        <w:wordWrap/>
        <w:overflowPunct/>
        <w:topLinePunct w:val="0"/>
        <w:autoSpaceDE/>
        <w:autoSpaceDN/>
        <w:bidi w:val="0"/>
        <w:adjustRightInd w:val="0"/>
        <w:snapToGrid w:val="0"/>
        <w:spacing w:line="560" w:lineRule="exact"/>
        <w:jc w:val="both"/>
        <w:textAlignment w:val="auto"/>
        <w:rPr>
          <w:rFonts w:ascii="仿宋_GB2312" w:hAnsi="等线" w:eastAsia="仿宋_GB2312"/>
          <w:sz w:val="32"/>
          <w:szCs w:val="44"/>
        </w:rPr>
      </w:pPr>
    </w:p>
    <w:p>
      <w:pPr>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rPr>
        <w:t>为</w:t>
      </w:r>
      <w:r>
        <w:rPr>
          <w:rFonts w:hint="eastAsia" w:ascii="仿宋_GB2312" w:hAnsi="等线" w:eastAsia="仿宋_GB2312"/>
          <w:sz w:val="32"/>
          <w:szCs w:val="44"/>
          <w:lang w:val="en-US" w:eastAsia="zh-CN"/>
        </w:rPr>
        <w:t>积极落实光明区新型储能产业相关扶持政策，</w:t>
      </w:r>
      <w:r>
        <w:rPr>
          <w:rFonts w:hint="eastAsia" w:ascii="仿宋_GB2312" w:hAnsi="仿宋_GB2312" w:eastAsia="仿宋_GB2312" w:cs="仿宋_GB2312"/>
          <w:bCs/>
          <w:sz w:val="32"/>
          <w:szCs w:val="32"/>
          <w:lang w:val="en-US"/>
        </w:rPr>
        <w:t>规范</w:t>
      </w:r>
      <w:r>
        <w:rPr>
          <w:rFonts w:hint="eastAsia" w:ascii="仿宋_GB2312" w:hAnsi="仿宋_GB2312" w:eastAsia="仿宋_GB2312" w:cs="仿宋_GB2312"/>
          <w:bCs/>
          <w:sz w:val="32"/>
          <w:szCs w:val="32"/>
          <w:lang w:val="en-US" w:eastAsia="zh-CN"/>
        </w:rPr>
        <w:t>新型储能产业加快发展扶持计划</w:t>
      </w:r>
      <w:r>
        <w:rPr>
          <w:rFonts w:hint="eastAsia" w:ascii="仿宋_GB2312" w:hAnsi="仿宋_GB2312" w:eastAsia="仿宋_GB2312" w:cs="仿宋_GB2312"/>
          <w:bCs/>
          <w:sz w:val="32"/>
          <w:szCs w:val="32"/>
          <w:lang w:val="en-US"/>
        </w:rPr>
        <w:t>的组织实施，提高资金使用效益和管理水平，</w:t>
      </w:r>
      <w:r>
        <w:rPr>
          <w:rFonts w:hint="eastAsia" w:ascii="仿宋_GB2312" w:hAnsi="仿宋_GB2312" w:eastAsia="仿宋_GB2312" w:cs="仿宋_GB2312"/>
          <w:bCs/>
          <w:sz w:val="32"/>
          <w:szCs w:val="32"/>
          <w:lang w:val="en-US" w:eastAsia="zh-CN"/>
        </w:rPr>
        <w:t>根据光明区经济发展专项资金管理办法等相关规定，结合光明区实际，光明区发展和改革局牵头起草了《深圳市光明区支持新型储能产业加快发展扶持计划操作规程（征求意见稿）》（以下简称《操作规程》），现将有关情况说明如下：</w:t>
      </w:r>
    </w:p>
    <w:p>
      <w:pPr>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1"/>
        <w:rPr>
          <w:rFonts w:ascii="仿宋_GB2312" w:hAnsi="黑体" w:eastAsia="黑体"/>
          <w:bCs/>
          <w:sz w:val="32"/>
          <w:szCs w:val="32"/>
        </w:rPr>
      </w:pPr>
      <w:r>
        <w:rPr>
          <w:rFonts w:hint="eastAsia" w:ascii="仿宋_GB2312" w:hAnsi="黑体" w:eastAsia="黑体"/>
          <w:bCs/>
          <w:sz w:val="32"/>
          <w:szCs w:val="32"/>
        </w:rPr>
        <w:t>一、起草背景</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等线" w:eastAsia="仿宋_GB2312"/>
          <w:sz w:val="32"/>
          <w:szCs w:val="44"/>
          <w:u w:val="none"/>
        </w:rPr>
      </w:pPr>
      <w:r>
        <w:rPr>
          <w:rFonts w:hint="eastAsia" w:ascii="仿宋_GB2312" w:hAnsi="等线" w:eastAsia="仿宋_GB2312"/>
          <w:sz w:val="32"/>
          <w:szCs w:val="44"/>
          <w:u w:val="none"/>
          <w:lang w:val="en-US" w:eastAsia="zh-CN"/>
        </w:rPr>
        <w:t>2024年8月，光明区出台了</w:t>
      </w:r>
      <w:r>
        <w:rPr>
          <w:rFonts w:hint="eastAsia" w:ascii="仿宋_GB2312" w:hAnsi="等线" w:eastAsia="仿宋_GB2312"/>
          <w:sz w:val="32"/>
          <w:szCs w:val="44"/>
          <w:u w:val="none"/>
          <w:lang w:eastAsia="zh-CN"/>
        </w:rPr>
        <w:t>《深圳市光明区关于支持新型储能产业加快发展的若干措施》（以下简称《若干措施》），</w:t>
      </w:r>
      <w:r>
        <w:rPr>
          <w:rFonts w:hint="eastAsia" w:ascii="仿宋_GB2312" w:hAnsi="等线" w:eastAsia="仿宋_GB2312"/>
          <w:sz w:val="32"/>
          <w:szCs w:val="44"/>
          <w:u w:val="none"/>
          <w:lang w:val="en-US" w:eastAsia="zh-CN"/>
        </w:rPr>
        <w:t>围绕打造新型储能技术创新策源地、打造新型储能先进制造高地、打造新型储能多元应用示范基地、打造新型储能生态圈四个方面提出16条支持举措，对相关企业、项目进行资金扶持，积极推进新能源技术创新、产品创新、模式创新和应用场景创新，促进产业聚集度进一步提升。</w:t>
      </w:r>
      <w:r>
        <w:rPr>
          <w:rFonts w:hint="eastAsia" w:ascii="仿宋_GB2312" w:hAnsi="等线" w:eastAsia="仿宋_GB2312"/>
          <w:sz w:val="32"/>
          <w:szCs w:val="44"/>
          <w:u w:val="none"/>
        </w:rPr>
        <w:t>为</w:t>
      </w:r>
      <w:r>
        <w:rPr>
          <w:rFonts w:hint="eastAsia" w:ascii="仿宋_GB2312" w:hAnsi="等线" w:eastAsia="仿宋_GB2312"/>
          <w:sz w:val="32"/>
          <w:szCs w:val="44"/>
          <w:u w:val="none"/>
          <w:lang w:val="en-US" w:eastAsia="zh-CN"/>
        </w:rPr>
        <w:t>保障</w:t>
      </w:r>
      <w:bookmarkStart w:id="0" w:name="_GoBack"/>
      <w:bookmarkEnd w:id="0"/>
      <w:r>
        <w:rPr>
          <w:rFonts w:hint="eastAsia" w:ascii="仿宋_GB2312" w:hAnsi="等线" w:eastAsia="仿宋_GB2312"/>
          <w:sz w:val="32"/>
          <w:szCs w:val="44"/>
          <w:u w:val="none"/>
          <w:lang w:val="en-US" w:eastAsia="zh-CN"/>
        </w:rPr>
        <w:t>政策落实，</w:t>
      </w:r>
      <w:r>
        <w:rPr>
          <w:rFonts w:hint="eastAsia" w:ascii="仿宋_GB2312" w:hAnsi="仿宋_GB2312" w:eastAsia="仿宋_GB2312" w:cs="仿宋_GB2312"/>
          <w:bCs/>
          <w:sz w:val="32"/>
          <w:szCs w:val="32"/>
          <w:lang w:val="en-US" w:eastAsia="zh-CN"/>
        </w:rPr>
        <w:t>光明区发展和改革局牵头</w:t>
      </w:r>
      <w:r>
        <w:rPr>
          <w:rFonts w:hint="eastAsia" w:ascii="仿宋_GB2312" w:hAnsi="等线" w:eastAsia="仿宋_GB2312"/>
          <w:sz w:val="32"/>
          <w:szCs w:val="44"/>
          <w:u w:val="none"/>
        </w:rPr>
        <w:t>研究</w:t>
      </w:r>
      <w:r>
        <w:rPr>
          <w:rFonts w:hint="eastAsia" w:ascii="仿宋_GB2312" w:hAnsi="等线" w:eastAsia="仿宋_GB2312"/>
          <w:sz w:val="32"/>
          <w:szCs w:val="44"/>
          <w:u w:val="none"/>
          <w:lang w:val="en-US" w:eastAsia="zh-CN"/>
        </w:rPr>
        <w:t>制定</w:t>
      </w:r>
      <w:r>
        <w:rPr>
          <w:rFonts w:hint="eastAsia" w:ascii="仿宋_GB2312" w:hAnsi="等线" w:eastAsia="仿宋_GB2312"/>
          <w:sz w:val="32"/>
          <w:szCs w:val="44"/>
          <w:u w:val="none"/>
        </w:rPr>
        <w:t>了《操作规程》。</w:t>
      </w:r>
    </w:p>
    <w:p>
      <w:pPr>
        <w:keepNext/>
        <w:keepLines/>
        <w:adjustRightInd w:val="0"/>
        <w:snapToGrid w:val="0"/>
        <w:spacing w:line="560" w:lineRule="exact"/>
        <w:ind w:firstLine="640" w:firstLineChars="200"/>
        <w:outlineLvl w:val="1"/>
        <w:rPr>
          <w:rFonts w:ascii="仿宋_GB2312" w:hAnsi="黑体" w:eastAsia="黑体"/>
          <w:bCs/>
          <w:sz w:val="32"/>
          <w:szCs w:val="32"/>
        </w:rPr>
      </w:pPr>
      <w:r>
        <w:rPr>
          <w:rFonts w:hint="eastAsia" w:ascii="仿宋_GB2312" w:hAnsi="黑体" w:eastAsia="黑体"/>
          <w:bCs/>
          <w:sz w:val="32"/>
          <w:szCs w:val="32"/>
        </w:rPr>
        <w:t>二、政策依据</w:t>
      </w:r>
    </w:p>
    <w:p>
      <w:pPr>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1"/>
        <w:rPr>
          <w:rFonts w:hint="eastAsia" w:ascii="仿宋_GB2312" w:hAnsi="黑体" w:eastAsia="黑体"/>
          <w:bCs/>
          <w:sz w:val="32"/>
          <w:szCs w:val="32"/>
          <w:lang w:eastAsia="zh-CN"/>
        </w:rPr>
      </w:pPr>
      <w:r>
        <w:rPr>
          <w:rFonts w:hint="eastAsia" w:ascii="仿宋_GB2312" w:hAnsi="仿宋_GB2312" w:eastAsia="仿宋_GB2312" w:cs="仿宋_GB2312"/>
          <w:bCs/>
          <w:sz w:val="32"/>
          <w:szCs w:val="32"/>
          <w:lang w:val="en-US" w:eastAsia="zh-CN"/>
        </w:rPr>
        <w:t>《深圳市光明区关于支持新型储能产业加快发展的若干措施》（深光府规〔202</w:t>
      </w:r>
      <w:r>
        <w:rPr>
          <w:rFonts w:hint="eastAsia" w:ascii="仿宋_GB2312" w:hAnsi="仿宋_GB2312" w:eastAsia="仿宋_GB2312" w:cs="仿宋_GB2312"/>
          <w:bCs/>
          <w:sz w:val="32"/>
          <w:szCs w:val="32"/>
          <w:lang w:val="en" w:eastAsia="zh-CN"/>
        </w:rPr>
        <w:t>4</w:t>
      </w:r>
      <w:r>
        <w:rPr>
          <w:rFonts w:hint="eastAsia" w:ascii="仿宋_GB2312" w:hAnsi="仿宋_GB2312" w:eastAsia="仿宋_GB2312" w:cs="仿宋_GB2312"/>
          <w:bCs/>
          <w:sz w:val="32"/>
          <w:szCs w:val="32"/>
          <w:lang w:val="en-US" w:eastAsia="zh-CN"/>
        </w:rPr>
        <w:t>〕14号）、《光明区经济发展专项资金管理办法》（深光府规〔2023〕15号）。</w:t>
      </w:r>
    </w:p>
    <w:p>
      <w:pPr>
        <w:keepNext/>
        <w:keepLines/>
        <w:pageBreakBefore w:val="0"/>
        <w:kinsoku/>
        <w:wordWrap/>
        <w:overflowPunct/>
        <w:topLinePunct w:val="0"/>
        <w:autoSpaceDE/>
        <w:autoSpaceDN/>
        <w:bidi w:val="0"/>
        <w:adjustRightInd w:val="0"/>
        <w:snapToGrid w:val="0"/>
        <w:spacing w:line="560" w:lineRule="exact"/>
        <w:ind w:firstLine="640" w:firstLineChars="200"/>
        <w:jc w:val="both"/>
        <w:textAlignment w:val="auto"/>
        <w:outlineLvl w:val="1"/>
        <w:rPr>
          <w:rFonts w:ascii="仿宋_GB2312" w:hAnsi="黑体" w:eastAsia="黑体"/>
          <w:bCs/>
          <w:sz w:val="32"/>
          <w:szCs w:val="32"/>
        </w:rPr>
      </w:pPr>
      <w:r>
        <w:rPr>
          <w:rFonts w:hint="eastAsia" w:ascii="仿宋_GB2312" w:hAnsi="黑体" w:eastAsia="黑体"/>
          <w:bCs/>
          <w:sz w:val="32"/>
          <w:szCs w:val="32"/>
          <w:lang w:eastAsia="zh-CN"/>
        </w:rPr>
        <w:t>三、</w:t>
      </w:r>
      <w:r>
        <w:rPr>
          <w:rFonts w:hint="eastAsia" w:ascii="仿宋_GB2312" w:hAnsi="黑体" w:eastAsia="黑体"/>
          <w:bCs/>
          <w:sz w:val="32"/>
          <w:szCs w:val="32"/>
        </w:rPr>
        <w:t>主要内容</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等线" w:eastAsia="仿宋_GB2312"/>
          <w:sz w:val="32"/>
          <w:szCs w:val="44"/>
        </w:rPr>
      </w:pPr>
      <w:r>
        <w:rPr>
          <w:rFonts w:hint="eastAsia" w:ascii="仿宋_GB2312" w:hAnsi="仿宋_GB2312" w:eastAsia="仿宋_GB2312" w:cs="仿宋_GB2312"/>
          <w:bCs/>
          <w:sz w:val="32"/>
          <w:szCs w:val="32"/>
          <w:lang w:val="en-US" w:eastAsia="zh-CN"/>
        </w:rPr>
        <w:t>操作规程共七章三十三条。</w:t>
      </w:r>
      <w:r>
        <w:rPr>
          <w:rFonts w:hint="eastAsia" w:ascii="仿宋_GB2312" w:hAnsi="等线" w:eastAsia="仿宋_GB2312"/>
          <w:sz w:val="32"/>
          <w:szCs w:val="44"/>
        </w:rPr>
        <w:t>主要内容如下：</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第一章总则，共四条。主要内容包括操作规程的依据、资金来源、资助方式和管理原则等。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第二章支持对象、方式、标准和项目申报条件，共十六条。主要内容包括各扶持方向的支持对象、资助方式、对应资助标准及项目申报条件等。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第三章项目申报，共两条。主要内容包括项目申报的流程和申报原则等。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第四章项目审核，共两条。主要内容包括项目的受理和核准类、评审类项目对应审核流程等。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第五章项目管理和绩效评价，共三条。主要内容包括不予资助情形及区相关主管部门和申报单位在开展监督管理与绩效评价中的责任和义务等。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第六章监督检查，共三条。主要内容包括第三方机构、申请单位和区相关主管部门的行为规范以及违法违规处理方式等。</w:t>
      </w:r>
    </w:p>
    <w:p>
      <w:pPr>
        <w:pageBreakBefore w:val="0"/>
        <w:widowControl/>
        <w:kinsoku/>
        <w:wordWrap/>
        <w:overflowPunct/>
        <w:topLinePunct w:val="0"/>
        <w:autoSpaceDE/>
        <w:autoSpaceDN/>
        <w:bidi w:val="0"/>
        <w:adjustRightInd w:val="0"/>
        <w:snapToGrid w:val="0"/>
        <w:spacing w:line="560" w:lineRule="exact"/>
        <w:ind w:firstLine="640" w:firstLineChars="200"/>
        <w:jc w:val="both"/>
        <w:textAlignment w:val="auto"/>
      </w:pPr>
      <w:r>
        <w:rPr>
          <w:rFonts w:hint="eastAsia" w:ascii="仿宋_GB2312" w:hAnsi="仿宋_GB2312" w:eastAsia="仿宋_GB2312" w:cs="仿宋_GB2312"/>
          <w:bCs/>
          <w:sz w:val="32"/>
          <w:szCs w:val="32"/>
          <w:lang w:val="en-US" w:eastAsia="zh-CN"/>
        </w:rPr>
        <w:t>第七章附则，共两条。主要说明操作规程所称相关名词和项目的界定范围、操作规程解释权及执行时间等。</w:t>
      </w:r>
    </w:p>
    <w:sectPr>
      <w:footerReference r:id="rId3"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 w:name="KSO_WPS_MARK_KEY" w:val="89586a1d-1371-4181-89b7-50f1a9429663"/>
  </w:docVars>
  <w:rsids>
    <w:rsidRoot w:val="26372351"/>
    <w:rsid w:val="02A029F5"/>
    <w:rsid w:val="15FFC8FD"/>
    <w:rsid w:val="1AFFCB21"/>
    <w:rsid w:val="1FEE0D58"/>
    <w:rsid w:val="1FF78D77"/>
    <w:rsid w:val="217FBD0D"/>
    <w:rsid w:val="26372351"/>
    <w:rsid w:val="26F7ABD7"/>
    <w:rsid w:val="2971132A"/>
    <w:rsid w:val="2E9B4F92"/>
    <w:rsid w:val="33AF0E04"/>
    <w:rsid w:val="34EF0FC6"/>
    <w:rsid w:val="3BDFCBDC"/>
    <w:rsid w:val="3ED754A5"/>
    <w:rsid w:val="4F0F72F6"/>
    <w:rsid w:val="4FBE2806"/>
    <w:rsid w:val="559F7CF6"/>
    <w:rsid w:val="5E3BA749"/>
    <w:rsid w:val="5E863000"/>
    <w:rsid w:val="5EEF8F96"/>
    <w:rsid w:val="5EFE98F8"/>
    <w:rsid w:val="5FC716C0"/>
    <w:rsid w:val="5FFF61B9"/>
    <w:rsid w:val="66A27815"/>
    <w:rsid w:val="6BAFB0E7"/>
    <w:rsid w:val="6F4F31BD"/>
    <w:rsid w:val="6F793CBB"/>
    <w:rsid w:val="6F7F9912"/>
    <w:rsid w:val="6FBBDE53"/>
    <w:rsid w:val="6FFEF612"/>
    <w:rsid w:val="73F653BB"/>
    <w:rsid w:val="74FDB459"/>
    <w:rsid w:val="77B6087D"/>
    <w:rsid w:val="77BC4777"/>
    <w:rsid w:val="77CF47FA"/>
    <w:rsid w:val="79D349C7"/>
    <w:rsid w:val="7B1D13F8"/>
    <w:rsid w:val="7DE5A373"/>
    <w:rsid w:val="7DFBCEEB"/>
    <w:rsid w:val="7E7F28E8"/>
    <w:rsid w:val="7F7ED0ED"/>
    <w:rsid w:val="7F7F8DEA"/>
    <w:rsid w:val="7FA123EA"/>
    <w:rsid w:val="8AED4C18"/>
    <w:rsid w:val="8F7B2B03"/>
    <w:rsid w:val="9FCED229"/>
    <w:rsid w:val="9FDC52C8"/>
    <w:rsid w:val="A6F788D2"/>
    <w:rsid w:val="AEEF4D18"/>
    <w:rsid w:val="AFAB68EF"/>
    <w:rsid w:val="AFFD7127"/>
    <w:rsid w:val="B7FC72C1"/>
    <w:rsid w:val="B7FD2ECB"/>
    <w:rsid w:val="B9762110"/>
    <w:rsid w:val="BFA37D5F"/>
    <w:rsid w:val="C9BF4D1D"/>
    <w:rsid w:val="D5DB6302"/>
    <w:rsid w:val="D7BD8A7A"/>
    <w:rsid w:val="DAFF7364"/>
    <w:rsid w:val="DBEFBBE1"/>
    <w:rsid w:val="DBFFB6C3"/>
    <w:rsid w:val="DF8A84CE"/>
    <w:rsid w:val="DFBF5C32"/>
    <w:rsid w:val="DFF412B3"/>
    <w:rsid w:val="E1AF0018"/>
    <w:rsid w:val="E5F6EDDA"/>
    <w:rsid w:val="EB7FD02F"/>
    <w:rsid w:val="ED9F515C"/>
    <w:rsid w:val="EFBE28F7"/>
    <w:rsid w:val="EFFD18C5"/>
    <w:rsid w:val="F278FC92"/>
    <w:rsid w:val="F39C0297"/>
    <w:rsid w:val="F51D2565"/>
    <w:rsid w:val="F777E2F2"/>
    <w:rsid w:val="F77A52E9"/>
    <w:rsid w:val="F7FB8E47"/>
    <w:rsid w:val="FB9B0A77"/>
    <w:rsid w:val="FD5C4C66"/>
    <w:rsid w:val="FDAD2078"/>
    <w:rsid w:val="FF2A972A"/>
    <w:rsid w:val="FF2FC70F"/>
    <w:rsid w:val="FF474C2C"/>
    <w:rsid w:val="FF7F67C5"/>
    <w:rsid w:val="FF9FD7A8"/>
    <w:rsid w:val="FFEEDBC6"/>
    <w:rsid w:val="FFFF3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0" w:firstLine="880" w:firstLineChars="200"/>
    </w:pPr>
    <w:rPr>
      <w:rFonts w:hint="eastAsia" w:ascii="Times New Roman" w:hAnsi="Times New Roman" w:cs="Times New Roma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line="0" w:lineRule="atLeast"/>
      <w:jc w:val="center"/>
    </w:pPr>
    <w:rPr>
      <w:rFonts w:ascii="Arial" w:hAnsi="Arial" w:eastAsia="黑体" w:cs="Times New Roman"/>
      <w:sz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1231</Words>
  <Characters>1248</Characters>
  <Lines>0</Lines>
  <Paragraphs>0</Paragraphs>
  <TotalTime>1</TotalTime>
  <ScaleCrop>false</ScaleCrop>
  <LinksUpToDate>false</LinksUpToDate>
  <CharactersWithSpaces>1248</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2024-06-08T08:32:00Z</dcterms:created>
  <dc:creator>i天。</dc:creator>
  <cp:lastModifiedBy>user</cp:lastModifiedBy>
  <cp:lastPrinted>2024-06-08T16:20:00Z</cp:lastPrinted>
  <dcterms:modified xsi:type="dcterms:W3CDTF">2024-09-20T11:31:13Z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A93A155747ECDF8B5F56616679F4CC42</vt:lpwstr>
  </property>
</Properties>
</file>