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widowControl/>
        <w:spacing w:before="454" w:beforeAutospacing="0" w:after="454" w:afterAutospacing="0"/>
        <w:ind w:left="454" w:right="454"/>
        <w:jc w:val="center"/>
        <w:outlineLvl w:val="0"/>
        <w:rPr>
          <w:rFonts w:ascii="黑体" w:hAnsi="宋体" w:eastAsia="黑体" w:cs="黑体"/>
          <w:color w:val="auto"/>
          <w:sz w:val="40"/>
          <w:szCs w:val="40"/>
        </w:rPr>
      </w:pPr>
      <w:bookmarkStart w:id="0" w:name="_Toc225306494"/>
      <w:bookmarkStart w:id="1" w:name="_Toc36604187"/>
      <w:bookmarkStart w:id="2" w:name="_Toc73521629"/>
      <w:bookmarkStart w:id="3" w:name="_Toc73517632"/>
      <w:bookmarkStart w:id="4" w:name="_Toc101074865"/>
      <w:bookmarkStart w:id="5" w:name="_Toc73518110"/>
      <w:bookmarkStart w:id="6" w:name="_Toc73521541"/>
      <w:bookmarkStart w:id="7" w:name="_Toc225245647"/>
      <w:bookmarkStart w:id="8" w:name="_Toc100052355"/>
      <w:r>
        <w:rPr>
          <w:rFonts w:hint="eastAsia" w:ascii="黑体" w:hAnsi="黑体" w:eastAsia="黑体" w:cs="黑体"/>
          <w:color w:val="auto"/>
          <w:sz w:val="40"/>
          <w:szCs w:val="40"/>
        </w:rPr>
        <w:t>光明区教育局关于购买光明新村幼儿园装修全过程造价咨询服务的</w:t>
      </w:r>
      <w:r>
        <w:rPr>
          <w:rFonts w:hint="eastAsia" w:ascii="黑体" w:hAnsi="宋体" w:eastAsia="黑体" w:cs="黑体"/>
          <w:color w:val="auto"/>
          <w:sz w:val="40"/>
          <w:szCs w:val="40"/>
        </w:rPr>
        <w:t>招标文件信息</w:t>
      </w:r>
    </w:p>
    <w:tbl>
      <w:tblPr>
        <w:tblStyle w:val="48"/>
        <w:tblW w:w="0" w:type="auto"/>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3"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项目编号：</w:t>
            </w:r>
          </w:p>
        </w:tc>
        <w:tc>
          <w:tcPr>
            <w:tcW w:w="5220" w:type="dxa"/>
            <w:vAlign w:val="center"/>
          </w:tcPr>
          <w:p>
            <w:pPr>
              <w:widowControl/>
              <w:jc w:val="left"/>
              <w:rPr>
                <w:b/>
                <w:color w:val="auto"/>
                <w:sz w:val="30"/>
                <w:szCs w:val="30"/>
              </w:rPr>
            </w:pP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项目名称：</w:t>
            </w:r>
          </w:p>
        </w:tc>
        <w:tc>
          <w:tcPr>
            <w:tcW w:w="5220" w:type="dxa"/>
            <w:vAlign w:val="center"/>
          </w:tcPr>
          <w:p>
            <w:pPr>
              <w:widowControl/>
              <w:jc w:val="left"/>
              <w:rPr>
                <w:color w:val="auto"/>
                <w:sz w:val="30"/>
                <w:szCs w:val="30"/>
              </w:rPr>
            </w:pPr>
            <w:r>
              <w:rPr>
                <w:rFonts w:hint="eastAsia"/>
                <w:color w:val="auto"/>
                <w:sz w:val="30"/>
                <w:szCs w:val="30"/>
              </w:rPr>
              <w:t>光明区教育局关于购买光明新村幼儿园装修全过程造</w:t>
            </w:r>
            <w:bookmarkStart w:id="31" w:name="_GoBack"/>
            <w:bookmarkEnd w:id="31"/>
            <w:r>
              <w:rPr>
                <w:rFonts w:hint="eastAsia"/>
                <w:color w:val="auto"/>
                <w:sz w:val="30"/>
                <w:szCs w:val="30"/>
              </w:rPr>
              <w:t>价咨询服务</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包 号：</w:t>
            </w:r>
          </w:p>
        </w:tc>
        <w:tc>
          <w:tcPr>
            <w:tcW w:w="5220" w:type="dxa"/>
            <w:vAlign w:val="center"/>
          </w:tcPr>
          <w:p>
            <w:pPr>
              <w:widowControl/>
              <w:jc w:val="left"/>
              <w:rPr>
                <w:rFonts w:hint="default" w:eastAsia="宋体"/>
                <w:color w:val="auto"/>
                <w:sz w:val="30"/>
                <w:szCs w:val="30"/>
                <w:lang w:val="en-US" w:eastAsia="zh-CN"/>
              </w:rPr>
            </w:pPr>
            <w:r>
              <w:rPr>
                <w:rFonts w:hint="eastAsia"/>
                <w:color w:val="auto"/>
                <w:sz w:val="30"/>
                <w:szCs w:val="30"/>
                <w:lang w:val="en-US" w:eastAsia="zh-CN"/>
              </w:rPr>
              <w:t>A</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项目类型：</w:t>
            </w:r>
          </w:p>
        </w:tc>
        <w:tc>
          <w:tcPr>
            <w:tcW w:w="5220" w:type="dxa"/>
            <w:vAlign w:val="center"/>
          </w:tcPr>
          <w:p>
            <w:pPr>
              <w:widowControl/>
              <w:jc w:val="left"/>
              <w:rPr>
                <w:color w:val="auto"/>
                <w:sz w:val="30"/>
                <w:szCs w:val="30"/>
              </w:rPr>
            </w:pPr>
            <w:r>
              <w:rPr>
                <w:rFonts w:hint="eastAsia" w:ascii="宋体" w:hAnsi="宋体" w:cs="宋体"/>
                <w:color w:val="auto"/>
                <w:kern w:val="0"/>
                <w:sz w:val="30"/>
                <w:szCs w:val="30"/>
                <w:lang w:bidi="ar"/>
              </w:rPr>
              <w:t>服务</w:t>
            </w:r>
            <w:r>
              <w:rPr>
                <w:rFonts w:ascii="宋体" w:hAnsi="宋体" w:cs="宋体"/>
                <w:color w:val="auto"/>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采购方式：</w:t>
            </w:r>
          </w:p>
        </w:tc>
        <w:tc>
          <w:tcPr>
            <w:tcW w:w="5220" w:type="dxa"/>
            <w:vAlign w:val="center"/>
          </w:tcPr>
          <w:p>
            <w:pPr>
              <w:widowControl/>
              <w:jc w:val="left"/>
              <w:rPr>
                <w:color w:val="auto"/>
                <w:sz w:val="30"/>
                <w:szCs w:val="30"/>
              </w:rPr>
            </w:pPr>
            <w:r>
              <w:rPr>
                <w:rFonts w:ascii="宋体" w:hAnsi="宋体" w:cs="宋体"/>
                <w:color w:val="auto"/>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货币类型：</w:t>
            </w:r>
          </w:p>
        </w:tc>
        <w:tc>
          <w:tcPr>
            <w:tcW w:w="5220" w:type="dxa"/>
            <w:vAlign w:val="center"/>
          </w:tcPr>
          <w:p>
            <w:pPr>
              <w:widowControl/>
              <w:jc w:val="left"/>
              <w:rPr>
                <w:color w:val="auto"/>
                <w:sz w:val="30"/>
                <w:szCs w:val="30"/>
              </w:rPr>
            </w:pPr>
            <w:r>
              <w:rPr>
                <w:rFonts w:ascii="宋体" w:hAnsi="宋体" w:cs="宋体"/>
                <w:color w:val="auto"/>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评标方法：</w:t>
            </w:r>
          </w:p>
        </w:tc>
        <w:tc>
          <w:tcPr>
            <w:tcW w:w="5220" w:type="dxa"/>
            <w:vAlign w:val="center"/>
          </w:tcPr>
          <w:p>
            <w:pPr>
              <w:widowControl/>
              <w:jc w:val="left"/>
              <w:rPr>
                <w:color w:val="auto"/>
                <w:sz w:val="30"/>
                <w:szCs w:val="30"/>
              </w:rPr>
            </w:pPr>
            <w:r>
              <w:rPr>
                <w:rFonts w:ascii="宋体" w:hAnsi="宋体" w:cs="宋体"/>
                <w:color w:val="auto"/>
                <w:kern w:val="0"/>
                <w:sz w:val="30"/>
                <w:szCs w:val="30"/>
                <w:lang w:bidi="ar"/>
              </w:rPr>
              <w:t>综合评分法（新价格分算法）</w:t>
            </w:r>
          </w:p>
        </w:tc>
      </w:tr>
    </w:tbl>
    <w:p>
      <w:pPr>
        <w:pStyle w:val="43"/>
        <w:widowControl/>
        <w:jc w:val="center"/>
        <w:outlineLvl w:val="1"/>
        <w:rPr>
          <w:rFonts w:ascii="黑体" w:hAnsi="宋体" w:eastAsia="黑体" w:cs="黑体"/>
          <w:color w:val="auto"/>
          <w:sz w:val="40"/>
          <w:szCs w:val="40"/>
        </w:rPr>
      </w:pPr>
      <w:r>
        <w:rPr>
          <w:rFonts w:hint="eastAsia" w:ascii="黑体" w:hAnsi="宋体" w:eastAsia="黑体" w:cs="黑体"/>
          <w:color w:val="auto"/>
          <w:sz w:val="40"/>
          <w:szCs w:val="40"/>
        </w:rPr>
        <w:br w:type="page"/>
      </w:r>
      <w:r>
        <w:rPr>
          <w:rFonts w:hint="eastAsia" w:ascii="黑体" w:hAnsi="宋体" w:eastAsia="黑体" w:cs="黑体"/>
          <w:color w:val="auto"/>
          <w:sz w:val="40"/>
          <w:szCs w:val="40"/>
        </w:rPr>
        <w:t>资格性审查表</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投标人不具备招标文件所列的资格要求，或未提交相应的资格证明资料（详见《招标公告》"投标人资格要求")；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投标人不具备国家有关法律规定的有关资质。</w:t>
            </w:r>
          </w:p>
        </w:tc>
      </w:tr>
    </w:tbl>
    <w:p>
      <w:pPr>
        <w:pStyle w:val="43"/>
        <w:widowControl/>
        <w:spacing w:before="280" w:beforeAutospacing="0"/>
        <w:jc w:val="center"/>
        <w:outlineLvl w:val="1"/>
        <w:rPr>
          <w:rFonts w:ascii="黑体" w:hAnsi="宋体" w:eastAsia="黑体" w:cs="黑体"/>
          <w:color w:val="auto"/>
          <w:sz w:val="40"/>
          <w:szCs w:val="40"/>
        </w:rPr>
      </w:pPr>
      <w:r>
        <w:rPr>
          <w:rFonts w:hint="eastAsia" w:ascii="黑体" w:hAnsi="宋体" w:eastAsia="黑体" w:cs="黑体"/>
          <w:color w:val="auto"/>
          <w:sz w:val="40"/>
          <w:szCs w:val="40"/>
        </w:rPr>
        <w:t>符合性审查表</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出现将一个包或一个标段中的内容拆开投标；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对同一货物投标时，提供两套或以上的投标方案(招标文件规定允许有替代方案情况除外)；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投标总价或分项报价超出财政预算限额的；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同一项目出现两个或以上报价，且根据招标文件通用条款“33.2 算术错误将按以下方法更正”内容，无法确定有效报价的；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未按招标文件所提供的样式填写《投标函》；未按招标文件所提供的《履约承诺函》进行承诺；未按招标文件对投标文件组成的要求提供投标文件（投标文件组成不完整）；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所投产品、工程、服务在质量、技术、方案等方面没有实质性满足招标文件要求（是否实质性满足招标文件要求，由评审委员会根据招标文件注明的不允许偏离的实质性要求和条件来做出评判）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7</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投标文件载明的交货期未满足招标文件规定的期限；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出现投标人报价低于其成本且不能做出合理说明；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《技术规格偏离表》填写不全、不实；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投标报价有严重缺漏项目，或投标报价对招标文件规定的货物清单项目及数量进行修改；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hint="eastAsia" w:ascii="宋体" w:hAnsi="宋体" w:cs="宋体"/>
                <w:color w:val="auto"/>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法律、法规规定的其他情形。</w:t>
            </w:r>
          </w:p>
        </w:tc>
      </w:tr>
    </w:tbl>
    <w:p>
      <w:pPr>
        <w:pStyle w:val="43"/>
        <w:widowControl/>
        <w:jc w:val="center"/>
        <w:outlineLvl w:val="1"/>
        <w:rPr>
          <w:rFonts w:ascii="黑体" w:hAnsi="宋体" w:eastAsia="黑体" w:cs="黑体"/>
          <w:color w:val="auto"/>
          <w:sz w:val="40"/>
          <w:szCs w:val="40"/>
        </w:rPr>
      </w:pPr>
      <w:r>
        <w:rPr>
          <w:rFonts w:hint="eastAsia" w:ascii="黑体" w:hAnsi="宋体" w:eastAsia="黑体" w:cs="黑体"/>
          <w:color w:val="auto"/>
          <w:sz w:val="40"/>
          <w:szCs w:val="40"/>
        </w:rPr>
        <w:br w:type="page"/>
      </w:r>
      <w:r>
        <w:rPr>
          <w:rFonts w:hint="eastAsia" w:ascii="黑体" w:hAnsi="宋体" w:eastAsia="黑体" w:cs="黑体"/>
          <w:color w:val="auto"/>
          <w:sz w:val="40"/>
          <w:szCs w:val="40"/>
        </w:rPr>
        <w:t>评标信息</w:t>
      </w:r>
    </w:p>
    <w:tbl>
      <w:tblPr>
        <w:tblStyle w:val="48"/>
        <w:tblW w:w="0" w:type="auto"/>
        <w:jc w:val="center"/>
        <w:tblCellSpacing w:w="0" w:type="dxa"/>
        <w:tblLayout w:type="fixed"/>
        <w:tblCellMar>
          <w:top w:w="45" w:type="dxa"/>
          <w:left w:w="45" w:type="dxa"/>
          <w:bottom w:w="45" w:type="dxa"/>
          <w:right w:w="45" w:type="dxa"/>
        </w:tblCellMar>
      </w:tblPr>
      <w:tblGrid>
        <w:gridCol w:w="8860"/>
        <w:gridCol w:w="218"/>
      </w:tblGrid>
      <w:tr>
        <w:tblPrEx>
          <w:tblCellMar>
            <w:top w:w="45" w:type="dxa"/>
            <w:left w:w="45" w:type="dxa"/>
            <w:bottom w:w="45" w:type="dxa"/>
            <w:right w:w="45" w:type="dxa"/>
          </w:tblCellMar>
        </w:tblPrEx>
        <w:trPr>
          <w:tblCellSpacing w:w="0" w:type="dxa"/>
          <w:jc w:val="center"/>
        </w:trPr>
        <w:tc>
          <w:tcPr>
            <w:tcW w:w="8860" w:type="dxa"/>
            <w:vAlign w:val="center"/>
          </w:tcPr>
          <w:p>
            <w:pPr>
              <w:widowControl/>
              <w:jc w:val="left"/>
              <w:rPr>
                <w:b/>
                <w:color w:val="auto"/>
                <w:sz w:val="24"/>
              </w:rPr>
            </w:pPr>
            <w:r>
              <w:rPr>
                <w:rFonts w:ascii="宋体" w:hAnsi="宋体" w:cs="宋体"/>
                <w:b/>
                <w:color w:val="auto"/>
                <w:kern w:val="0"/>
                <w:sz w:val="24"/>
                <w:lang w:bidi="ar"/>
              </w:rPr>
              <w:t>评标方法：综合评分法（新价格分算法）</w:t>
            </w:r>
          </w:p>
        </w:tc>
        <w:tc>
          <w:tcPr>
            <w:tcW w:w="218" w:type="dxa"/>
            <w:vAlign w:val="center"/>
          </w:tcPr>
          <w:p>
            <w:pPr>
              <w:jc w:val="right"/>
              <w:rPr>
                <w:rFonts w:ascii="宋体"/>
                <w:b/>
                <w:color w:val="auto"/>
                <w:sz w:val="24"/>
              </w:rPr>
            </w:pPr>
          </w:p>
        </w:tc>
      </w:tr>
      <w:tr>
        <w:tblPrEx>
          <w:tblCellMar>
            <w:top w:w="45" w:type="dxa"/>
            <w:left w:w="45" w:type="dxa"/>
            <w:bottom w:w="45" w:type="dxa"/>
            <w:right w:w="45" w:type="dxa"/>
          </w:tblCellMar>
        </w:tblPrEx>
        <w:trPr>
          <w:tblCellSpacing w:w="0" w:type="dxa"/>
          <w:jc w:val="center"/>
        </w:trPr>
        <w:tc>
          <w:tcPr>
            <w:tcW w:w="9078" w:type="dxa"/>
            <w:gridSpan w:val="2"/>
            <w:vAlign w:val="center"/>
          </w:tcPr>
          <w:p>
            <w:pPr>
              <w:pStyle w:val="43"/>
              <w:widowControl/>
              <w:spacing w:line="324" w:lineRule="auto"/>
              <w:ind w:firstLine="420"/>
              <w:rPr>
                <w:color w:val="auto"/>
                <w:sz w:val="21"/>
                <w:szCs w:val="21"/>
              </w:rPr>
            </w:pPr>
            <w:r>
              <w:rPr>
                <w:color w:val="auto"/>
                <w:sz w:val="21"/>
                <w:szCs w:val="21"/>
              </w:rPr>
              <w:t xml:space="preserve">综合评分法，是指投标文件满足招标文件全部实质性要求，且按照评审因素的量化指标评审得分最高的投标人为中标候选人的评标方法。 </w:t>
            </w:r>
          </w:p>
          <w:p>
            <w:pPr>
              <w:pStyle w:val="43"/>
              <w:widowControl/>
              <w:ind w:firstLine="420"/>
              <w:rPr>
                <w:color w:val="auto"/>
                <w:sz w:val="21"/>
                <w:szCs w:val="21"/>
              </w:rPr>
            </w:pPr>
            <w:r>
              <w:rPr>
                <w:color w:val="auto"/>
                <w:sz w:val="21"/>
                <w:szCs w:val="21"/>
              </w:rPr>
              <w:t>价格分计算方法：</w:t>
            </w:r>
          </w:p>
          <w:p>
            <w:pPr>
              <w:pStyle w:val="43"/>
              <w:widowControl/>
              <w:spacing w:line="324" w:lineRule="auto"/>
              <w:ind w:left="420"/>
              <w:rPr>
                <w:color w:val="auto"/>
                <w:sz w:val="21"/>
                <w:szCs w:val="21"/>
              </w:rPr>
            </w:pPr>
            <w:r>
              <w:rPr>
                <w:color w:val="auto"/>
                <w:sz w:val="21"/>
                <w:szCs w:val="21"/>
              </w:rPr>
              <w:t xml:space="preserve">采用低价优先法计算，即满足招标文件要求且投标价格最低的投标报价为评标基准价，其价格分为满分。其他投标人的价格分统一按照下列公式计算： </w:t>
            </w:r>
            <w:r>
              <w:rPr>
                <w:color w:val="auto"/>
                <w:sz w:val="21"/>
                <w:szCs w:val="21"/>
              </w:rPr>
              <w:br w:type="textWrapping"/>
            </w:r>
            <w:r>
              <w:rPr>
                <w:color w:val="auto"/>
                <w:sz w:val="21"/>
                <w:szCs w:val="21"/>
              </w:rPr>
              <w:t xml:space="preserve">投标报价得分=(评标基准价／投标报价)×100 </w:t>
            </w:r>
            <w:r>
              <w:rPr>
                <w:color w:val="auto"/>
                <w:sz w:val="21"/>
                <w:szCs w:val="21"/>
              </w:rPr>
              <w:br w:type="textWrapping"/>
            </w:r>
            <w:r>
              <w:rPr>
                <w:color w:val="auto"/>
                <w:sz w:val="21"/>
                <w:szCs w:val="21"/>
              </w:rPr>
              <w:t xml:space="preserve">评标总得分＝F1×A1＋F2×A2＋……＋Fn×An </w:t>
            </w:r>
            <w:r>
              <w:rPr>
                <w:color w:val="auto"/>
                <w:sz w:val="21"/>
                <w:szCs w:val="21"/>
              </w:rPr>
              <w:br w:type="textWrapping"/>
            </w:r>
            <w:r>
              <w:rPr>
                <w:color w:val="auto"/>
                <w:sz w:val="21"/>
                <w:szCs w:val="21"/>
              </w:rPr>
              <w:t xml:space="preserve">F1、F2……Fn分别为各项评审因素的得分； </w:t>
            </w:r>
            <w:r>
              <w:rPr>
                <w:color w:val="auto"/>
                <w:sz w:val="21"/>
                <w:szCs w:val="21"/>
              </w:rPr>
              <w:br w:type="textWrapping"/>
            </w:r>
            <w:r>
              <w:rPr>
                <w:color w:val="auto"/>
                <w:sz w:val="21"/>
                <w:szCs w:val="21"/>
              </w:rPr>
              <w:t xml:space="preserve">A1、A2、……An 分别为各项评审因素所占的权重(A1＋A2＋……＋An＝1)。 </w:t>
            </w:r>
            <w:r>
              <w:rPr>
                <w:color w:val="auto"/>
                <w:sz w:val="21"/>
                <w:szCs w:val="21"/>
              </w:rPr>
              <w:br w:type="textWrapping"/>
            </w:r>
            <w:r>
              <w:rPr>
                <w:color w:val="auto"/>
                <w:sz w:val="21"/>
                <w:szCs w:val="21"/>
              </w:rPr>
              <w:t xml:space="preserve">评标过程中，不得去掉报价中的最高报价和最低报价。 </w:t>
            </w:r>
            <w:r>
              <w:rPr>
                <w:color w:val="auto"/>
                <w:sz w:val="21"/>
                <w:szCs w:val="21"/>
              </w:rPr>
              <w:br w:type="textWrapping"/>
            </w:r>
            <w:r>
              <w:rPr>
                <w:color w:val="auto"/>
                <w:sz w:val="21"/>
                <w:szCs w:val="21"/>
              </w:rPr>
              <w:t xml:space="preserve">此方法适用于货物类、服务类、工程类项目。 </w:t>
            </w:r>
          </w:p>
        </w:tc>
      </w:tr>
    </w:tbl>
    <w:p>
      <w:pPr>
        <w:rPr>
          <w:vanish/>
          <w:color w:val="auto"/>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93"/>
        <w:gridCol w:w="680"/>
        <w:gridCol w:w="963"/>
        <w:gridCol w:w="11"/>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评分项</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一、价格部分</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5"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价格分采用低价优先法计算，即满足招标文件要求且投标价格最低的投标报价为评标基准价，其价格分为满分。其他投标人的价格分统一按照下列公式计算：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olor w:val="auto"/>
                <w:szCs w:val="21"/>
              </w:rPr>
            </w:pPr>
            <w:r>
              <w:rPr>
                <w:rFonts w:hint="eastAsia" w:ascii="宋体" w:hAnsi="宋体"/>
                <w:color w:val="auto"/>
                <w:szCs w:val="21"/>
              </w:rPr>
              <w:t>投标报价得分=(评标基准价／投标报价)×100</w:t>
            </w:r>
          </w:p>
          <w:p>
            <w:pPr>
              <w:ind w:firstLine="420" w:firstLineChars="200"/>
              <w:rPr>
                <w:rFonts w:ascii="宋体" w:hAnsi="宋体"/>
                <w:color w:val="auto"/>
                <w:szCs w:val="21"/>
              </w:rPr>
            </w:pPr>
            <w:r>
              <w:rPr>
                <w:rFonts w:hint="eastAsia" w:ascii="宋体" w:hAnsi="宋体"/>
                <w:color w:val="auto"/>
                <w:szCs w:val="21"/>
              </w:rPr>
              <w:t>评标总得分＝F1×A1＋F2×A2＋……＋Fn×An</w:t>
            </w:r>
          </w:p>
          <w:p>
            <w:pPr>
              <w:ind w:firstLine="420" w:firstLineChars="200"/>
              <w:rPr>
                <w:rFonts w:ascii="宋体" w:hAnsi="宋体"/>
                <w:color w:val="auto"/>
                <w:szCs w:val="21"/>
              </w:rPr>
            </w:pPr>
            <w:r>
              <w:rPr>
                <w:rFonts w:hint="eastAsia" w:ascii="宋体" w:hAnsi="宋体"/>
                <w:color w:val="auto"/>
                <w:szCs w:val="21"/>
              </w:rPr>
              <w:t>F1、F2……Fn分别为各项评审因素的得分；</w:t>
            </w:r>
          </w:p>
          <w:p>
            <w:pPr>
              <w:spacing w:line="360" w:lineRule="auto"/>
              <w:ind w:firstLine="420" w:firstLineChars="200"/>
              <w:rPr>
                <w:rFonts w:ascii="宋体" w:hAnsi="宋体"/>
                <w:color w:val="auto"/>
                <w:szCs w:val="21"/>
              </w:rPr>
            </w:pPr>
            <w:r>
              <w:rPr>
                <w:rFonts w:hint="eastAsia" w:ascii="宋体" w:hAnsi="宋体"/>
                <w:color w:val="auto"/>
                <w:szCs w:val="21"/>
              </w:rPr>
              <w:t>A1、A2、……An 分别为各项评审因素所占的权重(A1＋A2＋……＋An＝1)。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pStyle w:val="160"/>
              <w:spacing w:line="360" w:lineRule="auto"/>
              <w:ind w:firstLine="0" w:firstLineChars="0"/>
              <w:jc w:val="center"/>
              <w:rPr>
                <w:rFonts w:ascii="宋体" w:hAnsi="宋体"/>
                <w:b/>
                <w:color w:val="auto"/>
                <w:szCs w:val="21"/>
              </w:rPr>
            </w:pPr>
            <w:r>
              <w:rPr>
                <w:rFonts w:hint="eastAsia" w:ascii="宋体" w:hAnsi="宋体"/>
                <w:b/>
                <w:color w:val="auto"/>
                <w:szCs w:val="21"/>
                <w:lang w:val="zh-CN"/>
              </w:rPr>
              <w:t>二、商务部分</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pStyle w:val="160"/>
              <w:spacing w:line="360" w:lineRule="auto"/>
              <w:ind w:firstLine="0" w:firstLineChars="0"/>
              <w:jc w:val="center"/>
              <w:rPr>
                <w:rFonts w:ascii="宋体" w:hAnsi="宋体"/>
                <w:b/>
                <w:color w:val="auto"/>
                <w:szCs w:val="21"/>
              </w:rPr>
            </w:pPr>
            <w:r>
              <w:rPr>
                <w:rFonts w:hint="eastAsia" w:ascii="宋体" w:hAnsi="宋体"/>
                <w:b/>
                <w:color w:val="auto"/>
                <w:szCs w:val="21"/>
                <w:u w:val="singl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评分因素</w:t>
            </w: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分值范围</w:t>
            </w:r>
          </w:p>
        </w:tc>
        <w:tc>
          <w:tcPr>
            <w:tcW w:w="9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具体</w:t>
            </w:r>
          </w:p>
          <w:p>
            <w:pPr>
              <w:spacing w:line="360" w:lineRule="auto"/>
              <w:jc w:val="center"/>
              <w:rPr>
                <w:rFonts w:ascii="宋体" w:hAnsi="宋体"/>
                <w:b/>
                <w:color w:val="auto"/>
                <w:szCs w:val="21"/>
              </w:rPr>
            </w:pPr>
            <w:r>
              <w:rPr>
                <w:rFonts w:hint="eastAsia" w:ascii="宋体" w:hAnsi="宋体"/>
                <w:b/>
                <w:color w:val="auto"/>
                <w:szCs w:val="21"/>
              </w:rPr>
              <w:t>分值</w:t>
            </w:r>
          </w:p>
        </w:tc>
        <w:tc>
          <w:tcPr>
            <w:tcW w:w="4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投标人资质</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w:t>
            </w:r>
          </w:p>
        </w:tc>
        <w:tc>
          <w:tcPr>
            <w:tcW w:w="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ascii="宋体" w:hAnsi="宋体"/>
                <w:bCs/>
                <w:color w:val="auto"/>
                <w:kern w:val="44"/>
                <w:szCs w:val="21"/>
              </w:rPr>
              <w:t>专家打分</w:t>
            </w:r>
          </w:p>
        </w:tc>
        <w:tc>
          <w:tcPr>
            <w:tcW w:w="42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r>
              <w:rPr>
                <w:rFonts w:hint="eastAsia" w:ascii="宋体" w:hAnsi="宋体"/>
                <w:color w:val="auto"/>
                <w:sz w:val="24"/>
              </w:rPr>
              <w:t>（1）根据投标人是否具有以下资质进行打分：</w:t>
            </w:r>
          </w:p>
          <w:p>
            <w:pPr>
              <w:jc w:val="left"/>
              <w:rPr>
                <w:color w:val="auto"/>
              </w:rPr>
            </w:pPr>
            <w:r>
              <w:rPr>
                <w:rFonts w:hint="eastAsia" w:ascii="宋体" w:hAnsi="宋体"/>
                <w:color w:val="auto"/>
                <w:sz w:val="24"/>
              </w:rPr>
              <w:t>具备建设部造价咨询甲级资质得15分。造价咨询乙级资质得10分。</w:t>
            </w:r>
          </w:p>
          <w:p>
            <w:pPr>
              <w:jc w:val="left"/>
              <w:rPr>
                <w:rFonts w:ascii="宋体" w:hAnsi="宋体"/>
                <w:bCs/>
                <w:color w:val="auto"/>
                <w:kern w:val="44"/>
                <w:szCs w:val="21"/>
              </w:rPr>
            </w:pPr>
            <w:r>
              <w:rPr>
                <w:rFonts w:hint="eastAsia" w:ascii="宋体" w:hAnsi="宋体"/>
                <w:color w:val="auto"/>
                <w:sz w:val="24"/>
              </w:rPr>
              <w:t>提供资质证书复印件，原件备查。未提供或不满足的不得分。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投标人相关造价业绩</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w:t>
            </w:r>
          </w:p>
        </w:tc>
        <w:tc>
          <w:tcPr>
            <w:tcW w:w="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ascii="宋体" w:hAnsi="宋体"/>
                <w:bCs/>
                <w:color w:val="auto"/>
                <w:kern w:val="44"/>
                <w:szCs w:val="21"/>
              </w:rPr>
              <w:t>专家打分</w:t>
            </w:r>
          </w:p>
        </w:tc>
        <w:tc>
          <w:tcPr>
            <w:tcW w:w="4293" w:type="dxa"/>
            <w:tcBorders>
              <w:top w:val="single" w:color="auto" w:sz="4" w:space="0"/>
              <w:left w:val="single" w:color="auto" w:sz="4" w:space="0"/>
              <w:bottom w:val="single" w:color="auto" w:sz="4" w:space="0"/>
              <w:right w:val="single" w:color="auto" w:sz="4" w:space="0"/>
            </w:tcBorders>
            <w:vAlign w:val="center"/>
          </w:tcPr>
          <w:p>
            <w:pPr>
              <w:pStyle w:val="8"/>
              <w:numPr>
                <w:ilvl w:val="0"/>
                <w:numId w:val="7"/>
              </w:numPr>
              <w:ind w:firstLine="0"/>
              <w:jc w:val="left"/>
              <w:rPr>
                <w:rFonts w:ascii="宋体" w:hAnsi="宋体"/>
                <w:color w:val="auto"/>
                <w:sz w:val="24"/>
              </w:rPr>
            </w:pPr>
            <w:r>
              <w:rPr>
                <w:rFonts w:hint="eastAsia" w:ascii="宋体" w:hAnsi="宋体"/>
                <w:color w:val="auto"/>
                <w:sz w:val="24"/>
              </w:rPr>
              <w:t>近三年（2017年起至今）内有相关项目（房建）造价咨询业绩，每一个项目5分，总分15分。</w:t>
            </w:r>
          </w:p>
          <w:p>
            <w:pPr>
              <w:pStyle w:val="8"/>
              <w:ind w:firstLine="0"/>
              <w:jc w:val="left"/>
              <w:rPr>
                <w:color w:val="auto"/>
              </w:rPr>
            </w:pPr>
            <w:r>
              <w:rPr>
                <w:rFonts w:hint="eastAsia" w:ascii="宋体" w:hAnsi="宋体"/>
                <w:color w:val="auto"/>
                <w:sz w:val="24"/>
              </w:rPr>
              <w:t>提供合同关键页复印件，未提供或提供无法判断的不得分。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pStyle w:val="160"/>
              <w:spacing w:line="360" w:lineRule="auto"/>
              <w:ind w:firstLine="0" w:firstLineChars="0"/>
              <w:jc w:val="center"/>
              <w:rPr>
                <w:rFonts w:ascii="宋体" w:hAnsi="宋体"/>
                <w:b/>
                <w:color w:val="auto"/>
                <w:szCs w:val="21"/>
              </w:rPr>
            </w:pPr>
            <w:r>
              <w:rPr>
                <w:rFonts w:hint="eastAsia" w:ascii="宋体" w:hAnsi="宋体"/>
                <w:b/>
                <w:color w:val="auto"/>
                <w:szCs w:val="21"/>
              </w:rPr>
              <w:t>三、技术部分</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u w:val="single"/>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评分因素</w:t>
            </w: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分值范围</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具体</w:t>
            </w:r>
          </w:p>
          <w:p>
            <w:pPr>
              <w:spacing w:line="360" w:lineRule="auto"/>
              <w:jc w:val="center"/>
              <w:rPr>
                <w:rFonts w:ascii="宋体" w:hAnsi="宋体"/>
                <w:b/>
                <w:color w:val="auto"/>
                <w:szCs w:val="21"/>
              </w:rPr>
            </w:pPr>
            <w:r>
              <w:rPr>
                <w:rFonts w:hint="eastAsia" w:ascii="宋体" w:hAnsi="宋体"/>
                <w:b/>
                <w:color w:val="auto"/>
                <w:szCs w:val="21"/>
              </w:rPr>
              <w:t>分值</w:t>
            </w:r>
          </w:p>
        </w:tc>
        <w:tc>
          <w:tcPr>
            <w:tcW w:w="43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7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r>
              <w:rPr>
                <w:rFonts w:hint="eastAsia" w:ascii="宋体" w:hAnsi="宋体"/>
                <w:snapToGrid w:val="0"/>
                <w:color w:val="auto"/>
                <w:kern w:val="0"/>
                <w:szCs w:val="21"/>
              </w:rPr>
              <w:t>招标阶段：如何保障预算文件的准确度与合理性；对非常规材料设备的预算价如何把握；投标人如何应对预算阶段时间紧促情况。</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color w:val="auto"/>
                <w:szCs w:val="21"/>
              </w:rPr>
              <w:t>专家评分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 w:val="24"/>
              </w:rPr>
            </w:pPr>
            <w:r>
              <w:rPr>
                <w:rFonts w:hint="eastAsia" w:ascii="宋体" w:hAnsi="宋体"/>
                <w:color w:val="auto"/>
                <w:sz w:val="24"/>
              </w:rPr>
              <w:t>横向比较各投标人投标文件编制的质量，优秀得12-15分，良好得9-11分，一般得1-8分。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snapToGrid w:val="0"/>
                <w:color w:val="auto"/>
                <w:kern w:val="0"/>
                <w:szCs w:val="21"/>
              </w:rPr>
              <w:t>项目实施阶段：编制投资控制形象进度表，对表格中的特色之处可予以阐述；对工程设计变更及签证单的资料完备性方面的建议；在计价方面存在争议时的处理方法（可列举具体事例）。</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rPr>
              <w:t>专家打分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 w:val="24"/>
              </w:rPr>
            </w:pPr>
            <w:r>
              <w:rPr>
                <w:rFonts w:hint="eastAsia" w:ascii="宋体" w:hAnsi="宋体"/>
                <w:color w:val="auto"/>
                <w:sz w:val="24"/>
              </w:rPr>
              <w:t>横向比较各投标人投标文件编制的质量，优秀得12-15分，良好得9-11分，一般得1-8分。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17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r>
              <w:rPr>
                <w:rFonts w:hint="eastAsia" w:ascii="宋体" w:hAnsi="宋体"/>
                <w:snapToGrid w:val="0"/>
                <w:color w:val="auto"/>
                <w:kern w:val="0"/>
                <w:szCs w:val="21"/>
              </w:rPr>
              <w:t>结算审核工作：审核工作的侧重点有哪些，如何确保计量计价的准确；相关审核部门审核结算时常核减的内容有哪些，投标人有何建议和措施；</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rPr>
              <w:t>专家打分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 w:val="24"/>
              </w:rPr>
            </w:pPr>
            <w:r>
              <w:rPr>
                <w:rFonts w:hint="eastAsia" w:ascii="宋体" w:hAnsi="宋体"/>
                <w:color w:val="auto"/>
                <w:sz w:val="24"/>
              </w:rPr>
              <w:t>横向比较各投标人投标文件编制的质量，优秀得12-15分，良好得9-11分，一般得1-8分。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17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r>
              <w:rPr>
                <w:rFonts w:hint="eastAsia" w:ascii="宋体" w:hAnsi="宋体"/>
                <w:snapToGrid w:val="0"/>
                <w:color w:val="auto"/>
                <w:kern w:val="0"/>
                <w:szCs w:val="21"/>
              </w:rPr>
              <w:t>全过程成本监控、确保工程实际造价控制在批复概算内所建立的内部管理制度及工作程序。</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color w:val="auto"/>
              </w:rPr>
              <w:t>专家打分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 w:val="24"/>
              </w:rPr>
            </w:pPr>
            <w:r>
              <w:rPr>
                <w:rFonts w:hint="eastAsia" w:ascii="宋体" w:hAnsi="宋体"/>
                <w:color w:val="auto"/>
                <w:sz w:val="24"/>
              </w:rPr>
              <w:t>横向比较各投标人投标文件编制的质量，优秀得12-15分，良好得9-11分，一般得1-8分。</w:t>
            </w:r>
          </w:p>
        </w:tc>
      </w:tr>
    </w:tbl>
    <w:p>
      <w:pPr>
        <w:spacing w:line="360" w:lineRule="auto"/>
        <w:rPr>
          <w:rFonts w:ascii="宋体" w:hAnsi="宋体"/>
          <w:color w:val="auto"/>
          <w:szCs w:val="21"/>
        </w:rPr>
      </w:pPr>
      <w:r>
        <w:rPr>
          <w:rFonts w:hint="eastAsia" w:ascii="宋体" w:hAnsi="宋体"/>
          <w:color w:val="auto"/>
          <w:szCs w:val="21"/>
        </w:rPr>
        <w:t>注：</w:t>
      </w:r>
    </w:p>
    <w:p>
      <w:pPr>
        <w:spacing w:line="360" w:lineRule="auto"/>
        <w:ind w:firstLine="420" w:firstLineChars="200"/>
        <w:rPr>
          <w:rFonts w:ascii="宋体" w:hAnsi="宋体"/>
          <w:color w:val="auto"/>
          <w:szCs w:val="21"/>
        </w:rPr>
      </w:pPr>
      <w:r>
        <w:rPr>
          <w:rFonts w:hint="eastAsia" w:ascii="宋体" w:hAnsi="宋体"/>
          <w:color w:val="auto"/>
          <w:szCs w:val="21"/>
        </w:rPr>
        <w:t>1. 每一项的得分均不能超过该项最高分值。</w:t>
      </w:r>
    </w:p>
    <w:p>
      <w:pPr>
        <w:spacing w:line="360" w:lineRule="auto"/>
        <w:ind w:firstLine="420" w:firstLineChars="200"/>
        <w:rPr>
          <w:rFonts w:ascii="宋体" w:hAnsi="宋体"/>
          <w:color w:val="auto"/>
          <w:szCs w:val="21"/>
        </w:rPr>
      </w:pPr>
      <w:r>
        <w:rPr>
          <w:rFonts w:hint="eastAsia" w:ascii="宋体" w:hAnsi="宋体"/>
          <w:color w:val="auto"/>
          <w:szCs w:val="21"/>
        </w:rPr>
        <w:t>2. 缺项则该项为0分或不合格为0分。</w:t>
      </w:r>
    </w:p>
    <w:p>
      <w:pPr>
        <w:spacing w:line="360" w:lineRule="auto"/>
        <w:ind w:firstLine="420" w:firstLineChars="200"/>
        <w:rPr>
          <w:rFonts w:ascii="宋体" w:hAnsi="宋体"/>
          <w:color w:val="auto"/>
          <w:szCs w:val="21"/>
        </w:rPr>
      </w:pPr>
      <w:r>
        <w:rPr>
          <w:rFonts w:hint="eastAsia" w:ascii="宋体" w:hAnsi="宋体"/>
          <w:color w:val="auto"/>
          <w:szCs w:val="21"/>
        </w:rPr>
        <w:t>3. 价格、技术、商务部分为针对项目具体情况设置项目，累加满分为100分。</w:t>
      </w:r>
    </w:p>
    <w:p>
      <w:pPr>
        <w:spacing w:line="360" w:lineRule="auto"/>
        <w:ind w:firstLine="420" w:firstLineChars="200"/>
        <w:rPr>
          <w:rFonts w:ascii="宋体" w:hAnsi="宋体" w:cs="Arial"/>
          <w:snapToGrid w:val="0"/>
          <w:color w:val="auto"/>
          <w:kern w:val="0"/>
          <w:szCs w:val="21"/>
        </w:rPr>
      </w:pPr>
      <w:r>
        <w:rPr>
          <w:rFonts w:hint="eastAsia" w:ascii="宋体" w:hAnsi="宋体"/>
          <w:color w:val="auto"/>
          <w:szCs w:val="21"/>
        </w:rPr>
        <w:t>4. 综合以上</w:t>
      </w:r>
      <w:r>
        <w:rPr>
          <w:rFonts w:hint="eastAsia" w:ascii="宋体" w:hAnsi="宋体"/>
          <w:snapToGrid w:val="0"/>
          <w:color w:val="auto"/>
          <w:kern w:val="0"/>
          <w:szCs w:val="21"/>
        </w:rPr>
        <w:t>分析比较，评委会将对各投标文件进行书面的量化评定，得分</w:t>
      </w:r>
      <w:r>
        <w:rPr>
          <w:rFonts w:hint="eastAsia" w:ascii="宋体" w:hAnsi="宋体" w:cs="Arial"/>
          <w:snapToGrid w:val="0"/>
          <w:color w:val="auto"/>
          <w:kern w:val="0"/>
          <w:szCs w:val="21"/>
        </w:rPr>
        <w:t>精确到小数点后一位。</w:t>
      </w:r>
    </w:p>
    <w:p>
      <w:pPr>
        <w:pStyle w:val="43"/>
        <w:widowControl/>
        <w:jc w:val="center"/>
        <w:outlineLvl w:val="1"/>
        <w:rPr>
          <w:rFonts w:ascii="黑体" w:hAnsi="宋体" w:eastAsia="黑体" w:cs="黑体"/>
          <w:color w:val="auto"/>
          <w:sz w:val="40"/>
          <w:szCs w:val="40"/>
        </w:rPr>
      </w:pPr>
      <w:r>
        <w:rPr>
          <w:rFonts w:hint="eastAsia" w:ascii="黑体" w:hAnsi="宋体" w:eastAsia="黑体" w:cs="黑体"/>
          <w:color w:val="auto"/>
          <w:sz w:val="40"/>
          <w:szCs w:val="40"/>
        </w:rPr>
        <w:br w:type="page"/>
      </w:r>
      <w:r>
        <w:rPr>
          <w:rFonts w:hint="eastAsia" w:ascii="黑体" w:hAnsi="宋体" w:eastAsia="黑体" w:cs="黑体"/>
          <w:color w:val="auto"/>
          <w:sz w:val="40"/>
          <w:szCs w:val="40"/>
        </w:rPr>
        <w:t>投标书目录</w:t>
      </w:r>
    </w:p>
    <w:tbl>
      <w:tblPr>
        <w:tblStyle w:val="48"/>
        <w:tblW w:w="0" w:type="auto"/>
        <w:jc w:val="center"/>
        <w:tblCellSpacing w:w="0" w:type="dxa"/>
        <w:tblLayout w:type="fixed"/>
        <w:tblCellMar>
          <w:top w:w="45" w:type="dxa"/>
          <w:left w:w="45" w:type="dxa"/>
          <w:bottom w:w="45" w:type="dxa"/>
          <w:right w:w="45" w:type="dxa"/>
        </w:tblCellMar>
      </w:tblPr>
      <w:tblGrid>
        <w:gridCol w:w="9078"/>
      </w:tblGrid>
      <w:tr>
        <w:tblPrEx>
          <w:tblCellMar>
            <w:top w:w="45" w:type="dxa"/>
            <w:left w:w="45" w:type="dxa"/>
            <w:bottom w:w="45" w:type="dxa"/>
            <w:right w:w="45" w:type="dxa"/>
          </w:tblCellMar>
        </w:tblPrEx>
        <w:trPr>
          <w:tblCellSpacing w:w="0" w:type="dxa"/>
          <w:jc w:val="center"/>
        </w:trPr>
        <w:tc>
          <w:tcPr>
            <w:tcW w:w="9078" w:type="dxa"/>
            <w:vAlign w:val="center"/>
          </w:tcPr>
          <w:p>
            <w:pPr>
              <w:widowControl/>
              <w:numPr>
                <w:ilvl w:val="0"/>
                <w:numId w:val="8"/>
              </w:numPr>
              <w:spacing w:before="100" w:beforeAutospacing="1" w:after="100" w:afterAutospacing="1" w:line="23" w:lineRule="atLeast"/>
              <w:rPr>
                <w:color w:val="auto"/>
              </w:rPr>
            </w:pPr>
            <w:r>
              <w:rPr>
                <w:color w:val="auto"/>
                <w:szCs w:val="21"/>
              </w:rPr>
              <w:t>法定代表人证明书</w:t>
            </w:r>
          </w:p>
          <w:p>
            <w:pPr>
              <w:widowControl/>
              <w:numPr>
                <w:ilvl w:val="0"/>
                <w:numId w:val="8"/>
              </w:numPr>
              <w:spacing w:before="100" w:beforeAutospacing="1" w:after="100" w:afterAutospacing="1" w:line="23" w:lineRule="atLeast"/>
              <w:rPr>
                <w:color w:val="auto"/>
              </w:rPr>
            </w:pPr>
            <w:r>
              <w:rPr>
                <w:color w:val="auto"/>
                <w:szCs w:val="21"/>
              </w:rPr>
              <w:t>授权委托书</w:t>
            </w:r>
          </w:p>
          <w:p>
            <w:pPr>
              <w:widowControl/>
              <w:numPr>
                <w:ilvl w:val="0"/>
                <w:numId w:val="8"/>
              </w:numPr>
              <w:spacing w:before="100" w:beforeAutospacing="1" w:after="100" w:afterAutospacing="1" w:line="23" w:lineRule="atLeast"/>
              <w:rPr>
                <w:color w:val="auto"/>
              </w:rPr>
            </w:pPr>
            <w:r>
              <w:rPr>
                <w:color w:val="auto"/>
                <w:szCs w:val="21"/>
              </w:rPr>
              <w:t>投标函</w:t>
            </w:r>
          </w:p>
          <w:p>
            <w:pPr>
              <w:widowControl/>
              <w:numPr>
                <w:ilvl w:val="0"/>
                <w:numId w:val="8"/>
              </w:numPr>
              <w:spacing w:before="100" w:beforeAutospacing="1" w:after="100" w:afterAutospacing="1" w:line="23" w:lineRule="atLeast"/>
              <w:rPr>
                <w:color w:val="auto"/>
              </w:rPr>
            </w:pPr>
            <w:r>
              <w:rPr>
                <w:color w:val="auto"/>
                <w:szCs w:val="21"/>
              </w:rPr>
              <w:t>履约承诺函</w:t>
            </w:r>
          </w:p>
          <w:p>
            <w:pPr>
              <w:widowControl/>
              <w:numPr>
                <w:ilvl w:val="0"/>
                <w:numId w:val="8"/>
              </w:numPr>
              <w:spacing w:before="100" w:beforeAutospacing="1" w:after="100" w:afterAutospacing="1" w:line="23" w:lineRule="atLeast"/>
              <w:rPr>
                <w:color w:val="auto"/>
              </w:rPr>
            </w:pPr>
            <w:r>
              <w:rPr>
                <w:color w:val="auto"/>
                <w:szCs w:val="21"/>
              </w:rPr>
              <w:t>诚信承诺函</w:t>
            </w:r>
          </w:p>
          <w:p>
            <w:pPr>
              <w:widowControl/>
              <w:numPr>
                <w:ilvl w:val="0"/>
                <w:numId w:val="8"/>
              </w:numPr>
              <w:spacing w:before="100" w:beforeAutospacing="1" w:after="100" w:afterAutospacing="1" w:line="23" w:lineRule="atLeast"/>
              <w:rPr>
                <w:color w:val="auto"/>
              </w:rPr>
            </w:pPr>
            <w:r>
              <w:rPr>
                <w:color w:val="auto"/>
                <w:szCs w:val="21"/>
              </w:rPr>
              <w:t>项目费用支出清单</w:t>
            </w:r>
          </w:p>
          <w:p>
            <w:pPr>
              <w:widowControl/>
              <w:numPr>
                <w:ilvl w:val="0"/>
                <w:numId w:val="8"/>
              </w:numPr>
              <w:spacing w:before="100" w:beforeAutospacing="1" w:after="100" w:afterAutospacing="1" w:line="23" w:lineRule="atLeast"/>
              <w:rPr>
                <w:color w:val="auto"/>
              </w:rPr>
            </w:pPr>
            <w:r>
              <w:rPr>
                <w:color w:val="auto"/>
                <w:szCs w:val="21"/>
              </w:rPr>
              <w:t>供应商情况介绍</w:t>
            </w:r>
          </w:p>
          <w:p>
            <w:pPr>
              <w:widowControl/>
              <w:numPr>
                <w:ilvl w:val="0"/>
                <w:numId w:val="8"/>
              </w:numPr>
              <w:spacing w:before="100" w:beforeAutospacing="1" w:after="100" w:afterAutospacing="1" w:line="23" w:lineRule="atLeast"/>
              <w:rPr>
                <w:color w:val="auto"/>
              </w:rPr>
            </w:pPr>
            <w:r>
              <w:rPr>
                <w:rFonts w:hint="eastAsia"/>
                <w:color w:val="auto"/>
                <w:szCs w:val="21"/>
              </w:rPr>
              <w:t>技术保障</w:t>
            </w:r>
          </w:p>
          <w:p>
            <w:pPr>
              <w:widowControl/>
              <w:numPr>
                <w:ilvl w:val="0"/>
                <w:numId w:val="8"/>
              </w:numPr>
              <w:spacing w:before="100" w:beforeAutospacing="1" w:after="100" w:afterAutospacing="1" w:line="23" w:lineRule="atLeast"/>
              <w:rPr>
                <w:color w:val="auto"/>
              </w:rPr>
            </w:pPr>
            <w:r>
              <w:rPr>
                <w:color w:val="auto"/>
                <w:szCs w:val="21"/>
              </w:rPr>
              <w:t>投标人认为需要加以说明的其他内容（格式自定）</w:t>
            </w:r>
          </w:p>
        </w:tc>
      </w:tr>
    </w:tbl>
    <w:p>
      <w:pPr>
        <w:autoSpaceDE w:val="0"/>
        <w:autoSpaceDN w:val="0"/>
        <w:adjustRightInd w:val="0"/>
        <w:jc w:val="center"/>
        <w:rPr>
          <w:rFonts w:ascii="宋体" w:cs="宋体"/>
          <w:color w:val="auto"/>
          <w:kern w:val="0"/>
          <w:sz w:val="120"/>
          <w:szCs w:val="120"/>
        </w:rPr>
      </w:pPr>
      <w:r>
        <w:rPr>
          <w:rFonts w:hint="eastAsia" w:ascii="宋体" w:cs="宋体"/>
          <w:color w:val="auto"/>
          <w:kern w:val="0"/>
          <w:sz w:val="120"/>
          <w:szCs w:val="120"/>
        </w:rPr>
        <w:br w:type="page"/>
      </w:r>
      <w:r>
        <w:rPr>
          <w:rFonts w:hint="eastAsia" w:ascii="宋体" w:cs="宋体"/>
          <w:color w:val="auto"/>
          <w:kern w:val="0"/>
          <w:sz w:val="120"/>
          <w:szCs w:val="120"/>
        </w:rPr>
        <w:t>政府采购文件</w:t>
      </w:r>
    </w:p>
    <w:p>
      <w:pPr>
        <w:autoSpaceDE w:val="0"/>
        <w:autoSpaceDN w:val="0"/>
        <w:adjustRightInd w:val="0"/>
        <w:jc w:val="center"/>
        <w:rPr>
          <w:rFonts w:ascii="宋体" w:cs="宋体"/>
          <w:color w:val="auto"/>
          <w:kern w:val="0"/>
          <w:sz w:val="52"/>
          <w:szCs w:val="52"/>
        </w:rPr>
      </w:pPr>
      <w:r>
        <w:rPr>
          <w:rFonts w:hint="eastAsia" w:ascii="宋体" w:cs="宋体"/>
          <w:color w:val="auto"/>
          <w:kern w:val="0"/>
          <w:sz w:val="52"/>
          <w:szCs w:val="52"/>
        </w:rPr>
        <w:t>（服务类）</w:t>
      </w: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center"/>
        <w:rPr>
          <w:rFonts w:ascii="宋体" w:cs="宋体"/>
          <w:color w:val="auto"/>
          <w:kern w:val="0"/>
          <w:sz w:val="44"/>
          <w:szCs w:val="44"/>
        </w:rPr>
      </w:pPr>
      <w:r>
        <w:rPr>
          <w:rFonts w:hint="eastAsia" w:ascii="宋体" w:cs="宋体"/>
          <w:color w:val="auto"/>
          <w:kern w:val="0"/>
          <w:sz w:val="44"/>
          <w:szCs w:val="44"/>
        </w:rPr>
        <w:t>中国·深圳</w:t>
      </w:r>
      <w:r>
        <w:rPr>
          <w:rFonts w:ascii="宋体" w:cs="宋体"/>
          <w:color w:val="auto"/>
          <w:kern w:val="0"/>
          <w:sz w:val="44"/>
          <w:szCs w:val="44"/>
        </w:rPr>
        <w:t xml:space="preserve"> </w:t>
      </w:r>
      <w:r>
        <w:rPr>
          <w:rFonts w:hint="eastAsia" w:ascii="宋体" w:cs="宋体"/>
          <w:color w:val="auto"/>
          <w:kern w:val="0"/>
          <w:sz w:val="44"/>
          <w:szCs w:val="44"/>
        </w:rPr>
        <w:t>·光明</w:t>
      </w:r>
    </w:p>
    <w:p>
      <w:pPr>
        <w:pStyle w:val="3"/>
        <w:rPr>
          <w:rFonts w:cs="宋体"/>
          <w:color w:val="auto"/>
        </w:rPr>
      </w:pPr>
      <w:r>
        <w:rPr>
          <w:rFonts w:hint="eastAsia" w:cs="宋体"/>
          <w:color w:val="auto"/>
        </w:rPr>
        <w:t>（</w:t>
      </w:r>
      <w:r>
        <w:rPr>
          <w:rFonts w:ascii="Times New Roman"/>
          <w:color w:val="auto"/>
        </w:rPr>
        <w:t>20</w:t>
      </w:r>
      <w:r>
        <w:rPr>
          <w:rFonts w:hint="eastAsia" w:ascii="Times New Roman"/>
          <w:color w:val="auto"/>
        </w:rPr>
        <w:t>20</w:t>
      </w:r>
      <w:r>
        <w:rPr>
          <w:rFonts w:hint="eastAsia" w:cs="宋体"/>
          <w:color w:val="auto"/>
        </w:rPr>
        <w:t>）</w:t>
      </w:r>
    </w:p>
    <w:p>
      <w:pPr>
        <w:pStyle w:val="3"/>
        <w:rPr>
          <w:color w:val="auto"/>
        </w:rPr>
      </w:pPr>
      <w:r>
        <w:rPr>
          <w:rFonts w:hint="eastAsia" w:cs="宋体"/>
          <w:color w:val="auto"/>
        </w:rPr>
        <w:br w:type="page"/>
      </w:r>
      <w:r>
        <w:rPr>
          <w:rFonts w:hint="eastAsia"/>
          <w:color w:val="auto"/>
        </w:rPr>
        <w:t>警示条款</w:t>
      </w:r>
    </w:p>
    <w:p>
      <w:pPr>
        <w:ind w:firstLine="640" w:firstLineChars="200"/>
        <w:rPr>
          <w:rFonts w:ascii="宋体" w:hAnsi="宋体"/>
          <w:color w:val="auto"/>
          <w:sz w:val="32"/>
          <w:szCs w:val="32"/>
        </w:rPr>
      </w:pPr>
      <w:r>
        <w:rPr>
          <w:rFonts w:hint="eastAsia" w:ascii="宋体" w:hAnsi="宋体"/>
          <w:color w:val="auto"/>
          <w:sz w:val="32"/>
          <w:szCs w:val="32"/>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rPr>
          <w:rFonts w:ascii="宋体" w:hAnsi="宋体"/>
          <w:color w:val="auto"/>
          <w:sz w:val="32"/>
          <w:szCs w:val="32"/>
        </w:rPr>
      </w:pPr>
      <w:r>
        <w:rPr>
          <w:rFonts w:hint="eastAsia" w:ascii="宋体" w:hAnsi="宋体"/>
          <w:color w:val="auto"/>
          <w:sz w:val="32"/>
          <w:szCs w:val="32"/>
        </w:rPr>
        <w:t xml:space="preserve">  （一）在采购活动中应当回避而未回避的；</w:t>
      </w:r>
    </w:p>
    <w:p>
      <w:pPr>
        <w:rPr>
          <w:rFonts w:ascii="宋体" w:hAnsi="宋体"/>
          <w:color w:val="auto"/>
          <w:sz w:val="32"/>
          <w:szCs w:val="32"/>
        </w:rPr>
      </w:pPr>
      <w:r>
        <w:rPr>
          <w:rFonts w:hint="eastAsia" w:ascii="宋体" w:hAnsi="宋体"/>
          <w:color w:val="auto"/>
          <w:sz w:val="32"/>
          <w:szCs w:val="32"/>
        </w:rPr>
        <w:t xml:space="preserve">  （二）未按本条例规定签订、履行采购合同，造成严重后果的；</w:t>
      </w:r>
    </w:p>
    <w:p>
      <w:pPr>
        <w:rPr>
          <w:rFonts w:ascii="宋体" w:hAnsi="宋体"/>
          <w:color w:val="auto"/>
          <w:sz w:val="32"/>
          <w:szCs w:val="32"/>
        </w:rPr>
      </w:pPr>
      <w:r>
        <w:rPr>
          <w:rFonts w:hint="eastAsia" w:ascii="宋体" w:hAnsi="宋体"/>
          <w:color w:val="auto"/>
          <w:sz w:val="32"/>
          <w:szCs w:val="32"/>
        </w:rPr>
        <w:t xml:space="preserve">  （三）隐瞒真实情况，提供虚假资料的；</w:t>
      </w:r>
    </w:p>
    <w:p>
      <w:pPr>
        <w:rPr>
          <w:rFonts w:ascii="宋体" w:hAnsi="宋体"/>
          <w:color w:val="auto"/>
          <w:sz w:val="32"/>
          <w:szCs w:val="32"/>
        </w:rPr>
      </w:pPr>
      <w:r>
        <w:rPr>
          <w:rFonts w:hint="eastAsia" w:ascii="宋体" w:hAnsi="宋体"/>
          <w:color w:val="auto"/>
          <w:sz w:val="32"/>
          <w:szCs w:val="32"/>
        </w:rPr>
        <w:t xml:space="preserve">  （四）以非法手段排斥其他供应商参与竞争的；</w:t>
      </w:r>
    </w:p>
    <w:p>
      <w:pPr>
        <w:rPr>
          <w:rFonts w:ascii="宋体" w:hAnsi="宋体"/>
          <w:color w:val="auto"/>
          <w:sz w:val="32"/>
          <w:szCs w:val="32"/>
        </w:rPr>
      </w:pPr>
      <w:r>
        <w:rPr>
          <w:rFonts w:hint="eastAsia" w:ascii="宋体" w:hAnsi="宋体"/>
          <w:color w:val="auto"/>
          <w:sz w:val="32"/>
          <w:szCs w:val="32"/>
        </w:rPr>
        <w:t xml:space="preserve">  （五）与其他采购参加人串通投标的；</w:t>
      </w:r>
    </w:p>
    <w:p>
      <w:pPr>
        <w:rPr>
          <w:rFonts w:ascii="宋体" w:hAnsi="宋体"/>
          <w:color w:val="auto"/>
          <w:sz w:val="32"/>
          <w:szCs w:val="32"/>
        </w:rPr>
      </w:pPr>
      <w:r>
        <w:rPr>
          <w:rFonts w:hint="eastAsia" w:ascii="宋体" w:hAnsi="宋体"/>
          <w:color w:val="auto"/>
          <w:sz w:val="32"/>
          <w:szCs w:val="32"/>
        </w:rPr>
        <w:t xml:space="preserve">  （六）恶意投诉的；</w:t>
      </w:r>
    </w:p>
    <w:p>
      <w:pPr>
        <w:rPr>
          <w:rFonts w:ascii="宋体" w:hAnsi="宋体"/>
          <w:color w:val="auto"/>
          <w:sz w:val="32"/>
          <w:szCs w:val="32"/>
        </w:rPr>
      </w:pPr>
      <w:r>
        <w:rPr>
          <w:rFonts w:hint="eastAsia" w:ascii="宋体" w:hAnsi="宋体"/>
          <w:color w:val="auto"/>
          <w:sz w:val="32"/>
          <w:szCs w:val="32"/>
        </w:rPr>
        <w:t xml:space="preserve">  （七）向采购项目相关人行贿或者提供其他不当利益的；</w:t>
      </w:r>
    </w:p>
    <w:p>
      <w:pPr>
        <w:rPr>
          <w:rFonts w:ascii="宋体" w:hAnsi="宋体"/>
          <w:color w:val="auto"/>
          <w:sz w:val="32"/>
          <w:szCs w:val="32"/>
        </w:rPr>
      </w:pPr>
      <w:r>
        <w:rPr>
          <w:rFonts w:hint="eastAsia" w:ascii="宋体" w:hAnsi="宋体"/>
          <w:color w:val="auto"/>
          <w:sz w:val="32"/>
          <w:szCs w:val="32"/>
        </w:rPr>
        <w:t xml:space="preserve">  （八）阻碍、抗拒主管部门监督检查的；</w:t>
      </w:r>
    </w:p>
    <w:p>
      <w:pPr>
        <w:rPr>
          <w:rFonts w:ascii="宋体" w:hAnsi="宋体"/>
          <w:color w:val="auto"/>
          <w:sz w:val="32"/>
          <w:szCs w:val="32"/>
        </w:rPr>
      </w:pPr>
      <w:r>
        <w:rPr>
          <w:rFonts w:hint="eastAsia" w:ascii="宋体" w:hAnsi="宋体"/>
          <w:color w:val="auto"/>
          <w:sz w:val="32"/>
          <w:szCs w:val="32"/>
        </w:rPr>
        <w:t xml:space="preserve">  （九）其他违反本条例规定的行为。</w:t>
      </w:r>
    </w:p>
    <w:p>
      <w:pPr>
        <w:rPr>
          <w:rFonts w:ascii="黑体" w:hAnsi="黑体" w:eastAsia="黑体"/>
          <w:color w:val="auto"/>
          <w:sz w:val="40"/>
          <w:szCs w:val="40"/>
        </w:rPr>
      </w:pPr>
    </w:p>
    <w:p>
      <w:pPr>
        <w:rPr>
          <w:rFonts w:ascii="黑体" w:hAnsi="黑体" w:eastAsia="黑体"/>
          <w:color w:val="auto"/>
          <w:sz w:val="40"/>
          <w:szCs w:val="40"/>
        </w:rPr>
      </w:pPr>
    </w:p>
    <w:p>
      <w:pPr>
        <w:rPr>
          <w:rFonts w:ascii="黑体" w:hAnsi="黑体" w:eastAsia="黑体"/>
          <w:color w:val="auto"/>
          <w:sz w:val="40"/>
          <w:szCs w:val="40"/>
        </w:rPr>
      </w:pPr>
    </w:p>
    <w:p>
      <w:pPr>
        <w:rPr>
          <w:rFonts w:ascii="黑体" w:hAnsi="黑体" w:eastAsia="黑体"/>
          <w:color w:val="auto"/>
          <w:sz w:val="40"/>
          <w:szCs w:val="40"/>
        </w:rPr>
      </w:pPr>
    </w:p>
    <w:p>
      <w:pPr>
        <w:pStyle w:val="3"/>
        <w:rPr>
          <w:color w:val="auto"/>
        </w:rPr>
      </w:pPr>
      <w:r>
        <w:rPr>
          <w:rFonts w:hint="eastAsia"/>
          <w:color w:val="auto"/>
        </w:rPr>
        <w:t>目   录</w:t>
      </w:r>
    </w:p>
    <w:p>
      <w:pPr>
        <w:jc w:val="left"/>
        <w:rPr>
          <w:b/>
          <w:color w:val="auto"/>
          <w:sz w:val="24"/>
        </w:rPr>
      </w:pPr>
      <w:bookmarkStart w:id="9" w:name="bt说明"/>
      <w:bookmarkEnd w:id="9"/>
      <w:bookmarkStart w:id="10" w:name="bt投标人须知"/>
      <w:bookmarkEnd w:id="10"/>
      <w:r>
        <w:rPr>
          <w:rFonts w:hint="eastAsia"/>
          <w:color w:val="auto"/>
          <w:sz w:val="24"/>
        </w:rPr>
        <w:t>招标文件信息</w:t>
      </w:r>
    </w:p>
    <w:p>
      <w:pPr>
        <w:jc w:val="left"/>
        <w:rPr>
          <w:b/>
          <w:color w:val="auto"/>
          <w:sz w:val="24"/>
        </w:rPr>
      </w:pPr>
      <w:r>
        <w:rPr>
          <w:rFonts w:hint="eastAsia"/>
          <w:b/>
          <w:color w:val="auto"/>
          <w:sz w:val="24"/>
        </w:rPr>
        <w:t xml:space="preserve"> 第一册 专用条款</w:t>
      </w:r>
    </w:p>
    <w:p>
      <w:pPr>
        <w:ind w:firstLine="120" w:firstLineChars="50"/>
        <w:jc w:val="left"/>
        <w:rPr>
          <w:color w:val="auto"/>
          <w:sz w:val="24"/>
        </w:rPr>
      </w:pPr>
      <w:r>
        <w:rPr>
          <w:rFonts w:hint="eastAsia"/>
          <w:color w:val="auto"/>
          <w:sz w:val="24"/>
        </w:rPr>
        <w:t>第一章 招标公告</w:t>
      </w:r>
    </w:p>
    <w:p>
      <w:pPr>
        <w:ind w:firstLine="120" w:firstLineChars="50"/>
        <w:jc w:val="left"/>
        <w:rPr>
          <w:color w:val="auto"/>
          <w:sz w:val="24"/>
        </w:rPr>
      </w:pPr>
      <w:r>
        <w:rPr>
          <w:rFonts w:hint="eastAsia"/>
          <w:color w:val="auto"/>
          <w:sz w:val="24"/>
        </w:rPr>
        <w:t>第二章 用户需求书</w:t>
      </w:r>
    </w:p>
    <w:p>
      <w:pPr>
        <w:ind w:firstLine="120" w:firstLineChars="50"/>
        <w:jc w:val="left"/>
        <w:rPr>
          <w:color w:val="auto"/>
          <w:sz w:val="24"/>
        </w:rPr>
      </w:pPr>
      <w:r>
        <w:rPr>
          <w:rFonts w:hint="eastAsia"/>
          <w:color w:val="auto"/>
          <w:sz w:val="24"/>
        </w:rPr>
        <w:t>第三章 投标文件的格式、附件</w:t>
      </w:r>
    </w:p>
    <w:p>
      <w:pPr>
        <w:ind w:firstLine="120" w:firstLineChars="50"/>
        <w:jc w:val="left"/>
        <w:rPr>
          <w:color w:val="auto"/>
          <w:sz w:val="24"/>
        </w:rPr>
      </w:pPr>
      <w:r>
        <w:rPr>
          <w:rFonts w:hint="eastAsia"/>
          <w:color w:val="auto"/>
          <w:sz w:val="24"/>
        </w:rPr>
        <w:t>第四章 政府采购合同的签订、履约及验收</w:t>
      </w:r>
    </w:p>
    <w:p>
      <w:pPr>
        <w:jc w:val="left"/>
        <w:rPr>
          <w:b/>
          <w:color w:val="auto"/>
          <w:sz w:val="24"/>
        </w:rPr>
      </w:pPr>
      <w:r>
        <w:rPr>
          <w:rFonts w:hint="eastAsia"/>
          <w:b/>
          <w:color w:val="auto"/>
          <w:sz w:val="24"/>
        </w:rPr>
        <w:t xml:space="preserve"> 第二册 通用条款</w:t>
      </w:r>
    </w:p>
    <w:p>
      <w:pPr>
        <w:ind w:firstLine="120" w:firstLineChars="50"/>
        <w:jc w:val="left"/>
        <w:rPr>
          <w:color w:val="auto"/>
          <w:sz w:val="24"/>
        </w:rPr>
      </w:pPr>
      <w:r>
        <w:rPr>
          <w:rFonts w:hint="eastAsia"/>
          <w:color w:val="auto"/>
          <w:sz w:val="24"/>
        </w:rPr>
        <w:t>第一章 总则</w:t>
      </w:r>
    </w:p>
    <w:p>
      <w:pPr>
        <w:ind w:firstLine="120" w:firstLineChars="50"/>
        <w:jc w:val="left"/>
        <w:rPr>
          <w:color w:val="auto"/>
          <w:sz w:val="24"/>
        </w:rPr>
      </w:pPr>
      <w:r>
        <w:rPr>
          <w:rFonts w:hint="eastAsia"/>
          <w:color w:val="auto"/>
          <w:sz w:val="24"/>
        </w:rPr>
        <w:t>第二章 招标文件</w:t>
      </w:r>
    </w:p>
    <w:p>
      <w:pPr>
        <w:ind w:firstLine="120" w:firstLineChars="50"/>
        <w:jc w:val="left"/>
        <w:rPr>
          <w:color w:val="auto"/>
          <w:sz w:val="24"/>
        </w:rPr>
      </w:pPr>
      <w:r>
        <w:rPr>
          <w:rFonts w:hint="eastAsia"/>
          <w:color w:val="auto"/>
          <w:sz w:val="24"/>
        </w:rPr>
        <w:t>第三章 投标文件的编制</w:t>
      </w:r>
    </w:p>
    <w:p>
      <w:pPr>
        <w:ind w:firstLine="120" w:firstLineChars="50"/>
        <w:jc w:val="left"/>
        <w:rPr>
          <w:color w:val="auto"/>
          <w:sz w:val="24"/>
        </w:rPr>
      </w:pPr>
      <w:r>
        <w:rPr>
          <w:rFonts w:hint="eastAsia"/>
          <w:color w:val="auto"/>
          <w:sz w:val="24"/>
        </w:rPr>
        <w:t>第四章 投标文件的递交</w:t>
      </w:r>
    </w:p>
    <w:p>
      <w:pPr>
        <w:ind w:firstLine="120" w:firstLineChars="50"/>
        <w:jc w:val="left"/>
        <w:rPr>
          <w:color w:val="auto"/>
          <w:sz w:val="24"/>
        </w:rPr>
      </w:pPr>
      <w:r>
        <w:rPr>
          <w:rFonts w:hint="eastAsia"/>
          <w:color w:val="auto"/>
          <w:sz w:val="24"/>
        </w:rPr>
        <w:t>第五章 开标与评标</w:t>
      </w:r>
    </w:p>
    <w:p>
      <w:pPr>
        <w:ind w:firstLine="120" w:firstLineChars="50"/>
        <w:jc w:val="left"/>
        <w:rPr>
          <w:color w:val="auto"/>
          <w:sz w:val="24"/>
        </w:rPr>
      </w:pPr>
      <w:r>
        <w:rPr>
          <w:rFonts w:hint="eastAsia"/>
          <w:color w:val="auto"/>
          <w:sz w:val="24"/>
        </w:rPr>
        <w:t>第六章 定标及公示</w:t>
      </w:r>
    </w:p>
    <w:p>
      <w:pPr>
        <w:ind w:firstLine="120" w:firstLineChars="50"/>
        <w:jc w:val="left"/>
        <w:rPr>
          <w:color w:val="auto"/>
          <w:sz w:val="24"/>
        </w:rPr>
      </w:pPr>
      <w:r>
        <w:rPr>
          <w:rFonts w:hint="eastAsia"/>
          <w:color w:val="auto"/>
          <w:sz w:val="24"/>
        </w:rPr>
        <w:t>第七章 公开招标失败的后续处理</w:t>
      </w:r>
    </w:p>
    <w:p>
      <w:pPr>
        <w:ind w:firstLine="120" w:firstLineChars="50"/>
        <w:jc w:val="left"/>
        <w:rPr>
          <w:color w:val="auto"/>
          <w:sz w:val="24"/>
        </w:rPr>
      </w:pPr>
      <w:r>
        <w:rPr>
          <w:rFonts w:hint="eastAsia"/>
          <w:color w:val="auto"/>
          <w:sz w:val="24"/>
        </w:rPr>
        <w:t>第八章 授予合同</w:t>
      </w:r>
    </w:p>
    <w:p>
      <w:pPr>
        <w:ind w:firstLine="120" w:firstLineChars="50"/>
        <w:jc w:val="left"/>
        <w:rPr>
          <w:color w:val="auto"/>
          <w:sz w:val="24"/>
        </w:rPr>
      </w:pPr>
      <w:r>
        <w:rPr>
          <w:rFonts w:hint="eastAsia"/>
          <w:color w:val="auto"/>
          <w:sz w:val="24"/>
        </w:rPr>
        <w:t>第九章 质疑处理</w:t>
      </w:r>
    </w:p>
    <w:p>
      <w:pPr>
        <w:ind w:firstLine="240" w:firstLineChars="100"/>
        <w:rPr>
          <w:color w:val="auto"/>
          <w:sz w:val="24"/>
        </w:rPr>
      </w:pPr>
    </w:p>
    <w:p>
      <w:pPr>
        <w:rPr>
          <w:color w:val="auto"/>
          <w:sz w:val="24"/>
        </w:rPr>
      </w:pPr>
      <w:r>
        <w:rPr>
          <w:rFonts w:hint="eastAsia" w:ascii="宋体" w:hAnsi="宋体"/>
          <w:b/>
          <w:color w:val="auto"/>
          <w:szCs w:val="21"/>
        </w:rPr>
        <w:t>备注：专用条款与通用条款内容有冲突的，以专用条款为准</w:t>
      </w:r>
    </w:p>
    <w:p>
      <w:pPr>
        <w:rPr>
          <w:color w:val="auto"/>
          <w:sz w:val="24"/>
        </w:rPr>
      </w:pPr>
    </w:p>
    <w:p>
      <w:pPr>
        <w:rPr>
          <w:rFonts w:ascii="Verdana" w:hAnsi="Verdana" w:eastAsia="仿宋_GB2312"/>
          <w:color w:val="auto"/>
          <w:kern w:val="0"/>
          <w:sz w:val="24"/>
          <w:szCs w:val="20"/>
        </w:rPr>
        <w:sectPr>
          <w:footerReference r:id="rId3" w:type="default"/>
          <w:pgSz w:w="11906" w:h="16838"/>
          <w:pgMar w:top="720" w:right="1417" w:bottom="720" w:left="1417" w:header="851" w:footer="992" w:gutter="0"/>
          <w:cols w:space="720" w:num="1"/>
          <w:docGrid w:type="lines" w:linePitch="312" w:charSpace="0"/>
        </w:sectPr>
      </w:pPr>
    </w:p>
    <w:p>
      <w:pPr>
        <w:pStyle w:val="6"/>
        <w:keepNext/>
        <w:keepLines/>
        <w:tabs>
          <w:tab w:val="left" w:pos="720"/>
        </w:tabs>
        <w:spacing w:before="156" w:beforeLines="50" w:after="156" w:afterLines="50"/>
        <w:ind w:left="720" w:firstLine="3373" w:firstLineChars="1200"/>
        <w:jc w:val="both"/>
        <w:rPr>
          <w:rFonts w:ascii="黑体" w:hAnsi="黑体" w:eastAsia="黑体"/>
          <w:b/>
          <w:color w:val="auto"/>
          <w:sz w:val="28"/>
          <w:szCs w:val="28"/>
        </w:rPr>
      </w:pPr>
      <w:r>
        <w:rPr>
          <w:rFonts w:hint="eastAsia" w:ascii="黑体" w:hAnsi="黑体" w:eastAsia="黑体"/>
          <w:b/>
          <w:color w:val="auto"/>
          <w:sz w:val="28"/>
          <w:szCs w:val="28"/>
        </w:rPr>
        <w:t>第一册  专用条款</w:t>
      </w:r>
    </w:p>
    <w:p>
      <w:pPr>
        <w:pStyle w:val="6"/>
        <w:keepNext/>
        <w:keepLines/>
        <w:spacing w:before="260" w:after="260"/>
        <w:rPr>
          <w:rFonts w:ascii="宋体" w:hAnsi="宋体"/>
          <w:color w:val="auto"/>
          <w:szCs w:val="21"/>
        </w:rPr>
      </w:pPr>
      <w:r>
        <w:rPr>
          <w:rFonts w:hint="eastAsia" w:ascii="宋体" w:hAnsi="宋体"/>
          <w:b/>
          <w:color w:val="auto"/>
        </w:rPr>
        <w:t xml:space="preserve"> 招标公告</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光明区教育局关于购买光明新村幼儿园装修全过程造价咨询进行公开招标采购，欢迎符合资格条件的供应商投标。</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b/>
          <w:color w:val="auto"/>
          <w:kern w:val="0"/>
          <w:szCs w:val="21"/>
        </w:rPr>
        <w:t>一、采购项目名称：光明新村幼儿园装修全过程造价咨询服务的招标公告</w:t>
      </w:r>
    </w:p>
    <w:p>
      <w:pPr>
        <w:widowControl/>
        <w:shd w:val="clear" w:color="auto" w:fill="FFFFFF"/>
        <w:snapToGrid w:val="0"/>
        <w:spacing w:line="360" w:lineRule="auto"/>
        <w:ind w:firstLine="480"/>
        <w:jc w:val="left"/>
        <w:rPr>
          <w:rFonts w:ascii="宋体" w:hAnsi="宋体" w:cs="宋体"/>
          <w:b/>
          <w:color w:val="auto"/>
          <w:kern w:val="0"/>
          <w:szCs w:val="21"/>
        </w:rPr>
      </w:pPr>
      <w:r>
        <w:rPr>
          <w:rFonts w:hint="eastAsia" w:ascii="宋体" w:hAnsi="宋体" w:cs="宋体"/>
          <w:b/>
          <w:color w:val="auto"/>
          <w:kern w:val="0"/>
          <w:szCs w:val="21"/>
        </w:rPr>
        <w:t xml:space="preserve">二、采购项目内容及需求: </w:t>
      </w:r>
    </w:p>
    <w:p>
      <w:pPr>
        <w:spacing w:line="360" w:lineRule="auto"/>
        <w:ind w:firstLine="420" w:firstLineChars="200"/>
        <w:rPr>
          <w:rFonts w:hAnsi="宋体"/>
          <w:color w:val="auto"/>
          <w:szCs w:val="21"/>
        </w:rPr>
      </w:pPr>
      <w:r>
        <w:rPr>
          <w:rFonts w:hint="eastAsia" w:hAnsi="宋体"/>
          <w:color w:val="auto"/>
          <w:szCs w:val="21"/>
        </w:rPr>
        <w:t>工程概况：本工程位于深圳市光明区，项目拟对光明新村幼儿园进行装修改造，主要工程内容为：幼儿园现状为毛坯，公共区域有普通装修，拟开展土建改造、水电隐蔽、安装工程等，达到开园标准并交付使用。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Ansi="宋体"/>
          <w:color w:val="auto"/>
          <w:szCs w:val="21"/>
        </w:rPr>
      </w:pPr>
      <w:r>
        <w:rPr>
          <w:rFonts w:hint="eastAsia" w:hAnsi="宋体"/>
          <w:color w:val="auto"/>
          <w:szCs w:val="21"/>
        </w:rPr>
        <w:t>光明新村幼儿园总建筑面积3293.57平方米，办学规模12个班。项目总投资暂估922.2万元，建筑安装工程费暂估758.76万元（暂以总投资的85%比例算得，最终以发改批复的概算总投资为准）。</w:t>
      </w:r>
    </w:p>
    <w:p>
      <w:pPr>
        <w:widowControl/>
        <w:shd w:val="clear" w:color="auto" w:fill="FFFFFF"/>
        <w:snapToGrid w:val="0"/>
        <w:spacing w:line="360" w:lineRule="auto"/>
        <w:ind w:firstLine="480"/>
        <w:jc w:val="left"/>
        <w:rPr>
          <w:rFonts w:ascii="宋体" w:hAnsi="宋体" w:cs="宋体"/>
          <w:color w:val="auto"/>
          <w:szCs w:val="21"/>
        </w:rPr>
      </w:pPr>
      <w:r>
        <w:rPr>
          <w:rFonts w:hint="eastAsia" w:ascii="宋体" w:hAnsi="宋体" w:cs="宋体"/>
          <w:color w:val="auto"/>
          <w:szCs w:val="21"/>
        </w:rPr>
        <w:t>招标范围：全过程造价控制，包括概算编制、招标控制价编制、结算审核、决算审核以及实施阶段变更审核等工作内容。</w:t>
      </w:r>
    </w:p>
    <w:p>
      <w:pPr>
        <w:widowControl/>
        <w:shd w:val="clear" w:color="auto" w:fill="FFFFFF"/>
        <w:snapToGrid w:val="0"/>
        <w:spacing w:line="360" w:lineRule="auto"/>
        <w:ind w:firstLine="480"/>
        <w:jc w:val="left"/>
        <w:rPr>
          <w:rFonts w:ascii="宋体" w:hAnsi="宋体" w:cs="宋体"/>
          <w:b/>
          <w:color w:val="auto"/>
          <w:kern w:val="0"/>
          <w:szCs w:val="21"/>
        </w:rPr>
      </w:pPr>
      <w:r>
        <w:rPr>
          <w:rFonts w:hint="eastAsia" w:ascii="宋体" w:hAnsi="宋体" w:cs="宋体"/>
          <w:b/>
          <w:color w:val="auto"/>
          <w:kern w:val="0"/>
          <w:szCs w:val="21"/>
        </w:rPr>
        <w:t>三、投标人的资格要求：</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 xml:space="preserve">（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 </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2）投标人经营范围中须包含“政府采购招标”相关内容，若投标人营业执照中不体现经营范围，则投标人须提供商事主体信用网站（http://www.szcredit.com.cn/）或相关市场监督管理部门网站中相关备案情况经营范围截图并加盖投标人公章；</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3）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提供“诚信承诺函”，诚信承诺函格式详见招标文件“投标文件的格式、附件”）。</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 xml:space="preserve">（4）投标人具备《中华人民共和国政府采购法》第二十二条规定的条件（由供应商在“诚信承诺函”中作出声明，提供“诚信承诺函”，诚信承诺函格式详见招标文件“投标文件的格式、附件”）。 </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（5）投标人为采购人提供整体设计、规范编制或者本项目管理、监理、检测等服务的，不得再参与此次采购项目的投标；</w:t>
      </w:r>
    </w:p>
    <w:p>
      <w:pPr>
        <w:widowControl/>
        <w:shd w:val="clear" w:color="auto" w:fill="FFFFFF"/>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（6）本项目分为六个标，同一个投标人只能中标一次，不接受联合体投标，不接受投标人选用进口产品参与投标，不允许分包、转包。</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b/>
          <w:color w:val="auto"/>
          <w:kern w:val="0"/>
          <w:szCs w:val="21"/>
        </w:rPr>
        <w:t>四、警示条款：</w:t>
      </w:r>
      <w:r>
        <w:rPr>
          <w:rFonts w:hint="eastAsia" w:ascii="宋体" w:hAnsi="宋体" w:cs="宋体"/>
          <w:color w:val="auto"/>
          <w:kern w:val="0"/>
          <w:szCs w:val="21"/>
        </w:rPr>
        <w:t>光明区教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b/>
          <w:color w:val="auto"/>
          <w:kern w:val="0"/>
          <w:szCs w:val="21"/>
        </w:rPr>
        <w:t>五、答疑事项：</w:t>
      </w:r>
      <w:r>
        <w:rPr>
          <w:rFonts w:hint="eastAsia" w:ascii="宋体" w:hAnsi="宋体" w:cs="宋体"/>
          <w:color w:val="auto"/>
          <w:kern w:val="0"/>
          <w:szCs w:val="21"/>
        </w:rPr>
        <w:t>凡有任何疑问的，请于2020年**月**日14时30分前径向我单位咨询，逾期不予受理。</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b/>
          <w:color w:val="auto"/>
          <w:kern w:val="0"/>
          <w:szCs w:val="21"/>
        </w:rPr>
        <w:t>六、投标时间：</w:t>
      </w:r>
      <w:r>
        <w:rPr>
          <w:rFonts w:hint="eastAsia" w:ascii="宋体" w:hAnsi="宋体" w:cs="宋体"/>
          <w:color w:val="auto"/>
          <w:kern w:val="0"/>
          <w:szCs w:val="21"/>
        </w:rPr>
        <w:t>所有文件应于2020年**月**日中午12时之前递交到我单位。（注：本项目无报名环节，投标文件为</w:t>
      </w:r>
      <w:r>
        <w:rPr>
          <w:rFonts w:hint="eastAsia" w:ascii="宋体" w:hAnsi="宋体" w:cs="宋体"/>
          <w:bCs/>
          <w:color w:val="auto"/>
          <w:kern w:val="0"/>
          <w:szCs w:val="21"/>
        </w:rPr>
        <w:t>纸质标书，一正四副，</w:t>
      </w:r>
      <w:r>
        <w:rPr>
          <w:rFonts w:hint="eastAsia" w:ascii="宋体" w:hAnsi="宋体" w:cs="宋体"/>
          <w:color w:val="auto"/>
          <w:kern w:val="0"/>
          <w:szCs w:val="21"/>
        </w:rPr>
        <w:t>以本条款要求的递交文件时间为准。）</w:t>
      </w:r>
    </w:p>
    <w:p>
      <w:pPr>
        <w:widowControl/>
        <w:shd w:val="clear" w:color="auto" w:fill="FFFFFF"/>
        <w:snapToGrid w:val="0"/>
        <w:spacing w:line="360" w:lineRule="auto"/>
        <w:ind w:firstLine="480"/>
        <w:jc w:val="left"/>
        <w:rPr>
          <w:rFonts w:ascii="宋体" w:hAnsi="宋体" w:cs="宋体"/>
          <w:b/>
          <w:color w:val="auto"/>
          <w:kern w:val="0"/>
          <w:szCs w:val="21"/>
        </w:rPr>
      </w:pPr>
      <w:r>
        <w:rPr>
          <w:rFonts w:hint="eastAsia" w:ascii="宋体" w:hAnsi="宋体" w:cs="宋体"/>
          <w:b/>
          <w:color w:val="auto"/>
          <w:kern w:val="0"/>
          <w:szCs w:val="21"/>
        </w:rPr>
        <w:t>七、评审方式、时间和地点：</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定于2020年**月**日14时30分，采购采取综合评标的方式确定供应商，在深圳市光明区牛山路33号公共服务平台四楼进行评审。</w:t>
      </w:r>
    </w:p>
    <w:p>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b/>
          <w:color w:val="auto"/>
          <w:kern w:val="0"/>
          <w:szCs w:val="21"/>
        </w:rPr>
        <w:t>八、联系方式：</w:t>
      </w:r>
      <w:r>
        <w:rPr>
          <w:rFonts w:hint="eastAsia" w:ascii="宋体" w:hAnsi="宋体" w:cs="宋体"/>
          <w:color w:val="auto"/>
          <w:kern w:val="0"/>
          <w:szCs w:val="21"/>
        </w:rPr>
        <w:t>如有疑问请与我们联系。</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联系方式：张老师，8821 9587</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详细地址：深圳市光明区光明街道牛山路33号公共服务平台423室</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邮政编码：518107</w:t>
      </w:r>
    </w:p>
    <w:p>
      <w:pPr>
        <w:widowControl/>
        <w:shd w:val="clear" w:color="auto" w:fill="FFFFFF"/>
        <w:snapToGrid w:val="0"/>
        <w:spacing w:line="360" w:lineRule="auto"/>
        <w:ind w:firstLine="480"/>
        <w:jc w:val="left"/>
        <w:rPr>
          <w:rFonts w:ascii="宋体" w:hAnsi="宋体" w:cs="宋体"/>
          <w:color w:val="auto"/>
          <w:kern w:val="0"/>
          <w:szCs w:val="21"/>
        </w:rPr>
      </w:pPr>
    </w:p>
    <w:p>
      <w:pPr>
        <w:widowControl/>
        <w:shd w:val="clear" w:color="auto" w:fill="FFFFFF"/>
        <w:snapToGrid w:val="0"/>
        <w:spacing w:line="360" w:lineRule="auto"/>
        <w:ind w:firstLine="480"/>
        <w:jc w:val="left"/>
        <w:rPr>
          <w:rFonts w:ascii="宋体" w:hAnsi="宋体" w:cs="宋体"/>
          <w:color w:val="auto"/>
          <w:kern w:val="0"/>
          <w:szCs w:val="21"/>
        </w:rPr>
      </w:pPr>
    </w:p>
    <w:p>
      <w:pPr>
        <w:widowControl/>
        <w:shd w:val="clear" w:color="auto" w:fill="FFFFFF"/>
        <w:snapToGrid w:val="0"/>
        <w:spacing w:line="360" w:lineRule="auto"/>
        <w:ind w:firstLine="480"/>
        <w:jc w:val="center"/>
        <w:rPr>
          <w:rFonts w:ascii="宋体" w:hAnsi="宋体" w:cs="宋体"/>
          <w:color w:val="auto"/>
          <w:kern w:val="0"/>
          <w:szCs w:val="21"/>
        </w:rPr>
      </w:pPr>
      <w:r>
        <w:rPr>
          <w:rFonts w:hint="eastAsia" w:ascii="宋体" w:hAnsi="宋体" w:cs="宋体"/>
          <w:color w:val="auto"/>
          <w:kern w:val="0"/>
          <w:szCs w:val="21"/>
        </w:rPr>
        <w:t xml:space="preserve">                                                        光明区教育局</w:t>
      </w:r>
    </w:p>
    <w:p>
      <w:pPr>
        <w:widowControl/>
        <w:shd w:val="clear" w:color="auto" w:fill="FFFFFF"/>
        <w:snapToGrid w:val="0"/>
        <w:spacing w:line="360" w:lineRule="auto"/>
        <w:ind w:firstLine="480"/>
        <w:jc w:val="center"/>
        <w:rPr>
          <w:color w:val="auto"/>
        </w:rPr>
      </w:pPr>
      <w:r>
        <w:rPr>
          <w:rFonts w:hint="eastAsia" w:ascii="宋体" w:hAnsi="宋体" w:cs="宋体"/>
          <w:color w:val="auto"/>
          <w:kern w:val="0"/>
          <w:szCs w:val="21"/>
        </w:rPr>
        <w:t xml:space="preserve">                                                        2020年</w:t>
      </w:r>
      <w:r>
        <w:rPr>
          <w:rFonts w:hint="eastAsia" w:ascii="宋体" w:hAnsi="宋体" w:cs="宋体"/>
          <w:color w:val="auto"/>
          <w:kern w:val="0"/>
          <w:szCs w:val="21"/>
          <w:lang w:val="en-US" w:eastAsia="zh-CN"/>
        </w:rPr>
        <w:t>5</w:t>
      </w:r>
      <w:r>
        <w:rPr>
          <w:rFonts w:hint="eastAsia" w:ascii="宋体" w:hAnsi="宋体" w:cs="宋体"/>
          <w:color w:val="auto"/>
          <w:kern w:val="0"/>
          <w:szCs w:val="21"/>
        </w:rPr>
        <w:t>月</w:t>
      </w:r>
      <w:r>
        <w:rPr>
          <w:rFonts w:hint="eastAsia" w:ascii="宋体" w:hAnsi="宋体" w:cs="宋体"/>
          <w:color w:val="auto"/>
          <w:kern w:val="0"/>
          <w:szCs w:val="21"/>
          <w:lang w:val="en-US" w:eastAsia="zh-CN"/>
        </w:rPr>
        <w:t>12</w:t>
      </w:r>
      <w:r>
        <w:rPr>
          <w:rFonts w:hint="eastAsia" w:ascii="宋体" w:hAnsi="宋体" w:cs="宋体"/>
          <w:color w:val="auto"/>
          <w:kern w:val="0"/>
          <w:szCs w:val="21"/>
        </w:rPr>
        <w:t>日</w:t>
      </w:r>
    </w:p>
    <w:p>
      <w:pPr>
        <w:pStyle w:val="6"/>
        <w:keepNext/>
        <w:keepLines/>
        <w:tabs>
          <w:tab w:val="left" w:pos="720"/>
        </w:tabs>
        <w:spacing w:before="156" w:beforeLines="50" w:after="156" w:afterLines="50"/>
        <w:ind w:left="720" w:firstLine="3232" w:firstLineChars="1150"/>
        <w:jc w:val="both"/>
        <w:rPr>
          <w:rFonts w:ascii="宋体" w:hAnsi="宋体"/>
          <w:b/>
          <w:color w:val="auto"/>
          <w:sz w:val="28"/>
          <w:szCs w:val="28"/>
        </w:rPr>
      </w:pPr>
      <w:r>
        <w:rPr>
          <w:rFonts w:hint="eastAsia" w:ascii="宋体" w:hAnsi="宋体"/>
          <w:b/>
          <w:color w:val="auto"/>
          <w:sz w:val="28"/>
          <w:szCs w:val="28"/>
        </w:rPr>
        <w:br w:type="page"/>
      </w:r>
      <w:r>
        <w:rPr>
          <w:rFonts w:hint="eastAsia" w:ascii="宋体" w:hAnsi="宋体"/>
          <w:b/>
          <w:color w:val="auto"/>
          <w:sz w:val="28"/>
          <w:szCs w:val="28"/>
        </w:rPr>
        <w:t>第二章  用户需求书</w:t>
      </w:r>
    </w:p>
    <w:p>
      <w:pPr>
        <w:rPr>
          <w:bCs/>
          <w:color w:val="auto"/>
        </w:rPr>
      </w:pPr>
      <w:r>
        <w:rPr>
          <w:rFonts w:hint="eastAsia"/>
          <w:bCs/>
          <w:color w:val="auto"/>
        </w:rPr>
        <w:t>说明：</w:t>
      </w:r>
    </w:p>
    <w:p>
      <w:pPr>
        <w:ind w:firstLine="420" w:firstLineChars="200"/>
        <w:rPr>
          <w:rFonts w:ascii="宋体" w:hAnsi="宋体"/>
          <w:bCs/>
          <w:color w:val="auto"/>
          <w:szCs w:val="21"/>
        </w:rPr>
      </w:pPr>
      <w:bookmarkStart w:id="11" w:name="_Toc101074876"/>
      <w:bookmarkStart w:id="12" w:name="_Toc100052364"/>
      <w:bookmarkStart w:id="13" w:name="_Toc73518117"/>
      <w:bookmarkStart w:id="14" w:name="_Toc73517639"/>
      <w:bookmarkStart w:id="15" w:name="_Toc60631620"/>
      <w:bookmarkStart w:id="16" w:name="_Toc73521635"/>
      <w:bookmarkStart w:id="17" w:name="_Toc60560625"/>
      <w:bookmarkStart w:id="18" w:name="_Toc73521547"/>
      <w:r>
        <w:rPr>
          <w:rFonts w:hint="eastAsia" w:ascii="宋体" w:hAnsi="宋体"/>
          <w:bCs/>
          <w:color w:val="auto"/>
          <w:szCs w:val="21"/>
        </w:rPr>
        <w:t>1、本招标项目要求中所出现的幼儿园装修设计服务仅为方便描述而没有限制性，投标人可以在其提供的服务资料中选用替代标准，但这些替代标准要优于或相当于技术规格中要求的标准。</w:t>
      </w:r>
    </w:p>
    <w:p>
      <w:pPr>
        <w:ind w:firstLine="420" w:firstLineChars="200"/>
        <w:rPr>
          <w:rFonts w:ascii="宋体" w:hAnsi="宋体"/>
          <w:bCs/>
          <w:color w:val="auto"/>
          <w:szCs w:val="21"/>
        </w:rPr>
      </w:pPr>
      <w:r>
        <w:rPr>
          <w:rFonts w:hint="eastAsia" w:ascii="宋体" w:hAnsi="宋体"/>
          <w:bCs/>
          <w:color w:val="auto"/>
          <w:szCs w:val="21"/>
        </w:rPr>
        <w:t>2、标注“▲”的条款为重点审查的要求，作为评分参考的标记，但不作为实质性要求和条件。</w:t>
      </w:r>
    </w:p>
    <w:p>
      <w:pPr>
        <w:ind w:firstLine="420" w:firstLineChars="200"/>
        <w:rPr>
          <w:rFonts w:ascii="宋体" w:hAnsi="宋体"/>
          <w:bCs/>
          <w:color w:val="auto"/>
          <w:szCs w:val="21"/>
        </w:rPr>
      </w:pPr>
      <w:r>
        <w:rPr>
          <w:rFonts w:hint="eastAsia" w:ascii="宋体" w:hAnsi="宋体"/>
          <w:bCs/>
          <w:color w:val="auto"/>
          <w:szCs w:val="21"/>
        </w:rPr>
        <w:t>标注“</w:t>
      </w:r>
      <w:r>
        <w:rPr>
          <w:rFonts w:ascii="宋体" w:hAnsi="宋体"/>
          <w:bCs/>
          <w:color w:val="auto"/>
          <w:kern w:val="0"/>
          <w:szCs w:val="21"/>
        </w:rPr>
        <w:t>★</w:t>
      </w:r>
      <w:r>
        <w:rPr>
          <w:rFonts w:hint="eastAsia" w:ascii="宋体" w:hAnsi="宋体"/>
          <w:bCs/>
          <w:color w:val="auto"/>
          <w:szCs w:val="21"/>
        </w:rPr>
        <w:t>”的条款为</w:t>
      </w:r>
      <w:r>
        <w:rPr>
          <w:rFonts w:hint="eastAsia" w:ascii="宋体" w:hAnsi="宋体" w:cs="宋体"/>
          <w:bCs/>
          <w:color w:val="auto"/>
          <w:kern w:val="0"/>
          <w:szCs w:val="21"/>
        </w:rPr>
        <w:t>不允许偏离的实质性要求和条件，不符合将视为不实质性满足招标文件要求，作</w:t>
      </w:r>
      <w:r>
        <w:rPr>
          <w:rFonts w:hint="eastAsia" w:ascii="宋体" w:hAnsi="宋体"/>
          <w:bCs/>
          <w:color w:val="auto"/>
          <w:szCs w:val="21"/>
        </w:rPr>
        <w:t>投标无效处理；未标注“</w:t>
      </w:r>
      <w:r>
        <w:rPr>
          <w:rFonts w:ascii="宋体" w:hAnsi="宋体"/>
          <w:bCs/>
          <w:color w:val="auto"/>
          <w:kern w:val="0"/>
          <w:szCs w:val="21"/>
        </w:rPr>
        <w:t>★</w:t>
      </w:r>
      <w:r>
        <w:rPr>
          <w:rFonts w:hint="eastAsia" w:ascii="宋体" w:hAnsi="宋体"/>
          <w:bCs/>
          <w:color w:val="auto"/>
          <w:szCs w:val="21"/>
        </w:rPr>
        <w:t>”的条款</w:t>
      </w:r>
      <w:r>
        <w:rPr>
          <w:rFonts w:hint="eastAsia" w:ascii="宋体" w:hAnsi="宋体" w:cs="宋体"/>
          <w:bCs/>
          <w:color w:val="auto"/>
          <w:kern w:val="0"/>
          <w:szCs w:val="21"/>
        </w:rPr>
        <w:t>不作为实质性要求和条件</w:t>
      </w:r>
      <w:r>
        <w:rPr>
          <w:rFonts w:hint="eastAsia" w:ascii="宋体" w:hAnsi="宋体"/>
          <w:bCs/>
          <w:color w:val="auto"/>
          <w:szCs w:val="21"/>
        </w:rPr>
        <w:t>。</w:t>
      </w:r>
    </w:p>
    <w:p>
      <w:pPr>
        <w:ind w:firstLine="420" w:firstLineChars="200"/>
        <w:rPr>
          <w:rFonts w:ascii="宋体" w:hAnsi="宋体"/>
          <w:bCs/>
          <w:color w:val="auto"/>
          <w:szCs w:val="21"/>
        </w:rPr>
      </w:pPr>
      <w:r>
        <w:rPr>
          <w:rFonts w:hint="eastAsia" w:ascii="宋体" w:hAnsi="宋体"/>
          <w:bCs/>
          <w:color w:val="auto"/>
          <w:szCs w:val="21"/>
        </w:rPr>
        <w:t>3、投标人应根据本企业的成本自行决定报价，但不得以低于其企业成本的报价投标：</w:t>
      </w:r>
    </w:p>
    <w:p>
      <w:pPr>
        <w:ind w:firstLine="420" w:firstLineChars="200"/>
        <w:rPr>
          <w:rFonts w:ascii="宋体" w:hAnsi="宋体"/>
          <w:bCs/>
          <w:color w:val="auto"/>
          <w:szCs w:val="21"/>
        </w:rPr>
      </w:pPr>
      <w:r>
        <w:rPr>
          <w:rFonts w:hint="eastAsia" w:ascii="宋体" w:hAnsi="宋体"/>
          <w:bCs/>
          <w:color w:val="auto"/>
          <w:szCs w:val="21"/>
        </w:rPr>
        <w:t>①投标人报价明显低于成本或其他通过符合性审查投标人的报价，有可能影响服务质量或者不能诚信履约的，评审委员会应当要求其对成本构成进行介绍，并要求投标人用书面的形式进行报价合理性说明（在保证质量的前提下，能够大幅节省经费的手段或原因）；</w:t>
      </w:r>
    </w:p>
    <w:p>
      <w:pPr>
        <w:ind w:firstLine="420" w:firstLineChars="200"/>
        <w:rPr>
          <w:rFonts w:ascii="宋体" w:hAnsi="宋体"/>
          <w:bCs/>
          <w:color w:val="auto"/>
          <w:szCs w:val="21"/>
        </w:rPr>
      </w:pPr>
      <w:r>
        <w:rPr>
          <w:rFonts w:hint="eastAsia" w:ascii="宋体" w:hAnsi="宋体"/>
          <w:bCs/>
          <w:color w:val="auto"/>
          <w:szCs w:val="21"/>
        </w:rPr>
        <w:t>②未做出报价合理性说明的，评审委员会认定为该报价低于成本价，并按投标无效处理；</w:t>
      </w:r>
    </w:p>
    <w:p>
      <w:pPr>
        <w:ind w:firstLine="420" w:firstLineChars="200"/>
        <w:rPr>
          <w:rFonts w:ascii="宋体" w:hAnsi="宋体"/>
          <w:bCs/>
          <w:color w:val="auto"/>
          <w:szCs w:val="21"/>
        </w:rPr>
      </w:pPr>
      <w:r>
        <w:rPr>
          <w:rFonts w:hint="eastAsia" w:ascii="宋体" w:hAnsi="宋体"/>
          <w:bCs/>
          <w:color w:val="auto"/>
          <w:szCs w:val="21"/>
        </w:rPr>
        <w:t>③供应商的报价说明是否合理，由评审委员会判定；</w:t>
      </w:r>
    </w:p>
    <w:p>
      <w:pPr>
        <w:ind w:firstLine="420" w:firstLineChars="200"/>
        <w:rPr>
          <w:rFonts w:ascii="宋体" w:hAnsi="宋体"/>
          <w:bCs/>
          <w:color w:val="auto"/>
          <w:szCs w:val="21"/>
        </w:rPr>
      </w:pPr>
      <w:r>
        <w:rPr>
          <w:rFonts w:hint="eastAsia" w:ascii="宋体" w:hAnsi="宋体"/>
          <w:bCs/>
          <w:color w:val="auto"/>
          <w:szCs w:val="21"/>
        </w:rPr>
        <w:t>④如该报价成为中标价格，该项目将成为重点监管、重点验收项目。</w:t>
      </w:r>
    </w:p>
    <w:p>
      <w:pPr>
        <w:ind w:firstLine="420" w:firstLineChars="200"/>
        <w:rPr>
          <w:rFonts w:ascii="宋体" w:hAnsi="宋体"/>
          <w:bCs/>
          <w:color w:val="auto"/>
          <w:szCs w:val="21"/>
        </w:rPr>
      </w:pPr>
      <w:r>
        <w:rPr>
          <w:rFonts w:hint="eastAsia" w:ascii="宋体" w:hAnsi="宋体"/>
          <w:bCs/>
          <w:color w:val="auto"/>
          <w:szCs w:val="21"/>
        </w:rPr>
        <w:t>⑤若评审委员会成员对是否须由投标人作出报价合理性说明 ，以及书面说明是否采纳等判断不一致的，按照“少数服从多数”的原则确定评审委员会的意见。</w:t>
      </w:r>
    </w:p>
    <w:p>
      <w:pPr>
        <w:ind w:firstLine="420" w:firstLineChars="200"/>
        <w:rPr>
          <w:rFonts w:ascii="宋体" w:hAnsi="宋体"/>
          <w:bCs/>
          <w:color w:val="auto"/>
          <w:szCs w:val="21"/>
        </w:rPr>
      </w:pPr>
      <w:r>
        <w:rPr>
          <w:rFonts w:hint="eastAsia" w:ascii="宋体" w:hAnsi="宋体"/>
          <w:bCs/>
          <w:color w:val="auto"/>
          <w:szCs w:val="21"/>
        </w:rPr>
        <w:t>4、本项目由采购人授权评审委员会确定中标供应商，中标供应商数量为1。</w:t>
      </w:r>
    </w:p>
    <w:p>
      <w:pPr>
        <w:ind w:firstLine="420" w:firstLineChars="200"/>
        <w:rPr>
          <w:bCs/>
          <w:color w:val="auto"/>
        </w:rPr>
      </w:pPr>
      <w:r>
        <w:rPr>
          <w:rFonts w:hint="eastAsia" w:ascii="宋体" w:hAnsi="宋体"/>
          <w:bCs/>
          <w:color w:val="auto"/>
          <w:szCs w:val="21"/>
        </w:rPr>
        <w:t>5、</w:t>
      </w:r>
      <w:r>
        <w:rPr>
          <w:rFonts w:hint="eastAsia"/>
          <w:bCs/>
          <w:color w:val="auto"/>
        </w:rPr>
        <w:t>评标优惠政策：</w:t>
      </w:r>
    </w:p>
    <w:p>
      <w:pPr>
        <w:ind w:firstLine="420" w:firstLineChars="200"/>
        <w:rPr>
          <w:b/>
          <w:color w:val="auto"/>
        </w:rPr>
      </w:pPr>
      <w:r>
        <w:rPr>
          <w:rFonts w:hint="eastAsia"/>
          <w:bCs/>
          <w:color w:val="auto"/>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_</w:t>
      </w:r>
      <w:r>
        <w:rPr>
          <w:rFonts w:hint="eastAsia"/>
          <w:bCs/>
          <w:color w:val="auto"/>
          <w:u w:val="single"/>
        </w:rPr>
        <w:t>6_</w:t>
      </w:r>
      <w:r>
        <w:rPr>
          <w:rFonts w:hint="eastAsia"/>
          <w:bCs/>
          <w:color w:val="auto"/>
        </w:rPr>
        <w:t>_%后参与评审。对于同时属于小微企业、监狱企业或残疾人福利性单位的，不重复进行投标报价扣除。如有其它政策支持因素（如鼓励创新等）需一并列出。</w:t>
      </w:r>
      <w:r>
        <w:rPr>
          <w:rFonts w:hint="eastAsia"/>
          <w:color w:val="auto"/>
          <w:sz w:val="28"/>
          <w:szCs w:val="28"/>
        </w:rPr>
        <w:br w:type="page"/>
      </w:r>
      <w:bookmarkEnd w:id="11"/>
      <w:bookmarkEnd w:id="12"/>
      <w:bookmarkEnd w:id="13"/>
      <w:bookmarkEnd w:id="14"/>
      <w:bookmarkEnd w:id="15"/>
      <w:bookmarkEnd w:id="16"/>
      <w:bookmarkEnd w:id="17"/>
      <w:bookmarkEnd w:id="18"/>
    </w:p>
    <w:p>
      <w:pPr>
        <w:spacing w:after="60"/>
        <w:ind w:firstLine="560" w:firstLineChars="200"/>
        <w:outlineLvl w:val="1"/>
        <w:rPr>
          <w:color w:val="auto"/>
          <w:sz w:val="28"/>
          <w:szCs w:val="28"/>
        </w:rPr>
      </w:pPr>
      <w:r>
        <w:rPr>
          <w:rFonts w:hint="eastAsia"/>
          <w:color w:val="auto"/>
          <w:sz w:val="28"/>
          <w:szCs w:val="28"/>
        </w:rPr>
        <w:t>二、项目基本信息</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项目编号</w:t>
            </w:r>
          </w:p>
        </w:tc>
        <w:tc>
          <w:tcPr>
            <w:tcW w:w="6802" w:type="dxa"/>
            <w:tcBorders>
              <w:top w:val="single" w:color="auto" w:sz="4" w:space="0"/>
              <w:left w:val="single" w:color="auto" w:sz="4" w:space="0"/>
              <w:bottom w:val="single" w:color="auto" w:sz="4" w:space="0"/>
              <w:right w:val="single" w:color="auto" w:sz="4" w:space="0"/>
            </w:tcBorders>
            <w:vAlign w:val="center"/>
          </w:tcPr>
          <w:p>
            <w:pPr>
              <w:spacing w:after="6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项目名称</w:t>
            </w:r>
          </w:p>
        </w:tc>
        <w:tc>
          <w:tcPr>
            <w:tcW w:w="6802" w:type="dxa"/>
            <w:tcBorders>
              <w:top w:val="single" w:color="auto" w:sz="4" w:space="0"/>
              <w:left w:val="single" w:color="auto" w:sz="4" w:space="0"/>
              <w:bottom w:val="single" w:color="auto" w:sz="4" w:space="0"/>
              <w:right w:val="single" w:color="auto" w:sz="4" w:space="0"/>
            </w:tcBorders>
            <w:vAlign w:val="center"/>
          </w:tcPr>
          <w:p>
            <w:pPr>
              <w:spacing w:after="60"/>
              <w:jc w:val="left"/>
              <w:rPr>
                <w:color w:val="auto"/>
              </w:rPr>
            </w:pPr>
            <w:r>
              <w:rPr>
                <w:rFonts w:hint="eastAsia"/>
                <w:color w:val="auto"/>
              </w:rPr>
              <w:t>光明新村幼儿园装修造价咨询服务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预算金额</w:t>
            </w:r>
          </w:p>
        </w:tc>
        <w:tc>
          <w:tcPr>
            <w:tcW w:w="6802" w:type="dxa"/>
            <w:tcBorders>
              <w:top w:val="single" w:color="auto" w:sz="4" w:space="0"/>
              <w:left w:val="single" w:color="auto" w:sz="4" w:space="0"/>
              <w:bottom w:val="single" w:color="auto" w:sz="4" w:space="0"/>
              <w:right w:val="single" w:color="auto" w:sz="4" w:space="0"/>
            </w:tcBorders>
            <w:vAlign w:val="center"/>
          </w:tcPr>
          <w:p>
            <w:pPr>
              <w:spacing w:after="60"/>
              <w:jc w:val="left"/>
              <w:rPr>
                <w:rFonts w:ascii="宋体" w:cs="宋体"/>
                <w:b/>
                <w:bCs/>
                <w:color w:val="auto"/>
                <w:szCs w:val="21"/>
                <w:lang w:val="zh-CN"/>
              </w:rPr>
            </w:pPr>
            <w:r>
              <w:rPr>
                <w:rFonts w:hint="eastAsia" w:ascii="宋体" w:hAnsi="宋体" w:cs="宋体"/>
                <w:color w:val="auto"/>
                <w:sz w:val="24"/>
              </w:rPr>
              <w:t>173996元</w:t>
            </w:r>
            <w:r>
              <w:rPr>
                <w:rFonts w:hint="eastAsia"/>
                <w:color w:val="auto"/>
              </w:rPr>
              <w:t>（超出预算金额的报价将被当作无效投标处理）</w:t>
            </w:r>
          </w:p>
        </w:tc>
      </w:tr>
    </w:tbl>
    <w:p>
      <w:pPr>
        <w:spacing w:after="60" w:line="400" w:lineRule="exact"/>
        <w:ind w:firstLine="560" w:firstLineChars="200"/>
        <w:outlineLvl w:val="1"/>
        <w:rPr>
          <w:color w:val="auto"/>
          <w:sz w:val="28"/>
          <w:szCs w:val="28"/>
        </w:rPr>
      </w:pPr>
    </w:p>
    <w:p>
      <w:pPr>
        <w:spacing w:line="407" w:lineRule="auto"/>
        <w:ind w:right="22" w:firstLine="560" w:firstLineChars="200"/>
        <w:rPr>
          <w:rFonts w:ascii="宋体" w:hAnsi="宋体"/>
          <w:color w:val="auto"/>
          <w:sz w:val="28"/>
          <w:szCs w:val="28"/>
        </w:rPr>
      </w:pPr>
      <w:r>
        <w:rPr>
          <w:rFonts w:hint="eastAsia" w:ascii="宋体" w:hAnsi="宋体"/>
          <w:color w:val="auto"/>
          <w:sz w:val="28"/>
          <w:szCs w:val="28"/>
        </w:rPr>
        <w:t>三、项目概况</w:t>
      </w:r>
    </w:p>
    <w:p>
      <w:pPr>
        <w:spacing w:line="360" w:lineRule="auto"/>
        <w:ind w:firstLine="420" w:firstLineChars="200"/>
        <w:rPr>
          <w:rFonts w:hAnsi="宋体"/>
          <w:color w:val="auto"/>
          <w:szCs w:val="21"/>
        </w:rPr>
      </w:pPr>
      <w:r>
        <w:rPr>
          <w:rFonts w:hint="eastAsia" w:hAnsi="宋体"/>
          <w:color w:val="auto"/>
          <w:szCs w:val="21"/>
        </w:rPr>
        <w:t>工程概况：光明新村幼儿园进行装修改造，主要工程内容为：幼儿园现状为毛坯，公共区域有普通装修，拟开展土建改造、水电隐蔽、安装工程等，达到开园标准并交付使用。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Ansi="宋体"/>
          <w:color w:val="auto"/>
          <w:szCs w:val="21"/>
        </w:rPr>
      </w:pPr>
      <w:r>
        <w:rPr>
          <w:rFonts w:hint="eastAsia" w:hAnsi="宋体"/>
          <w:color w:val="auto"/>
          <w:szCs w:val="21"/>
        </w:rPr>
        <w:t>光明新村幼儿园总建筑面积3293.57平方米，办学规模12个班。项目总投资暂估922.2万元，建筑安装工程费暂估758.76万元（暂以总投资的85%比例算得，最终以发改批复的概算总投资为准）。</w:t>
      </w:r>
    </w:p>
    <w:p>
      <w:pPr>
        <w:pStyle w:val="2"/>
        <w:rPr>
          <w:color w:val="auto"/>
          <w:lang w:eastAsia="zh-CN"/>
        </w:rPr>
      </w:pPr>
    </w:p>
    <w:p>
      <w:pPr>
        <w:spacing w:line="407" w:lineRule="auto"/>
        <w:ind w:right="22" w:firstLine="560" w:firstLineChars="200"/>
        <w:rPr>
          <w:rFonts w:ascii="宋体" w:hAnsi="宋体"/>
          <w:color w:val="auto"/>
          <w:sz w:val="28"/>
          <w:szCs w:val="28"/>
        </w:rPr>
      </w:pPr>
      <w:r>
        <w:rPr>
          <w:rFonts w:hint="eastAsia" w:ascii="宋体" w:hAnsi="宋体"/>
          <w:color w:val="auto"/>
          <w:sz w:val="28"/>
          <w:szCs w:val="28"/>
        </w:rPr>
        <w:t>四、服务范围及要求</w:t>
      </w:r>
    </w:p>
    <w:p>
      <w:pPr>
        <w:spacing w:line="407" w:lineRule="auto"/>
        <w:ind w:right="22" w:firstLine="420" w:firstLineChars="200"/>
        <w:jc w:val="left"/>
        <w:rPr>
          <w:rFonts w:ascii="宋体" w:hAnsi="宋体"/>
          <w:color w:val="auto"/>
          <w:szCs w:val="21"/>
        </w:rPr>
      </w:pPr>
      <w:r>
        <w:rPr>
          <w:rFonts w:hint="eastAsia" w:ascii="宋体" w:hAnsi="宋体"/>
          <w:color w:val="auto"/>
          <w:szCs w:val="21"/>
        </w:rPr>
        <w:t>1.概算编制：计量计价准确、取费文件合理、询价准确、计算式清晰等计价依据充分，资料齐全后10日内完成概算编制工作。概算编制成果含封面、编制说明、完整计价文件、签字盖章完整，一式三份。</w:t>
      </w:r>
    </w:p>
    <w:p>
      <w:pPr>
        <w:spacing w:line="407" w:lineRule="auto"/>
        <w:ind w:right="22" w:firstLine="420" w:firstLineChars="200"/>
        <w:jc w:val="left"/>
        <w:rPr>
          <w:rFonts w:ascii="宋体" w:hAnsi="宋体"/>
          <w:color w:val="auto"/>
          <w:szCs w:val="21"/>
        </w:rPr>
      </w:pPr>
      <w:r>
        <w:rPr>
          <w:rFonts w:hint="eastAsia" w:ascii="宋体" w:hAnsi="宋体"/>
          <w:color w:val="auto"/>
          <w:szCs w:val="21"/>
        </w:rPr>
        <w:t>2.招标控制价编制：计量计价准确、取费文件合理、询价准确、计算式清晰等计价依据充分，资料齐全后10日内完成招标控制价编制工作。招标控制价成果含封面、编制说明、完整计价文件、签字盖章完整，一式三份。</w:t>
      </w:r>
    </w:p>
    <w:p>
      <w:pPr>
        <w:spacing w:line="407" w:lineRule="auto"/>
        <w:ind w:right="22" w:firstLine="420" w:firstLineChars="200"/>
        <w:jc w:val="left"/>
        <w:rPr>
          <w:rFonts w:ascii="宋体" w:hAnsi="宋体" w:cs="宋体"/>
          <w:color w:val="auto"/>
          <w:szCs w:val="21"/>
        </w:rPr>
      </w:pPr>
      <w:r>
        <w:rPr>
          <w:rFonts w:hint="eastAsia" w:ascii="宋体" w:hAnsi="宋体"/>
          <w:color w:val="auto"/>
          <w:szCs w:val="21"/>
        </w:rPr>
        <w:t>3.</w:t>
      </w:r>
      <w:r>
        <w:rPr>
          <w:rFonts w:hint="eastAsia" w:ascii="宋体" w:hAnsi="宋体" w:cs="宋体"/>
          <w:color w:val="auto"/>
          <w:szCs w:val="21"/>
        </w:rPr>
        <w:t>实施阶段变更审核：严格根据施工合同，变更签证等资料审核，审核依据充分，计量计价合理，资料齐全后7日内完成签证变更审核工作。签证变更审核成果含封面、审核说明、完整计价文件、签字盖章完整，一式三份。</w:t>
      </w:r>
    </w:p>
    <w:p>
      <w:pPr>
        <w:spacing w:line="407" w:lineRule="auto"/>
        <w:ind w:right="22" w:firstLine="420" w:firstLineChars="200"/>
        <w:jc w:val="left"/>
        <w:rPr>
          <w:rFonts w:ascii="宋体" w:hAnsi="宋体" w:cs="宋体"/>
          <w:color w:val="auto"/>
          <w:szCs w:val="21"/>
        </w:rPr>
      </w:pPr>
      <w:r>
        <w:rPr>
          <w:rFonts w:hint="eastAsia" w:ascii="宋体" w:hAnsi="宋体" w:cs="宋体"/>
          <w:color w:val="auto"/>
          <w:szCs w:val="21"/>
        </w:rPr>
        <w:t>4.结算审核：严格根据施工合同，施工图、变更签证等资料审核，审核依据充分，计量计价合理，资料齐全后30日内完成结算审核工作。结算审核成果含封面、审核说明、完整计价文件、签字盖章完整，一式三份。</w:t>
      </w:r>
    </w:p>
    <w:p>
      <w:pPr>
        <w:spacing w:line="407" w:lineRule="auto"/>
        <w:ind w:right="22" w:firstLine="420" w:firstLineChars="200"/>
        <w:jc w:val="left"/>
        <w:rPr>
          <w:rFonts w:ascii="宋体" w:hAnsi="宋体" w:cs="宋体"/>
          <w:color w:val="auto"/>
          <w:szCs w:val="21"/>
        </w:rPr>
      </w:pPr>
      <w:r>
        <w:rPr>
          <w:rFonts w:hint="eastAsia" w:ascii="宋体" w:hAnsi="宋体" w:cs="宋体"/>
          <w:color w:val="auto"/>
          <w:szCs w:val="21"/>
        </w:rPr>
        <w:t>5.决算审核：严格根据施工合同、工程建设其它费合同等资料审核，审核依据充分，计量计价合理，资料齐全后7日内完成决算审核工作。决算审核成果含封面、审核说明、完整计价文件、签字盖章完整，一式三份。</w:t>
      </w:r>
    </w:p>
    <w:p>
      <w:pPr>
        <w:spacing w:line="407" w:lineRule="auto"/>
        <w:ind w:right="22" w:firstLine="562" w:firstLineChars="200"/>
        <w:jc w:val="left"/>
        <w:rPr>
          <w:rFonts w:ascii="宋体" w:hAnsi="宋体"/>
          <w:b/>
          <w:color w:val="auto"/>
          <w:sz w:val="28"/>
          <w:szCs w:val="36"/>
        </w:rPr>
      </w:pPr>
    </w:p>
    <w:p>
      <w:pPr>
        <w:spacing w:line="407" w:lineRule="auto"/>
        <w:ind w:right="22" w:firstLine="562" w:firstLineChars="200"/>
        <w:jc w:val="left"/>
        <w:rPr>
          <w:rFonts w:ascii="宋体" w:hAnsi="宋体"/>
          <w:b/>
          <w:color w:val="auto"/>
          <w:sz w:val="28"/>
          <w:szCs w:val="36"/>
        </w:rPr>
      </w:pPr>
    </w:p>
    <w:p>
      <w:pPr>
        <w:spacing w:line="407" w:lineRule="auto"/>
        <w:ind w:right="22" w:firstLine="562" w:firstLineChars="200"/>
        <w:jc w:val="left"/>
        <w:rPr>
          <w:rFonts w:ascii="宋体" w:hAnsi="宋体"/>
          <w:b/>
          <w:color w:val="auto"/>
          <w:sz w:val="28"/>
          <w:szCs w:val="36"/>
        </w:rPr>
      </w:pPr>
    </w:p>
    <w:p>
      <w:pPr>
        <w:spacing w:line="407" w:lineRule="auto"/>
        <w:ind w:right="22" w:firstLine="562" w:firstLineChars="200"/>
        <w:jc w:val="left"/>
        <w:rPr>
          <w:color w:val="auto"/>
        </w:rPr>
      </w:pPr>
      <w:r>
        <w:rPr>
          <w:rFonts w:hint="eastAsia" w:ascii="宋体" w:hAnsi="宋体"/>
          <w:b/>
          <w:color w:val="auto"/>
          <w:sz w:val="28"/>
          <w:szCs w:val="36"/>
        </w:rPr>
        <w:t>第三章  投标文件的格式、附件</w:t>
      </w:r>
    </w:p>
    <w:p>
      <w:pPr>
        <w:ind w:left="420" w:leftChars="200"/>
        <w:rPr>
          <w:rFonts w:ascii="宋体" w:hAnsi="宋体"/>
          <w:color w:val="auto"/>
          <w:szCs w:val="21"/>
        </w:rPr>
      </w:pPr>
      <w:r>
        <w:rPr>
          <w:rStyle w:val="250"/>
          <w:rFonts w:hint="eastAsia"/>
          <w:color w:val="auto"/>
          <w:szCs w:val="21"/>
        </w:rPr>
        <w:t>特别提醒：</w:t>
      </w:r>
      <w:r>
        <w:rPr>
          <w:rFonts w:hint="eastAsia" w:ascii="宋体" w:hAnsi="宋体"/>
          <w:color w:val="auto"/>
          <w:szCs w:val="21"/>
        </w:rPr>
        <w:t>投标人在编制投标文件时，在投标文件目录中属于本节点内容的必须在本节点中填写，填写到其他节点或附件的将</w:t>
      </w:r>
      <w:r>
        <w:rPr>
          <w:rFonts w:hint="eastAsia" w:ascii="宋体" w:hAnsi="宋体"/>
          <w:b/>
          <w:color w:val="auto"/>
          <w:szCs w:val="21"/>
        </w:rPr>
        <w:t>可能</w:t>
      </w:r>
      <w:r>
        <w:rPr>
          <w:rFonts w:hint="eastAsia" w:ascii="宋体" w:hAnsi="宋体"/>
          <w:color w:val="auto"/>
          <w:szCs w:val="21"/>
        </w:rPr>
        <w:t>导致投标无效，投标人应自行承担不利后果。</w:t>
      </w:r>
    </w:p>
    <w:p>
      <w:pPr>
        <w:ind w:left="420" w:leftChars="200"/>
        <w:rPr>
          <w:rFonts w:ascii="宋体" w:hAnsi="宋体"/>
          <w:color w:val="auto"/>
          <w:szCs w:val="21"/>
        </w:rPr>
      </w:pPr>
    </w:p>
    <w:p>
      <w:pPr>
        <w:pStyle w:val="4"/>
        <w:ind w:left="420" w:leftChars="200"/>
        <w:jc w:val="center"/>
        <w:rPr>
          <w:rFonts w:ascii="黑体"/>
          <w:color w:val="auto"/>
          <w:kern w:val="0"/>
          <w:sz w:val="24"/>
        </w:rPr>
      </w:pPr>
      <w:r>
        <w:rPr>
          <w:rFonts w:hint="eastAsia" w:ascii="黑体"/>
          <w:color w:val="auto"/>
          <w:kern w:val="0"/>
          <w:sz w:val="24"/>
        </w:rPr>
        <w:t>一、法定代表人证明书</w:t>
      </w:r>
    </w:p>
    <w:p>
      <w:pPr>
        <w:ind w:left="420" w:leftChars="200"/>
        <w:rPr>
          <w:color w:val="auto"/>
          <w:sz w:val="24"/>
        </w:rPr>
      </w:pPr>
    </w:p>
    <w:p>
      <w:pPr>
        <w:ind w:left="420" w:leftChars="200"/>
        <w:rPr>
          <w:color w:val="auto"/>
          <w:szCs w:val="21"/>
          <w:u w:val="single"/>
        </w:rPr>
      </w:pPr>
      <w:r>
        <w:rPr>
          <w:rFonts w:hint="eastAsia"/>
          <w:color w:val="auto"/>
          <w:szCs w:val="21"/>
        </w:rPr>
        <w:t>单位名称：</w:t>
      </w:r>
    </w:p>
    <w:p>
      <w:pPr>
        <w:ind w:left="420" w:leftChars="200"/>
        <w:rPr>
          <w:color w:val="auto"/>
          <w:szCs w:val="21"/>
          <w:u w:val="single"/>
        </w:rPr>
      </w:pPr>
      <w:r>
        <w:rPr>
          <w:rFonts w:hint="eastAsia"/>
          <w:color w:val="auto"/>
          <w:szCs w:val="21"/>
        </w:rPr>
        <w:t>地址：</w:t>
      </w:r>
    </w:p>
    <w:p>
      <w:pPr>
        <w:ind w:left="420" w:leftChars="200"/>
        <w:rPr>
          <w:color w:val="auto"/>
          <w:szCs w:val="21"/>
          <w:u w:val="single"/>
        </w:rPr>
      </w:pPr>
      <w:r>
        <w:rPr>
          <w:rFonts w:hint="eastAsia"/>
          <w:color w:val="auto"/>
          <w:szCs w:val="21"/>
        </w:rPr>
        <w:t>姓名：  性别：    年龄：       身份证号码：                   职务：</w:t>
      </w:r>
    </w:p>
    <w:p>
      <w:pPr>
        <w:ind w:left="420" w:leftChars="200"/>
        <w:rPr>
          <w:color w:val="auto"/>
          <w:szCs w:val="21"/>
        </w:rPr>
      </w:pPr>
      <w:r>
        <w:rPr>
          <w:rFonts w:hint="eastAsia"/>
          <w:color w:val="auto"/>
          <w:szCs w:val="21"/>
        </w:rPr>
        <w:t>系</w:t>
      </w:r>
      <w:r>
        <w:rPr>
          <w:rFonts w:hint="eastAsia"/>
          <w:color w:val="auto"/>
          <w:szCs w:val="21"/>
          <w:u w:val="single"/>
        </w:rPr>
        <w:t>（投标人名称）</w:t>
      </w:r>
      <w:r>
        <w:rPr>
          <w:rFonts w:hint="eastAsia"/>
          <w:color w:val="auto"/>
          <w:szCs w:val="21"/>
        </w:rPr>
        <w:t>的法定代表人。</w:t>
      </w:r>
    </w:p>
    <w:p>
      <w:pPr>
        <w:ind w:left="420" w:leftChars="200"/>
        <w:rPr>
          <w:color w:val="auto"/>
          <w:szCs w:val="21"/>
        </w:rPr>
      </w:pPr>
      <w:r>
        <w:rPr>
          <w:rFonts w:hint="eastAsia"/>
          <w:color w:val="auto"/>
          <w:szCs w:val="21"/>
        </w:rPr>
        <w:t>特此证明</w:t>
      </w:r>
    </w:p>
    <w:p>
      <w:pPr>
        <w:ind w:left="420" w:leftChars="200" w:right="420"/>
        <w:jc w:val="right"/>
        <w:rPr>
          <w:color w:val="auto"/>
          <w:szCs w:val="21"/>
        </w:rPr>
      </w:pPr>
      <w:r>
        <w:rPr>
          <w:rFonts w:hint="eastAsia"/>
          <w:color w:val="auto"/>
          <w:szCs w:val="21"/>
        </w:rPr>
        <w:t>日期：年月日</w:t>
      </w:r>
    </w:p>
    <w:p>
      <w:pPr>
        <w:ind w:left="420" w:leftChars="200"/>
        <w:jc w:val="left"/>
        <w:rPr>
          <w:color w:val="auto"/>
          <w:szCs w:val="21"/>
        </w:rPr>
      </w:pPr>
    </w:p>
    <w:p>
      <w:pPr>
        <w:ind w:left="420" w:leftChars="200"/>
        <w:jc w:val="left"/>
        <w:rPr>
          <w:color w:val="auto"/>
          <w:szCs w:val="21"/>
        </w:rPr>
      </w:pPr>
      <w:r>
        <w:rPr>
          <w:rFonts w:hint="eastAsia"/>
          <w:color w:val="auto"/>
          <w:szCs w:val="21"/>
        </w:rPr>
        <w:t>附：法定代表人身份证复印件。</w:t>
      </w:r>
    </w:p>
    <w:p>
      <w:pPr>
        <w:ind w:left="420" w:leftChars="200"/>
        <w:rPr>
          <w:color w:val="auto"/>
          <w:szCs w:val="21"/>
        </w:rPr>
      </w:pPr>
    </w:p>
    <w:p>
      <w:pPr>
        <w:ind w:left="420" w:leftChars="200"/>
        <w:rPr>
          <w:b/>
          <w:color w:val="auto"/>
          <w:szCs w:val="21"/>
        </w:rPr>
      </w:pPr>
      <w:r>
        <w:rPr>
          <w:rFonts w:hint="eastAsia"/>
          <w:b/>
          <w:color w:val="auto"/>
          <w:szCs w:val="21"/>
        </w:rPr>
        <w:t>注：必须提供法定代表人（负责人）有效期内身份证（正反面）扫描件（非中国境内居民，可提供公安部门认可的身份证明材料），否则将导致投标无效。</w:t>
      </w:r>
    </w:p>
    <w:p>
      <w:pPr>
        <w:ind w:left="420" w:leftChars="200"/>
        <w:rPr>
          <w:b/>
          <w:color w:val="auto"/>
          <w:szCs w:val="21"/>
        </w:rPr>
      </w:pPr>
    </w:p>
    <w:p>
      <w:pPr>
        <w:ind w:left="420" w:leftChars="200"/>
        <w:rPr>
          <w:b/>
          <w:color w:val="auto"/>
          <w:szCs w:val="21"/>
        </w:rPr>
      </w:pPr>
    </w:p>
    <w:p>
      <w:pPr>
        <w:ind w:left="420" w:leftChars="200"/>
        <w:rPr>
          <w:b/>
          <w:color w:val="auto"/>
          <w:szCs w:val="21"/>
        </w:rPr>
      </w:pPr>
    </w:p>
    <w:p>
      <w:pPr>
        <w:pStyle w:val="4"/>
        <w:ind w:left="420" w:leftChars="200"/>
        <w:jc w:val="center"/>
        <w:rPr>
          <w:rFonts w:ascii="黑体"/>
          <w:color w:val="auto"/>
          <w:kern w:val="0"/>
          <w:sz w:val="24"/>
        </w:rPr>
      </w:pPr>
      <w:r>
        <w:rPr>
          <w:rFonts w:hint="eastAsia" w:ascii="黑体"/>
          <w:color w:val="auto"/>
          <w:kern w:val="0"/>
          <w:sz w:val="24"/>
        </w:rPr>
        <w:t>二、授权委托书</w:t>
      </w:r>
    </w:p>
    <w:p>
      <w:pPr>
        <w:spacing w:line="360" w:lineRule="auto"/>
        <w:ind w:left="420" w:leftChars="200"/>
        <w:rPr>
          <w:color w:val="auto"/>
          <w:szCs w:val="21"/>
        </w:rPr>
      </w:pPr>
      <w:r>
        <w:rPr>
          <w:rFonts w:hint="eastAsia"/>
          <w:color w:val="auto"/>
          <w:szCs w:val="21"/>
        </w:rPr>
        <w:t>我</w:t>
      </w:r>
      <w:r>
        <w:rPr>
          <w:rFonts w:hint="eastAsia"/>
          <w:color w:val="auto"/>
          <w:szCs w:val="21"/>
          <w:u w:val="single"/>
        </w:rPr>
        <w:t>（姓名）</w:t>
      </w:r>
      <w:r>
        <w:rPr>
          <w:rFonts w:hint="eastAsia"/>
          <w:color w:val="auto"/>
          <w:szCs w:val="21"/>
        </w:rPr>
        <w:t>系</w:t>
      </w:r>
      <w:r>
        <w:rPr>
          <w:rFonts w:hint="eastAsia"/>
          <w:color w:val="auto"/>
          <w:szCs w:val="21"/>
          <w:u w:val="single"/>
        </w:rPr>
        <w:t>（投标人名称）的</w:t>
      </w:r>
      <w:r>
        <w:rPr>
          <w:rFonts w:hint="eastAsia"/>
          <w:color w:val="auto"/>
          <w:szCs w:val="21"/>
        </w:rPr>
        <w:t>法定代表人，现授权我单位的</w:t>
      </w:r>
      <w:r>
        <w:rPr>
          <w:rFonts w:hint="eastAsia"/>
          <w:color w:val="auto"/>
          <w:szCs w:val="21"/>
          <w:u w:val="single"/>
        </w:rPr>
        <w:t>（姓名）（身份证号码：）</w:t>
      </w:r>
      <w:r>
        <w:rPr>
          <w:rFonts w:hint="eastAsia"/>
          <w:color w:val="auto"/>
          <w:szCs w:val="21"/>
        </w:rPr>
        <w:t>代表我单位签署</w:t>
      </w:r>
      <w:r>
        <w:rPr>
          <w:rFonts w:hint="eastAsia"/>
          <w:color w:val="auto"/>
          <w:szCs w:val="21"/>
          <w:u w:val="single"/>
        </w:rPr>
        <w:t>（项目名称：项目编号：）</w:t>
      </w:r>
      <w:r>
        <w:rPr>
          <w:rFonts w:hint="eastAsia"/>
          <w:color w:val="auto"/>
          <w:szCs w:val="21"/>
        </w:rPr>
        <w:t>的投标文件、参与项目投标、澄清投标文件、签署合同和处理与该项目有关的一切事务。在此过程中所签署的一切文件及处理与该项目有关的一切事务，我均予以承认；</w:t>
      </w:r>
    </w:p>
    <w:p>
      <w:pPr>
        <w:spacing w:line="360" w:lineRule="auto"/>
        <w:ind w:left="420" w:leftChars="200"/>
        <w:rPr>
          <w:color w:val="auto"/>
          <w:szCs w:val="21"/>
        </w:rPr>
      </w:pPr>
      <w:r>
        <w:rPr>
          <w:rFonts w:hint="eastAsia"/>
          <w:color w:val="auto"/>
          <w:szCs w:val="21"/>
        </w:rPr>
        <w:t>被授权人签署的所有文件不因授权的撤消而消失；被授权人无转委权。</w:t>
      </w:r>
    </w:p>
    <w:p>
      <w:pPr>
        <w:spacing w:line="360" w:lineRule="auto"/>
        <w:ind w:left="420" w:leftChars="200"/>
        <w:rPr>
          <w:color w:val="auto"/>
          <w:szCs w:val="21"/>
          <w:u w:val="single"/>
        </w:rPr>
      </w:pPr>
      <w:r>
        <w:rPr>
          <w:rFonts w:hint="eastAsia"/>
          <w:color w:val="auto"/>
          <w:szCs w:val="21"/>
        </w:rPr>
        <w:t>被授权人：性别：年龄：</w:t>
      </w:r>
    </w:p>
    <w:p>
      <w:pPr>
        <w:spacing w:line="360" w:lineRule="auto"/>
        <w:ind w:left="420" w:leftChars="200"/>
        <w:rPr>
          <w:color w:val="auto"/>
          <w:szCs w:val="21"/>
        </w:rPr>
      </w:pPr>
      <w:r>
        <w:rPr>
          <w:rFonts w:hint="eastAsia"/>
          <w:color w:val="auto"/>
          <w:szCs w:val="21"/>
        </w:rPr>
        <w:t>联系电话：手机：</w:t>
      </w:r>
    </w:p>
    <w:p>
      <w:pPr>
        <w:spacing w:line="360" w:lineRule="auto"/>
        <w:ind w:left="420" w:leftChars="200"/>
        <w:jc w:val="right"/>
        <w:rPr>
          <w:color w:val="auto"/>
          <w:szCs w:val="21"/>
        </w:rPr>
      </w:pPr>
      <w:r>
        <w:rPr>
          <w:rFonts w:hint="eastAsia"/>
          <w:color w:val="auto"/>
          <w:szCs w:val="21"/>
        </w:rPr>
        <w:t>日期：年月日</w:t>
      </w:r>
    </w:p>
    <w:p>
      <w:pPr>
        <w:spacing w:line="360" w:lineRule="auto"/>
        <w:ind w:left="420" w:leftChars="200"/>
        <w:rPr>
          <w:color w:val="auto"/>
          <w:szCs w:val="21"/>
        </w:rPr>
      </w:pPr>
      <w:r>
        <w:rPr>
          <w:rFonts w:hint="eastAsia"/>
          <w:color w:val="auto"/>
          <w:szCs w:val="21"/>
        </w:rPr>
        <w:t>附：被授权人身份证复印件。</w:t>
      </w:r>
    </w:p>
    <w:p>
      <w:pPr>
        <w:ind w:left="420" w:leftChars="200"/>
        <w:rPr>
          <w:b/>
          <w:color w:val="auto"/>
          <w:szCs w:val="21"/>
        </w:rPr>
      </w:pPr>
    </w:p>
    <w:p>
      <w:pPr>
        <w:ind w:left="420" w:leftChars="200"/>
        <w:rPr>
          <w:b/>
          <w:color w:val="auto"/>
          <w:szCs w:val="21"/>
        </w:rPr>
      </w:pPr>
      <w:r>
        <w:rPr>
          <w:rFonts w:hint="eastAsia"/>
          <w:b/>
          <w:color w:val="auto"/>
          <w:szCs w:val="21"/>
        </w:rPr>
        <w:t>注：须提供被授权人有效期内身份证（正反面）扫描件。</w:t>
      </w:r>
    </w:p>
    <w:p>
      <w:pPr>
        <w:pStyle w:val="4"/>
        <w:ind w:left="420" w:leftChars="200"/>
        <w:jc w:val="center"/>
        <w:rPr>
          <w:rFonts w:ascii="黑体"/>
          <w:color w:val="auto"/>
          <w:kern w:val="0"/>
          <w:sz w:val="24"/>
        </w:rPr>
      </w:pPr>
      <w:r>
        <w:rPr>
          <w:rFonts w:hint="eastAsia" w:ascii="黑体"/>
          <w:color w:val="auto"/>
          <w:kern w:val="0"/>
          <w:sz w:val="24"/>
        </w:rPr>
        <w:br w:type="page"/>
      </w:r>
      <w:r>
        <w:rPr>
          <w:rFonts w:hint="eastAsia" w:ascii="黑体"/>
          <w:color w:val="auto"/>
          <w:kern w:val="0"/>
          <w:sz w:val="24"/>
        </w:rPr>
        <w:t>三、投标函</w:t>
      </w:r>
    </w:p>
    <w:p>
      <w:pPr>
        <w:ind w:left="420" w:leftChars="200"/>
        <w:rPr>
          <w:b/>
          <w:color w:val="auto"/>
        </w:rPr>
      </w:pPr>
      <w:r>
        <w:rPr>
          <w:rFonts w:hint="eastAsia"/>
          <w:b/>
          <w:color w:val="auto"/>
        </w:rPr>
        <w:t>投标人确保被授权人的联系方式正确，并保证在项目开评标过程中及项目履约期间保持电话、手机畅通。如因投标人自身原因导致无法联系的情况，投标人应自行承担不利后果。</w:t>
      </w:r>
    </w:p>
    <w:p>
      <w:pPr>
        <w:ind w:left="420" w:leftChars="200"/>
        <w:rPr>
          <w:rFonts w:ascii="宋体" w:hAnsi="宋体"/>
          <w:color w:val="auto"/>
          <w:szCs w:val="21"/>
          <w:u w:val="single"/>
        </w:rPr>
      </w:pPr>
      <w:r>
        <w:rPr>
          <w:rFonts w:hint="eastAsia"/>
          <w:color w:val="auto"/>
          <w:szCs w:val="21"/>
        </w:rPr>
        <w:t>致：</w:t>
      </w:r>
      <w:r>
        <w:rPr>
          <w:rFonts w:hint="eastAsia" w:ascii="宋体" w:hAnsi="宋体"/>
          <w:color w:val="auto"/>
          <w:szCs w:val="21"/>
          <w:u w:val="single"/>
        </w:rPr>
        <w:t>深圳市光明区教育局</w:t>
      </w:r>
    </w:p>
    <w:p>
      <w:pPr>
        <w:ind w:left="420" w:leftChars="200"/>
        <w:rPr>
          <w:color w:val="auto"/>
          <w:szCs w:val="21"/>
        </w:rPr>
      </w:pPr>
    </w:p>
    <w:p>
      <w:pPr>
        <w:ind w:left="420" w:leftChars="200"/>
        <w:rPr>
          <w:color w:val="auto"/>
          <w:szCs w:val="21"/>
        </w:rPr>
      </w:pPr>
      <w:r>
        <w:rPr>
          <w:rFonts w:hint="eastAsia"/>
          <w:color w:val="auto"/>
          <w:szCs w:val="21"/>
        </w:rPr>
        <w:t xml:space="preserve">1、根据贵中心组织实施  </w:t>
      </w:r>
      <w:r>
        <w:rPr>
          <w:rFonts w:hint="eastAsia"/>
          <w:color w:val="auto"/>
          <w:szCs w:val="21"/>
          <w:u w:val="single"/>
        </w:rPr>
        <w:t xml:space="preserve">     </w:t>
      </w:r>
      <w:r>
        <w:rPr>
          <w:rFonts w:hint="eastAsia"/>
          <w:color w:val="auto"/>
          <w:szCs w:val="21"/>
        </w:rPr>
        <w:t xml:space="preserve">项目（项目编号： </w:t>
      </w:r>
      <w:r>
        <w:rPr>
          <w:rFonts w:hint="eastAsia"/>
          <w:color w:val="auto"/>
          <w:szCs w:val="21"/>
          <w:u w:val="single"/>
        </w:rPr>
        <w:t xml:space="preserve">     </w:t>
      </w:r>
      <w:r>
        <w:rPr>
          <w:rFonts w:hint="eastAsia"/>
          <w:color w:val="auto"/>
          <w:szCs w:val="21"/>
        </w:rPr>
        <w:t>）的招标文件，遵守《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w:t>
      </w:r>
    </w:p>
    <w:p>
      <w:pPr>
        <w:ind w:left="420" w:leftChars="200"/>
        <w:rPr>
          <w:color w:val="auto"/>
          <w:szCs w:val="21"/>
        </w:rPr>
      </w:pPr>
      <w:r>
        <w:rPr>
          <w:rFonts w:hint="eastAsia"/>
          <w:color w:val="auto"/>
          <w:szCs w:val="21"/>
        </w:rPr>
        <w:t>2、投标人将按招投标文件的规定履行合同权利和义务。</w:t>
      </w:r>
    </w:p>
    <w:p>
      <w:pPr>
        <w:ind w:left="420" w:leftChars="200"/>
        <w:rPr>
          <w:color w:val="auto"/>
          <w:szCs w:val="21"/>
        </w:rPr>
      </w:pPr>
      <w:r>
        <w:rPr>
          <w:rFonts w:hint="eastAsia"/>
          <w:color w:val="auto"/>
          <w:szCs w:val="21"/>
        </w:rPr>
        <w:t>3、我单位同意所递交的投标文件在“对通用条款的补充内容”中的投标有效期内有效，在此期间内我单位如有幸中标，我方将受此约束。</w:t>
      </w:r>
    </w:p>
    <w:p>
      <w:pPr>
        <w:ind w:left="420" w:leftChars="200"/>
        <w:rPr>
          <w:color w:val="auto"/>
          <w:szCs w:val="21"/>
        </w:rPr>
      </w:pPr>
      <w:r>
        <w:rPr>
          <w:rFonts w:hint="eastAsia"/>
          <w:color w:val="auto"/>
          <w:szCs w:val="21"/>
        </w:rPr>
        <w:t>4、我单位已认真详细阅读招标文件内容，在投标截止时间后，放弃提出对招标文件误解及质疑投诉的权利。</w:t>
      </w:r>
    </w:p>
    <w:p>
      <w:pPr>
        <w:ind w:left="420" w:leftChars="200"/>
        <w:rPr>
          <w:color w:val="auto"/>
          <w:szCs w:val="21"/>
        </w:rPr>
      </w:pPr>
      <w:r>
        <w:rPr>
          <w:rFonts w:hint="eastAsia"/>
          <w:color w:val="auto"/>
          <w:szCs w:val="21"/>
        </w:rPr>
        <w:t>5、如我单位有幸中标，中标通知书和本投标文件将作为本项目采购合同的附件约束我单位。</w:t>
      </w:r>
    </w:p>
    <w:p>
      <w:pPr>
        <w:ind w:left="420" w:leftChars="200"/>
        <w:rPr>
          <w:color w:val="auto"/>
          <w:szCs w:val="21"/>
        </w:rPr>
      </w:pPr>
      <w:r>
        <w:rPr>
          <w:color w:val="auto"/>
          <w:szCs w:val="21"/>
        </w:rPr>
        <w:t>6</w:t>
      </w:r>
      <w:r>
        <w:rPr>
          <w:rFonts w:hint="eastAsia"/>
          <w:color w:val="auto"/>
          <w:szCs w:val="21"/>
        </w:rPr>
        <w:t>、我单位愿意向贵中心及采购人提供任何与本项目有关的数据、情况和技术资料。</w:t>
      </w:r>
    </w:p>
    <w:p>
      <w:pPr>
        <w:ind w:left="420" w:leftChars="200"/>
        <w:rPr>
          <w:color w:val="auto"/>
          <w:szCs w:val="21"/>
        </w:rPr>
      </w:pPr>
    </w:p>
    <w:p>
      <w:pPr>
        <w:ind w:left="420" w:leftChars="200"/>
        <w:rPr>
          <w:color w:val="auto"/>
          <w:szCs w:val="21"/>
        </w:rPr>
      </w:pPr>
    </w:p>
    <w:p>
      <w:pPr>
        <w:ind w:left="420" w:leftChars="200"/>
        <w:rPr>
          <w:color w:val="auto"/>
          <w:szCs w:val="21"/>
        </w:rPr>
      </w:pPr>
      <w:r>
        <w:rPr>
          <w:rFonts w:hint="eastAsia"/>
          <w:color w:val="auto"/>
          <w:szCs w:val="21"/>
        </w:rPr>
        <w:t>与本投标有关的一切正式往来信函请寄：</w:t>
      </w:r>
    </w:p>
    <w:p>
      <w:pPr>
        <w:ind w:left="420" w:leftChars="200"/>
        <w:rPr>
          <w:color w:val="auto"/>
          <w:szCs w:val="21"/>
        </w:rPr>
      </w:pPr>
    </w:p>
    <w:p>
      <w:pPr>
        <w:ind w:left="420" w:leftChars="200"/>
        <w:rPr>
          <w:color w:val="auto"/>
          <w:szCs w:val="21"/>
        </w:rPr>
      </w:pPr>
      <w:r>
        <w:rPr>
          <w:rFonts w:hint="eastAsia"/>
          <w:color w:val="auto"/>
          <w:szCs w:val="21"/>
        </w:rPr>
        <w:t>投标人：</w:t>
      </w:r>
    </w:p>
    <w:p>
      <w:pPr>
        <w:ind w:left="420" w:leftChars="200"/>
        <w:rPr>
          <w:color w:val="auto"/>
          <w:szCs w:val="21"/>
        </w:rPr>
      </w:pPr>
      <w:r>
        <w:rPr>
          <w:rFonts w:hint="eastAsia"/>
          <w:color w:val="auto"/>
          <w:szCs w:val="21"/>
        </w:rPr>
        <w:t>地址：</w:t>
      </w:r>
    </w:p>
    <w:p>
      <w:pPr>
        <w:ind w:left="420" w:leftChars="200"/>
        <w:rPr>
          <w:color w:val="auto"/>
          <w:szCs w:val="21"/>
        </w:rPr>
      </w:pPr>
      <w:r>
        <w:rPr>
          <w:rFonts w:hint="eastAsia"/>
          <w:color w:val="auto"/>
          <w:szCs w:val="21"/>
        </w:rPr>
        <w:t>电话/手机：</w:t>
      </w:r>
    </w:p>
    <w:p>
      <w:pPr>
        <w:ind w:left="420" w:leftChars="200"/>
        <w:rPr>
          <w:color w:val="auto"/>
          <w:szCs w:val="21"/>
        </w:rPr>
      </w:pPr>
      <w:r>
        <w:rPr>
          <w:rFonts w:hint="eastAsia"/>
          <w:color w:val="auto"/>
          <w:szCs w:val="21"/>
        </w:rPr>
        <w:t>传真：</w:t>
      </w:r>
    </w:p>
    <w:p>
      <w:pPr>
        <w:ind w:left="420" w:leftChars="200"/>
        <w:rPr>
          <w:color w:val="auto"/>
          <w:szCs w:val="21"/>
        </w:rPr>
      </w:pPr>
      <w:r>
        <w:rPr>
          <w:rFonts w:hint="eastAsia"/>
          <w:color w:val="auto"/>
          <w:szCs w:val="21"/>
        </w:rPr>
        <w:t>邮箱：</w:t>
      </w:r>
    </w:p>
    <w:p>
      <w:pPr>
        <w:ind w:left="420" w:leftChars="200"/>
        <w:rPr>
          <w:color w:val="auto"/>
          <w:szCs w:val="21"/>
        </w:rPr>
      </w:pPr>
    </w:p>
    <w:p>
      <w:pPr>
        <w:ind w:left="420" w:leftChars="200"/>
        <w:rPr>
          <w:color w:val="auto"/>
          <w:szCs w:val="21"/>
        </w:rPr>
      </w:pPr>
    </w:p>
    <w:p>
      <w:pPr>
        <w:ind w:left="420" w:leftChars="200" w:right="315"/>
        <w:jc w:val="left"/>
        <w:rPr>
          <w:color w:val="auto"/>
          <w:szCs w:val="21"/>
        </w:rPr>
      </w:pPr>
      <w:r>
        <w:rPr>
          <w:rFonts w:hint="eastAsia"/>
          <w:color w:val="auto"/>
          <w:szCs w:val="21"/>
        </w:rPr>
        <w:t>日期</w:t>
      </w:r>
    </w:p>
    <w:p>
      <w:pPr>
        <w:ind w:left="420" w:leftChars="200"/>
        <w:rPr>
          <w:color w:val="auto"/>
          <w:szCs w:val="21"/>
        </w:rPr>
      </w:pPr>
    </w:p>
    <w:p>
      <w:pPr>
        <w:ind w:left="420" w:leftChars="200"/>
        <w:rPr>
          <w:b/>
          <w:color w:val="auto"/>
          <w:szCs w:val="21"/>
        </w:rPr>
      </w:pPr>
      <w:r>
        <w:rPr>
          <w:rFonts w:hint="eastAsia"/>
          <w:b/>
          <w:color w:val="auto"/>
          <w:szCs w:val="21"/>
        </w:rPr>
        <w:t>注：该联系方式和联系信息适用于双方往来联系、书面文件文书送达。因联系方式和联系信息错误而无法直接送达的自交邮后第7日视为送达。</w:t>
      </w:r>
    </w:p>
    <w:p>
      <w:pPr>
        <w:ind w:left="420" w:leftChars="200"/>
        <w:rPr>
          <w:color w:val="auto"/>
          <w:szCs w:val="21"/>
        </w:rPr>
      </w:pPr>
    </w:p>
    <w:p>
      <w:pPr>
        <w:ind w:left="420" w:leftChars="200"/>
        <w:rPr>
          <w:color w:val="auto"/>
          <w:szCs w:val="21"/>
        </w:rPr>
      </w:pPr>
    </w:p>
    <w:p>
      <w:pPr>
        <w:ind w:left="420" w:leftChars="200"/>
        <w:rPr>
          <w:rStyle w:val="250"/>
          <w:color w:val="auto"/>
        </w:rPr>
      </w:pPr>
    </w:p>
    <w:p>
      <w:pPr>
        <w:pStyle w:val="4"/>
        <w:ind w:left="420" w:leftChars="200"/>
        <w:jc w:val="center"/>
        <w:rPr>
          <w:color w:val="auto"/>
          <w:kern w:val="0"/>
          <w:sz w:val="24"/>
          <w:szCs w:val="24"/>
        </w:rPr>
      </w:pPr>
      <w:r>
        <w:rPr>
          <w:rFonts w:hint="eastAsia"/>
          <w:color w:val="auto"/>
          <w:kern w:val="0"/>
          <w:sz w:val="24"/>
          <w:szCs w:val="24"/>
        </w:rPr>
        <w:br w:type="page"/>
      </w:r>
      <w:r>
        <w:rPr>
          <w:rFonts w:hint="eastAsia"/>
          <w:color w:val="auto"/>
          <w:kern w:val="0"/>
          <w:sz w:val="24"/>
          <w:szCs w:val="24"/>
        </w:rPr>
        <w:t>四、履约承诺函</w:t>
      </w:r>
    </w:p>
    <w:p>
      <w:pPr>
        <w:ind w:left="420" w:leftChars="200"/>
        <w:rPr>
          <w:rFonts w:ascii="宋体" w:hAnsi="宋体"/>
          <w:color w:val="auto"/>
          <w:szCs w:val="21"/>
        </w:rPr>
      </w:pPr>
    </w:p>
    <w:p>
      <w:pPr>
        <w:ind w:left="420" w:leftChars="200"/>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深圳市光明区教育局</w:t>
      </w:r>
    </w:p>
    <w:p>
      <w:pPr>
        <w:ind w:left="420" w:leftChars="200"/>
        <w:rPr>
          <w:rFonts w:ascii="宋体" w:hAnsi="宋体"/>
          <w:color w:val="auto"/>
          <w:szCs w:val="21"/>
        </w:rPr>
      </w:pPr>
    </w:p>
    <w:p>
      <w:pPr>
        <w:ind w:left="420" w:leftChars="200"/>
        <w:rPr>
          <w:rFonts w:ascii="宋体" w:hAnsi="宋体"/>
          <w:color w:val="auto"/>
          <w:szCs w:val="21"/>
        </w:rPr>
      </w:pPr>
      <w:r>
        <w:rPr>
          <w:rFonts w:hint="eastAsia" w:ascii="宋体" w:hAnsi="宋体"/>
          <w:color w:val="auto"/>
          <w:szCs w:val="21"/>
        </w:rPr>
        <w:t>我单位承诺：</w:t>
      </w:r>
    </w:p>
    <w:p>
      <w:pPr>
        <w:ind w:left="420" w:leftChars="200"/>
        <w:rPr>
          <w:rFonts w:ascii="宋体" w:hAnsi="宋体"/>
          <w:color w:val="auto"/>
          <w:szCs w:val="21"/>
        </w:rPr>
      </w:pPr>
      <w:r>
        <w:rPr>
          <w:rFonts w:ascii="宋体" w:hAnsi="宋体"/>
          <w:color w:val="auto"/>
          <w:szCs w:val="21"/>
        </w:rPr>
        <w:t>1</w:t>
      </w:r>
      <w:r>
        <w:rPr>
          <w:rFonts w:hint="eastAsia" w:ascii="宋体" w:hAnsi="宋体"/>
          <w:color w:val="auto"/>
          <w:szCs w:val="21"/>
        </w:rPr>
        <w:t>. 对本招标项目所提供的货物、工程或服务未侵犯知识产权，我单位已清楚，提供虚假承诺或者被有关单位确认为侵犯知识产权的，三年内不得参加政府采购活动。</w:t>
      </w:r>
    </w:p>
    <w:p>
      <w:pPr>
        <w:ind w:left="420" w:leftChars="200"/>
        <w:rPr>
          <w:rFonts w:ascii="宋体" w:hAnsi="宋体"/>
          <w:color w:val="auto"/>
          <w:szCs w:val="21"/>
        </w:rPr>
      </w:pPr>
      <w:r>
        <w:rPr>
          <w:rFonts w:ascii="宋体" w:hAnsi="宋体"/>
          <w:color w:val="auto"/>
          <w:szCs w:val="21"/>
        </w:rPr>
        <w:t>2</w:t>
      </w:r>
      <w:r>
        <w:rPr>
          <w:rFonts w:hint="eastAsia" w:ascii="宋体" w:hAnsi="宋体"/>
          <w:color w:val="auto"/>
          <w:szCs w:val="21"/>
        </w:rPr>
        <w:t>.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ind w:left="420" w:leftChars="200"/>
        <w:rPr>
          <w:rFonts w:ascii="宋体" w:hAnsi="宋体"/>
          <w:color w:val="auto"/>
          <w:szCs w:val="21"/>
        </w:rPr>
      </w:pPr>
      <w:r>
        <w:rPr>
          <w:rFonts w:hint="eastAsia" w:ascii="宋体" w:hAnsi="宋体"/>
          <w:color w:val="auto"/>
          <w:szCs w:val="21"/>
        </w:rPr>
        <w:t>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left="420" w:leftChars="200"/>
        <w:rPr>
          <w:rFonts w:ascii="宋体" w:hAnsi="宋体"/>
          <w:color w:val="auto"/>
          <w:szCs w:val="21"/>
        </w:rPr>
      </w:pPr>
      <w:r>
        <w:rPr>
          <w:rFonts w:hint="eastAsia" w:ascii="宋体" w:hAnsi="宋体"/>
          <w:color w:val="auto"/>
          <w:szCs w:val="21"/>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ind w:left="420" w:leftChars="200"/>
        <w:rPr>
          <w:rFonts w:ascii="宋体" w:hAnsi="宋体"/>
          <w:color w:val="auto"/>
          <w:szCs w:val="21"/>
        </w:rPr>
      </w:pPr>
      <w:r>
        <w:rPr>
          <w:rFonts w:hint="eastAsia" w:ascii="宋体" w:hAnsi="宋体"/>
          <w:color w:val="auto"/>
          <w:szCs w:val="21"/>
        </w:rPr>
        <w:t>5. 如我单位有幸中标，做到守信，依照本项目招标文件及投标文件要求、与采购单位签署的采购合同，以及本公司在投标中所作的一切承诺进行履约。。</w:t>
      </w:r>
    </w:p>
    <w:p>
      <w:pPr>
        <w:ind w:left="420" w:leftChars="200"/>
        <w:rPr>
          <w:rFonts w:ascii="宋体" w:hAnsi="宋体"/>
          <w:color w:val="auto"/>
          <w:szCs w:val="21"/>
        </w:rPr>
      </w:pPr>
      <w:r>
        <w:rPr>
          <w:rFonts w:hint="eastAsia" w:ascii="宋体" w:hAnsi="宋体"/>
          <w:color w:val="auto"/>
          <w:szCs w:val="21"/>
        </w:rPr>
        <w:t>6. 我单位已认真阅读本项目需求，特别是交货期、完工期和服务期的要求，我司承诺完全满足本项目的交货期、完工期和服务期要求。</w:t>
      </w:r>
    </w:p>
    <w:p>
      <w:pPr>
        <w:ind w:left="420" w:leftChars="200"/>
        <w:rPr>
          <w:rFonts w:ascii="宋体" w:hAnsi="宋体"/>
          <w:color w:val="auto"/>
          <w:szCs w:val="21"/>
        </w:rPr>
      </w:pPr>
      <w:r>
        <w:rPr>
          <w:rFonts w:hint="eastAsia" w:ascii="宋体" w:hAnsi="宋体"/>
          <w:color w:val="auto"/>
          <w:szCs w:val="21"/>
        </w:rPr>
        <w:t>7.我单位承诺不转包或非法分包。</w:t>
      </w:r>
    </w:p>
    <w:p>
      <w:pPr>
        <w:ind w:left="420" w:leftChars="200"/>
        <w:rPr>
          <w:rFonts w:ascii="宋体" w:hAnsi="宋体"/>
          <w:color w:val="auto"/>
          <w:szCs w:val="21"/>
        </w:rPr>
      </w:pPr>
      <w:r>
        <w:rPr>
          <w:rFonts w:hint="eastAsia" w:ascii="宋体" w:hAnsi="宋体"/>
          <w:color w:val="auto"/>
          <w:szCs w:val="21"/>
        </w:rPr>
        <w:t>以上承诺，如有违反，愿依照国家相关法律处理，并赔偿由此给采购人带来的一切经济损失。</w:t>
      </w:r>
    </w:p>
    <w:p>
      <w:pPr>
        <w:ind w:left="420" w:leftChars="200"/>
        <w:rPr>
          <w:rFonts w:ascii="宋体" w:hAnsi="宋体"/>
          <w:color w:val="auto"/>
          <w:szCs w:val="21"/>
        </w:rPr>
      </w:pPr>
    </w:p>
    <w:p>
      <w:pPr>
        <w:ind w:left="420" w:leftChars="200"/>
        <w:jc w:val="center"/>
        <w:rPr>
          <w:rFonts w:ascii="宋体" w:hAnsi="宋体"/>
          <w:color w:val="auto"/>
          <w:szCs w:val="21"/>
        </w:rPr>
      </w:pPr>
      <w:r>
        <w:rPr>
          <w:rFonts w:hint="eastAsia" w:ascii="宋体" w:hAnsi="宋体"/>
          <w:color w:val="auto"/>
          <w:szCs w:val="21"/>
        </w:rPr>
        <w:t xml:space="preserve">                    投标人单位名称：                             </w:t>
      </w:r>
    </w:p>
    <w:p>
      <w:pPr>
        <w:pStyle w:val="2"/>
        <w:ind w:left="420" w:leftChars="200"/>
        <w:jc w:val="left"/>
        <w:rPr>
          <w:rFonts w:ascii="宋体" w:hAnsi="宋体"/>
          <w:b w:val="0"/>
          <w:bCs w:val="0"/>
          <w:color w:val="auto"/>
          <w:sz w:val="21"/>
          <w:szCs w:val="21"/>
          <w:lang w:eastAsia="zh-CN"/>
        </w:rPr>
      </w:pPr>
      <w:r>
        <w:rPr>
          <w:rFonts w:hint="eastAsia" w:ascii="宋体" w:hAnsi="宋体" w:eastAsia="宋体"/>
          <w:b w:val="0"/>
          <w:bCs w:val="0"/>
          <w:color w:val="auto"/>
          <w:sz w:val="21"/>
          <w:szCs w:val="21"/>
          <w:lang w:eastAsia="zh-CN"/>
        </w:rPr>
        <w:t xml:space="preserve">                                                       年   月    日</w:t>
      </w:r>
    </w:p>
    <w:p>
      <w:pPr>
        <w:pStyle w:val="2"/>
        <w:ind w:left="420" w:leftChars="200"/>
        <w:jc w:val="left"/>
        <w:rPr>
          <w:rFonts w:ascii="宋体" w:hAnsi="宋体"/>
          <w:b w:val="0"/>
          <w:bCs w:val="0"/>
          <w:color w:val="auto"/>
          <w:sz w:val="21"/>
          <w:szCs w:val="21"/>
          <w:lang w:eastAsia="zh-CN"/>
        </w:rPr>
      </w:pPr>
    </w:p>
    <w:p>
      <w:pPr>
        <w:pStyle w:val="2"/>
        <w:ind w:left="420" w:leftChars="200"/>
        <w:jc w:val="left"/>
        <w:rPr>
          <w:rFonts w:ascii="宋体" w:hAnsi="宋体"/>
          <w:b w:val="0"/>
          <w:bCs w:val="0"/>
          <w:color w:val="auto"/>
          <w:sz w:val="21"/>
          <w:szCs w:val="21"/>
          <w:lang w:eastAsia="zh-CN"/>
        </w:rPr>
      </w:pPr>
    </w:p>
    <w:p>
      <w:pPr>
        <w:pStyle w:val="4"/>
        <w:ind w:left="420" w:leftChars="200"/>
        <w:jc w:val="center"/>
        <w:rPr>
          <w:rFonts w:ascii="黑体"/>
          <w:color w:val="auto"/>
          <w:kern w:val="0"/>
          <w:sz w:val="24"/>
        </w:rPr>
      </w:pPr>
      <w:r>
        <w:rPr>
          <w:rFonts w:hint="eastAsia"/>
          <w:color w:val="auto"/>
          <w:kern w:val="0"/>
          <w:sz w:val="24"/>
          <w:szCs w:val="24"/>
        </w:rPr>
        <w:br w:type="page"/>
      </w:r>
      <w:r>
        <w:rPr>
          <w:rFonts w:hint="eastAsia"/>
          <w:color w:val="auto"/>
          <w:kern w:val="0"/>
          <w:sz w:val="24"/>
          <w:szCs w:val="24"/>
        </w:rPr>
        <w:t>五、诚信承诺函</w:t>
      </w:r>
    </w:p>
    <w:p>
      <w:pPr>
        <w:pStyle w:val="2"/>
        <w:ind w:left="420" w:leftChars="200"/>
        <w:jc w:val="center"/>
        <w:rPr>
          <w:rFonts w:ascii="宋体" w:hAnsi="宋体"/>
          <w:bCs w:val="0"/>
          <w:color w:val="auto"/>
          <w:sz w:val="21"/>
          <w:szCs w:val="21"/>
          <w:lang w:eastAsia="zh-CN"/>
        </w:rPr>
      </w:pPr>
    </w:p>
    <w:p>
      <w:pPr>
        <w:ind w:left="420" w:leftChars="200"/>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深圳市光明区教育局</w:t>
      </w:r>
    </w:p>
    <w:p>
      <w:pPr>
        <w:ind w:left="420" w:leftChars="200"/>
        <w:rPr>
          <w:rFonts w:ascii="宋体" w:hAnsi="宋体"/>
          <w:color w:val="auto"/>
          <w:szCs w:val="21"/>
        </w:rPr>
      </w:pPr>
    </w:p>
    <w:p>
      <w:pPr>
        <w:ind w:left="420" w:leftChars="200"/>
        <w:rPr>
          <w:rFonts w:ascii="宋体" w:hAnsi="宋体"/>
          <w:color w:val="auto"/>
          <w:szCs w:val="21"/>
        </w:rPr>
      </w:pPr>
      <w:r>
        <w:rPr>
          <w:rFonts w:hint="eastAsia" w:ascii="宋体" w:hAnsi="宋体"/>
          <w:color w:val="auto"/>
          <w:szCs w:val="21"/>
        </w:rPr>
        <w:t>我单位承诺：</w:t>
      </w:r>
    </w:p>
    <w:p>
      <w:pPr>
        <w:ind w:left="420" w:leftChars="200"/>
        <w:rPr>
          <w:rFonts w:ascii="宋体" w:hAnsi="宋体"/>
          <w:color w:val="auto"/>
          <w:szCs w:val="21"/>
        </w:rPr>
      </w:pPr>
      <w:r>
        <w:rPr>
          <w:rFonts w:ascii="宋体" w:hAnsi="宋体"/>
          <w:color w:val="auto"/>
          <w:szCs w:val="21"/>
        </w:rPr>
        <w:t>1</w:t>
      </w:r>
      <w:r>
        <w:rPr>
          <w:rFonts w:hint="eastAsia" w:ascii="宋体" w:hAnsi="宋体"/>
          <w:color w:val="auto"/>
          <w:szCs w:val="21"/>
        </w:rPr>
        <w:t>.我单位参与本项目投标前三年内,无行贿犯罪记录。</w:t>
      </w:r>
    </w:p>
    <w:p>
      <w:pPr>
        <w:ind w:left="420" w:leftChars="200"/>
        <w:rPr>
          <w:rFonts w:ascii="宋体" w:hAnsi="宋体"/>
          <w:color w:val="auto"/>
          <w:szCs w:val="21"/>
        </w:rPr>
      </w:pPr>
      <w:r>
        <w:rPr>
          <w:rFonts w:ascii="宋体" w:hAnsi="宋体"/>
          <w:color w:val="auto"/>
          <w:szCs w:val="21"/>
        </w:rPr>
        <w:t>2</w:t>
      </w:r>
      <w:r>
        <w:rPr>
          <w:rFonts w:hint="eastAsia" w:ascii="宋体" w:hAnsi="宋体"/>
          <w:color w:val="auto"/>
          <w:szCs w:val="21"/>
        </w:rPr>
        <w:t>.我单位参与本项目投标前三年内，在经营活动中没有重大违法记录。</w:t>
      </w:r>
    </w:p>
    <w:p>
      <w:pPr>
        <w:ind w:left="420" w:leftChars="200"/>
        <w:rPr>
          <w:rFonts w:ascii="宋体" w:hAnsi="宋体"/>
          <w:color w:val="auto"/>
          <w:szCs w:val="21"/>
        </w:rPr>
      </w:pPr>
      <w:r>
        <w:rPr>
          <w:rFonts w:ascii="宋体" w:hAnsi="宋体"/>
          <w:color w:val="auto"/>
          <w:szCs w:val="21"/>
        </w:rPr>
        <w:t>3</w:t>
      </w:r>
      <w:r>
        <w:rPr>
          <w:rFonts w:hint="eastAsia" w:ascii="宋体" w:hAnsi="宋体"/>
          <w:color w:val="auto"/>
          <w:szCs w:val="21"/>
        </w:rPr>
        <w:t>.我单位参与本项目政府采购活动时不存在被有关部门禁止参与政府采购活动且在有效期内的情况。</w:t>
      </w:r>
    </w:p>
    <w:p>
      <w:pPr>
        <w:ind w:left="420" w:left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我单位参与本项目政府采购活动时不存在被有关部门列入失信被执行人、重大税收违法案件当事人名单的情况</w:t>
      </w:r>
    </w:p>
    <w:p>
      <w:pPr>
        <w:ind w:left="420" w:leftChars="200"/>
        <w:rPr>
          <w:rFonts w:ascii="宋体" w:hAnsi="宋体"/>
          <w:color w:val="auto"/>
          <w:szCs w:val="21"/>
        </w:rPr>
      </w:pPr>
      <w:r>
        <w:rPr>
          <w:rFonts w:hint="eastAsia" w:ascii="宋体" w:hAnsi="宋体"/>
          <w:color w:val="auto"/>
          <w:szCs w:val="21"/>
        </w:rPr>
        <w:t>5.除以上条件，我单位参与本项目政府采购活动时,具备《中华人民共和国政府采购法》第二十二条规定的其他的条件。</w:t>
      </w:r>
    </w:p>
    <w:p>
      <w:pPr>
        <w:ind w:left="420" w:leftChars="200"/>
        <w:rPr>
          <w:rFonts w:ascii="宋体" w:hAnsi="宋体"/>
          <w:color w:val="auto"/>
          <w:szCs w:val="21"/>
        </w:rPr>
      </w:pPr>
      <w:r>
        <w:rPr>
          <w:rFonts w:hint="eastAsia" w:ascii="宋体" w:hAnsi="宋体"/>
          <w:color w:val="auto"/>
          <w:szCs w:val="21"/>
        </w:rPr>
        <w:t>以上承诺，如有违反，愿依照国家相关法律处理，并自愿承担投标无效的后果以及赔偿由此给采购人带来的一切经济损失。</w:t>
      </w:r>
    </w:p>
    <w:p>
      <w:pPr>
        <w:ind w:left="420" w:leftChars="200"/>
        <w:jc w:val="center"/>
        <w:rPr>
          <w:rFonts w:ascii="宋体" w:hAnsi="宋体"/>
          <w:color w:val="auto"/>
          <w:szCs w:val="21"/>
        </w:rPr>
      </w:pPr>
      <w:r>
        <w:rPr>
          <w:rFonts w:hint="eastAsia" w:ascii="宋体" w:hAnsi="宋体"/>
          <w:color w:val="auto"/>
          <w:szCs w:val="21"/>
        </w:rPr>
        <w:t xml:space="preserve">                    投标人单位名称：                                                                          </w:t>
      </w:r>
    </w:p>
    <w:p>
      <w:pPr>
        <w:pStyle w:val="2"/>
        <w:ind w:left="420" w:leftChars="200"/>
        <w:jc w:val="left"/>
        <w:rPr>
          <w:rFonts w:ascii="宋体" w:hAnsi="宋体"/>
          <w:b w:val="0"/>
          <w:bCs w:val="0"/>
          <w:color w:val="auto"/>
          <w:sz w:val="21"/>
          <w:szCs w:val="21"/>
          <w:lang w:eastAsia="zh-CN"/>
        </w:rPr>
      </w:pPr>
      <w:r>
        <w:rPr>
          <w:rFonts w:hint="eastAsia" w:ascii="宋体" w:hAnsi="宋体" w:eastAsia="宋体"/>
          <w:b w:val="0"/>
          <w:bCs w:val="0"/>
          <w:color w:val="auto"/>
          <w:sz w:val="21"/>
          <w:szCs w:val="21"/>
          <w:lang w:eastAsia="zh-CN"/>
        </w:rPr>
        <w:t xml:space="preserve">                                                      年   月    日</w:t>
      </w:r>
    </w:p>
    <w:p>
      <w:pPr>
        <w:pStyle w:val="2"/>
        <w:ind w:left="420" w:leftChars="200"/>
        <w:jc w:val="left"/>
        <w:rPr>
          <w:rFonts w:ascii="宋体" w:hAnsi="宋体"/>
          <w:b w:val="0"/>
          <w:bCs w:val="0"/>
          <w:color w:val="auto"/>
          <w:sz w:val="21"/>
          <w:szCs w:val="21"/>
          <w:lang w:eastAsia="zh-CN"/>
        </w:rPr>
      </w:pPr>
    </w:p>
    <w:p>
      <w:pPr>
        <w:pStyle w:val="2"/>
        <w:ind w:left="420" w:leftChars="200"/>
        <w:jc w:val="left"/>
        <w:rPr>
          <w:rFonts w:ascii="宋体" w:hAnsi="宋体"/>
          <w:b w:val="0"/>
          <w:bCs w:val="0"/>
          <w:color w:val="auto"/>
          <w:sz w:val="21"/>
          <w:szCs w:val="21"/>
          <w:lang w:eastAsia="zh-CN"/>
        </w:rPr>
      </w:pPr>
    </w:p>
    <w:p>
      <w:pPr>
        <w:pStyle w:val="4"/>
        <w:numPr>
          <w:ilvl w:val="0"/>
          <w:numId w:val="9"/>
        </w:numPr>
        <w:ind w:left="420" w:leftChars="200"/>
        <w:jc w:val="center"/>
        <w:rPr>
          <w:color w:val="auto"/>
          <w:kern w:val="0"/>
          <w:sz w:val="24"/>
          <w:szCs w:val="24"/>
        </w:rPr>
      </w:pPr>
      <w:r>
        <w:rPr>
          <w:rFonts w:hint="eastAsia"/>
          <w:color w:val="auto"/>
          <w:kern w:val="0"/>
          <w:sz w:val="24"/>
          <w:szCs w:val="24"/>
        </w:rPr>
        <w:br w:type="page"/>
      </w:r>
      <w:r>
        <w:rPr>
          <w:rFonts w:hint="eastAsia"/>
          <w:color w:val="auto"/>
          <w:kern w:val="0"/>
          <w:sz w:val="24"/>
          <w:szCs w:val="24"/>
        </w:rPr>
        <w:t>项目费用支出清单</w:t>
      </w:r>
    </w:p>
    <w:p>
      <w:pPr>
        <w:ind w:firstLine="420"/>
        <w:rPr>
          <w:rFonts w:ascii="宋体" w:hAnsi="宋体" w:cs="宋体"/>
          <w:color w:val="auto"/>
          <w:sz w:val="28"/>
          <w:szCs w:val="28"/>
        </w:rPr>
      </w:pPr>
      <w:r>
        <w:rPr>
          <w:rFonts w:hint="eastAsia" w:ascii="宋体" w:hAnsi="宋体" w:cs="宋体"/>
          <w:color w:val="auto"/>
          <w:sz w:val="28"/>
          <w:szCs w:val="28"/>
        </w:rPr>
        <w:t>该项目暂以经费预算总投资922.2万元作为取费基数，造价咨询服务费结算时以发改批复金额作为取费基数据实调整，采用深价协[2019]13号文第1条全过程造价控制费率，造价咨询费计算过程如下：</w:t>
      </w:r>
    </w:p>
    <w:p>
      <w:pPr>
        <w:pStyle w:val="2"/>
        <w:ind w:firstLine="420"/>
        <w:rPr>
          <w:rFonts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5000000*1.96%+（9222000-5000000）*1.8%=173996.00元。</w:t>
      </w:r>
    </w:p>
    <w:p>
      <w:pPr>
        <w:ind w:firstLine="420"/>
        <w:rPr>
          <w:rFonts w:ascii="宋体" w:hAnsi="宋体" w:cs="宋体"/>
          <w:color w:val="auto"/>
          <w:sz w:val="28"/>
          <w:szCs w:val="28"/>
        </w:rPr>
      </w:pPr>
      <w:r>
        <w:rPr>
          <w:rFonts w:hint="eastAsia" w:ascii="宋体" w:hAnsi="宋体" w:cs="宋体"/>
          <w:color w:val="auto"/>
          <w:sz w:val="28"/>
          <w:szCs w:val="28"/>
        </w:rPr>
        <w:t>投标人报下浮率______；</w:t>
      </w:r>
    </w:p>
    <w:p>
      <w:pPr>
        <w:pStyle w:val="2"/>
        <w:ind w:firstLine="420"/>
        <w:rPr>
          <w:rFonts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中标价暂定价为173996.00*（1-下浮率）=       元；</w:t>
      </w:r>
    </w:p>
    <w:p>
      <w:pPr>
        <w:rPr>
          <w:rFonts w:ascii="宋体" w:hAnsi="宋体" w:cs="宋体"/>
          <w:color w:val="auto"/>
          <w:sz w:val="28"/>
          <w:szCs w:val="28"/>
        </w:rPr>
      </w:pPr>
      <w:r>
        <w:rPr>
          <w:rFonts w:hint="eastAsia" w:ascii="宋体" w:hAnsi="宋体" w:cs="宋体"/>
          <w:color w:val="auto"/>
          <w:sz w:val="28"/>
          <w:szCs w:val="28"/>
        </w:rPr>
        <w:t xml:space="preserve">    造价咨询费最终结算按发改批复金额作为取费基数*采用深价协[2019]13号文第1条全过程造价控制费率，按中标下浮率下浮计算。</w:t>
      </w:r>
    </w:p>
    <w:p>
      <w:pPr>
        <w:rPr>
          <w:color w:val="auto"/>
        </w:rPr>
      </w:pPr>
      <w:r>
        <w:rPr>
          <w:rFonts w:hint="eastAsia"/>
          <w:color w:val="auto"/>
        </w:rPr>
        <w:t xml:space="preserve">    </w:t>
      </w:r>
    </w:p>
    <w:p>
      <w:pPr>
        <w:spacing w:after="60"/>
        <w:rPr>
          <w:color w:val="auto"/>
          <w:sz w:val="24"/>
        </w:rPr>
      </w:pPr>
      <w:bookmarkStart w:id="19" w:name="_Toc100052469"/>
      <w:bookmarkStart w:id="20" w:name="_Toc70748068"/>
      <w:bookmarkStart w:id="21" w:name="_Toc73518186"/>
      <w:bookmarkStart w:id="22" w:name="_Toc73521702"/>
      <w:bookmarkStart w:id="23" w:name="_Toc73517708"/>
      <w:bookmarkStart w:id="24" w:name="_Toc101074900"/>
      <w:bookmarkStart w:id="25" w:name="_Toc71860060"/>
      <w:bookmarkStart w:id="26" w:name="_Toc73521614"/>
    </w:p>
    <w:p>
      <w:pPr>
        <w:pStyle w:val="2"/>
        <w:rPr>
          <w:color w:val="auto"/>
          <w:lang w:eastAsia="zh-CN"/>
        </w:rPr>
      </w:pPr>
    </w:p>
    <w:p>
      <w:pPr>
        <w:rPr>
          <w:color w:val="auto"/>
          <w:sz w:val="24"/>
        </w:rPr>
      </w:pPr>
    </w:p>
    <w:p>
      <w:pPr>
        <w:pStyle w:val="2"/>
        <w:rPr>
          <w:color w:val="auto"/>
          <w:lang w:eastAsia="zh-CN"/>
        </w:rPr>
      </w:pPr>
    </w:p>
    <w:p>
      <w:pPr>
        <w:pStyle w:val="4"/>
        <w:ind w:left="420" w:leftChars="200"/>
        <w:jc w:val="center"/>
        <w:rPr>
          <w:color w:val="auto"/>
          <w:kern w:val="0"/>
          <w:sz w:val="24"/>
          <w:szCs w:val="24"/>
        </w:rPr>
      </w:pPr>
      <w:r>
        <w:rPr>
          <w:rFonts w:hint="eastAsia"/>
          <w:color w:val="auto"/>
          <w:kern w:val="0"/>
          <w:sz w:val="24"/>
          <w:szCs w:val="24"/>
        </w:rPr>
        <w:t>七、供应商情况介绍</w:t>
      </w:r>
      <w:bookmarkEnd w:id="19"/>
      <w:bookmarkEnd w:id="20"/>
      <w:bookmarkEnd w:id="21"/>
      <w:bookmarkEnd w:id="22"/>
      <w:bookmarkEnd w:id="23"/>
      <w:bookmarkEnd w:id="24"/>
      <w:bookmarkEnd w:id="25"/>
      <w:bookmarkEnd w:id="26"/>
    </w:p>
    <w:p>
      <w:pPr>
        <w:ind w:left="420" w:leftChars="200"/>
        <w:rPr>
          <w:bCs/>
          <w:color w:val="auto"/>
        </w:rPr>
      </w:pPr>
      <w:r>
        <w:rPr>
          <w:rFonts w:hint="eastAsia"/>
          <w:bCs/>
          <w:color w:val="auto"/>
        </w:rPr>
        <w:t>1. 投标人情况介绍：</w:t>
      </w:r>
    </w:p>
    <w:p>
      <w:pPr>
        <w:ind w:left="420" w:leftChars="200"/>
        <w:rPr>
          <w:b/>
          <w:bCs/>
          <w:color w:val="auto"/>
        </w:rPr>
      </w:pPr>
    </w:p>
    <w:p>
      <w:pPr>
        <w:ind w:left="420" w:leftChars="200"/>
        <w:rPr>
          <w:b/>
          <w:bCs/>
          <w:color w:val="auto"/>
        </w:rPr>
      </w:pPr>
      <w:r>
        <w:rPr>
          <w:rFonts w:hint="eastAsia"/>
          <w:b/>
          <w:bCs/>
          <w:color w:val="auto"/>
        </w:rPr>
        <w:t>2.</w:t>
      </w:r>
      <w:r>
        <w:rPr>
          <w:rFonts w:hint="eastAsia"/>
          <w:color w:val="auto"/>
        </w:rPr>
        <w:t xml:space="preserve"> </w:t>
      </w:r>
      <w:r>
        <w:rPr>
          <w:rFonts w:hint="eastAsia"/>
          <w:b/>
          <w:bCs/>
          <w:color w:val="auto"/>
        </w:rPr>
        <w:t>资格证明材料：</w:t>
      </w:r>
    </w:p>
    <w:p>
      <w:pPr>
        <w:ind w:left="420" w:leftChars="200"/>
        <w:rPr>
          <w:b/>
          <w:bCs/>
          <w:color w:val="auto"/>
        </w:rPr>
      </w:pPr>
      <w:r>
        <w:rPr>
          <w:rFonts w:hint="eastAsia"/>
          <w:b/>
          <w:bCs/>
          <w:color w:val="auto"/>
        </w:rPr>
        <w:t>投标人须按招标文件中“投标人资质要求”提供相关的资质证明，投标文件中未提供或提供不完整、不符合要求的，将按投标无效处理。在政府采购系统响应报名的单位，不代表资格审查通过。</w:t>
      </w:r>
    </w:p>
    <w:p>
      <w:pPr>
        <w:ind w:left="420" w:leftChars="200"/>
        <w:rPr>
          <w:b/>
          <w:bCs/>
          <w:color w:val="auto"/>
        </w:rPr>
      </w:pPr>
    </w:p>
    <w:p>
      <w:pPr>
        <w:ind w:left="420" w:leftChars="200"/>
        <w:rPr>
          <w:b/>
          <w:bCs/>
          <w:color w:val="auto"/>
        </w:rPr>
      </w:pPr>
      <w:r>
        <w:rPr>
          <w:rFonts w:hint="eastAsia"/>
          <w:b/>
          <w:bCs/>
          <w:color w:val="auto"/>
        </w:rPr>
        <w:t>3.中小企业声明函、残疾人福利性单位声明函及监狱企业声明函：</w:t>
      </w:r>
    </w:p>
    <w:p>
      <w:pPr>
        <w:ind w:left="420" w:leftChars="200"/>
        <w:rPr>
          <w:b/>
          <w:bCs/>
          <w:color w:val="auto"/>
        </w:rPr>
      </w:pPr>
      <w:r>
        <w:rPr>
          <w:rFonts w:hint="eastAsia"/>
          <w:b/>
          <w:bCs/>
          <w:color w:val="auto"/>
        </w:rPr>
        <w:t>（备注：该部分内容由供应商根据自身情况提供相关内容，不符合要求的供应商不提供。）</w:t>
      </w:r>
    </w:p>
    <w:p>
      <w:pPr>
        <w:pStyle w:val="178"/>
        <w:ind w:left="420" w:leftChars="200" w:firstLine="0" w:firstLineChars="0"/>
        <w:rPr>
          <w:color w:val="auto"/>
        </w:rPr>
      </w:pPr>
    </w:p>
    <w:p>
      <w:pPr>
        <w:ind w:left="420" w:leftChars="200"/>
        <w:jc w:val="center"/>
        <w:outlineLvl w:val="3"/>
        <w:rPr>
          <w:rFonts w:ascii="黑体" w:hAnsi="宋体" w:eastAsia="黑体"/>
          <w:bCs/>
          <w:color w:val="auto"/>
          <w:kern w:val="0"/>
          <w:sz w:val="24"/>
          <w:szCs w:val="32"/>
        </w:rPr>
      </w:pPr>
      <w:r>
        <w:rPr>
          <w:rFonts w:hint="eastAsia" w:ascii="黑体" w:hAnsi="宋体" w:eastAsia="黑体"/>
          <w:bCs/>
          <w:color w:val="auto"/>
          <w:kern w:val="0"/>
          <w:sz w:val="24"/>
          <w:szCs w:val="32"/>
        </w:rPr>
        <w:t>（一）中小企业声明函</w:t>
      </w:r>
    </w:p>
    <w:p>
      <w:pPr>
        <w:ind w:left="420" w:leftChars="200"/>
        <w:rPr>
          <w:rFonts w:ascii="宋体" w:hAnsi="宋体"/>
          <w:color w:val="auto"/>
          <w:szCs w:val="21"/>
        </w:rPr>
      </w:pPr>
      <w:r>
        <w:rPr>
          <w:rFonts w:hint="eastAsia" w:ascii="宋体" w:hAnsi="宋体"/>
          <w:color w:val="auto"/>
          <w:szCs w:val="21"/>
        </w:rPr>
        <w:t>本公司郑重声明，根据《政府采购促进中小企业发展暂行办法》（财库〔2011〕181号）的规定，本公司为______（请填写：中型、小型、微型）企业。即，本公司同时满足以下条件：</w:t>
      </w:r>
    </w:p>
    <w:p>
      <w:pPr>
        <w:ind w:left="420" w:leftChars="200"/>
        <w:rPr>
          <w:rFonts w:ascii="宋体" w:hAnsi="宋体"/>
          <w:color w:val="auto"/>
          <w:szCs w:val="21"/>
        </w:rPr>
      </w:pPr>
      <w:r>
        <w:rPr>
          <w:rFonts w:hint="eastAsia" w:ascii="宋体" w:hAnsi="宋体"/>
          <w:color w:val="auto"/>
          <w:szCs w:val="21"/>
        </w:rPr>
        <w:t>1.根据《工业和信息化部、国家统计局、国家发展和改革委员会、财政部关于印发中小企业划型标准规定的通知》（工信部联企业〔2011〕300号）规定的划分标准，本公司为______（请填写：中型、小型、微型）企业。</w:t>
      </w:r>
    </w:p>
    <w:p>
      <w:pPr>
        <w:ind w:left="420" w:leftChars="200"/>
        <w:rPr>
          <w:rFonts w:ascii="宋体" w:hAnsi="宋体"/>
          <w:color w:val="auto"/>
          <w:szCs w:val="21"/>
        </w:rPr>
      </w:pPr>
      <w:r>
        <w:rPr>
          <w:rFonts w:hint="eastAsia" w:ascii="宋体" w:hAnsi="宋体"/>
          <w:color w:val="auto"/>
          <w:szCs w:val="21"/>
        </w:rPr>
        <w:t>2.本公司参加______（请填写：采购单位名称）单位的______（请填写：采购项目名称）项目采购活动提供本企业制造的货物，由本企业承担工程、提供服务，或者提供其他______（请填写：中型、小型、微型）企业制造的货物。本条所称货物不包括使用大型企业注册商标的货物。</w:t>
      </w:r>
    </w:p>
    <w:p>
      <w:pPr>
        <w:ind w:left="420" w:leftChars="200"/>
        <w:rPr>
          <w:rFonts w:ascii="宋体" w:hAnsi="宋体"/>
          <w:color w:val="auto"/>
          <w:szCs w:val="21"/>
        </w:rPr>
      </w:pPr>
      <w:r>
        <w:rPr>
          <w:rFonts w:hint="eastAsia" w:ascii="宋体" w:hAnsi="宋体"/>
          <w:color w:val="auto"/>
          <w:szCs w:val="21"/>
        </w:rPr>
        <w:t xml:space="preserve">本公司对上述声明的真实性负责。如有虚假，将依法承担相应责任。 </w:t>
      </w:r>
    </w:p>
    <w:p>
      <w:pPr>
        <w:ind w:left="420" w:leftChars="200"/>
        <w:rPr>
          <w:rFonts w:ascii="宋体" w:hAnsi="宋体"/>
          <w:color w:val="auto"/>
          <w:szCs w:val="21"/>
        </w:rPr>
      </w:pPr>
    </w:p>
    <w:p>
      <w:pPr>
        <w:wordWrap w:val="0"/>
        <w:ind w:left="420" w:leftChars="200"/>
        <w:jc w:val="right"/>
        <w:rPr>
          <w:rFonts w:ascii="宋体" w:hAnsi="宋体"/>
          <w:color w:val="auto"/>
          <w:szCs w:val="21"/>
        </w:rPr>
      </w:pPr>
      <w:r>
        <w:rPr>
          <w:rFonts w:hint="eastAsia" w:ascii="宋体" w:hAnsi="宋体"/>
          <w:color w:val="auto"/>
          <w:szCs w:val="21"/>
        </w:rPr>
        <w:t xml:space="preserve">投标人单位名称：   </w:t>
      </w:r>
    </w:p>
    <w:p>
      <w:pPr>
        <w:wordWrap w:val="0"/>
        <w:ind w:left="420" w:leftChars="200"/>
        <w:jc w:val="right"/>
        <w:rPr>
          <w:rFonts w:ascii="宋体" w:hAnsi="宋体"/>
          <w:color w:val="auto"/>
          <w:szCs w:val="21"/>
        </w:rPr>
      </w:pPr>
      <w:r>
        <w:rPr>
          <w:rFonts w:hint="eastAsia" w:ascii="宋体" w:hAnsi="宋体"/>
          <w:color w:val="auto"/>
          <w:szCs w:val="21"/>
        </w:rPr>
        <w:t xml:space="preserve">日期：       </w:t>
      </w:r>
    </w:p>
    <w:p>
      <w:pPr>
        <w:ind w:left="420" w:leftChars="200"/>
        <w:rPr>
          <w:rFonts w:ascii="宋体" w:hAnsi="宋体"/>
          <w:color w:val="auto"/>
          <w:szCs w:val="21"/>
          <w:highlight w:val="yellow"/>
        </w:rPr>
      </w:pPr>
    </w:p>
    <w:p>
      <w:pPr>
        <w:ind w:left="420" w:leftChars="200"/>
        <w:jc w:val="center"/>
        <w:outlineLvl w:val="3"/>
        <w:rPr>
          <w:b/>
          <w:color w:val="auto"/>
          <w:sz w:val="24"/>
        </w:rPr>
      </w:pPr>
      <w:r>
        <w:rPr>
          <w:rFonts w:hint="eastAsia"/>
          <w:b/>
          <w:color w:val="auto"/>
          <w:sz w:val="24"/>
        </w:rPr>
        <w:t>（二）残疾人福利性单位声明函</w:t>
      </w:r>
    </w:p>
    <w:p>
      <w:pPr>
        <w:ind w:left="420" w:left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______（请填写：采购单位名称）单位的______（请填写：采购项目名称）项目采购活动，并提供：__________（请填写：“本单位制造的货物”或“由本单位承担的工程、提供服务”或“提供其他残疾福利单位制造的货物”）。本条所称货物是指单一产品采购项目中的货物，或者非单一产品采购项目中的核心产品（货物），不包括使用非残疾人福利性单位注册商标的货物。</w:t>
      </w:r>
    </w:p>
    <w:p>
      <w:pPr>
        <w:ind w:left="420" w:leftChars="200"/>
        <w:rPr>
          <w:rFonts w:ascii="宋体" w:hAnsi="宋体"/>
          <w:color w:val="auto"/>
          <w:szCs w:val="21"/>
        </w:rPr>
      </w:pPr>
      <w:r>
        <w:rPr>
          <w:rFonts w:hint="eastAsia" w:ascii="宋体" w:hAnsi="宋体"/>
          <w:color w:val="auto"/>
          <w:szCs w:val="21"/>
        </w:rPr>
        <w:t>本单位对上述声明的真实性负责。如有虚假，将依法承担相应责任。</w:t>
      </w:r>
    </w:p>
    <w:p>
      <w:pPr>
        <w:ind w:left="420" w:leftChars="200"/>
        <w:rPr>
          <w:rFonts w:ascii="宋体" w:hAnsi="宋体"/>
          <w:color w:val="auto"/>
          <w:szCs w:val="21"/>
        </w:rPr>
      </w:pPr>
    </w:p>
    <w:p>
      <w:pPr>
        <w:wordWrap w:val="0"/>
        <w:ind w:left="420" w:leftChars="200"/>
        <w:jc w:val="right"/>
        <w:rPr>
          <w:rFonts w:ascii="宋体" w:hAnsi="宋体"/>
          <w:color w:val="auto"/>
          <w:szCs w:val="21"/>
        </w:rPr>
      </w:pPr>
      <w:r>
        <w:rPr>
          <w:rFonts w:hint="eastAsia" w:ascii="宋体" w:hAnsi="宋体"/>
          <w:color w:val="auto"/>
          <w:szCs w:val="21"/>
        </w:rPr>
        <w:t xml:space="preserve">投标人单位名称：   </w:t>
      </w:r>
    </w:p>
    <w:p>
      <w:pPr>
        <w:wordWrap w:val="0"/>
        <w:ind w:left="420" w:leftChars="200"/>
        <w:jc w:val="right"/>
        <w:rPr>
          <w:rFonts w:ascii="宋体" w:hAnsi="宋体"/>
          <w:color w:val="auto"/>
          <w:szCs w:val="21"/>
        </w:rPr>
      </w:pPr>
      <w:r>
        <w:rPr>
          <w:rFonts w:hint="eastAsia" w:ascii="宋体" w:hAnsi="宋体"/>
          <w:color w:val="auto"/>
          <w:szCs w:val="21"/>
        </w:rPr>
        <w:t xml:space="preserve">日期：       </w:t>
      </w:r>
    </w:p>
    <w:p>
      <w:pPr>
        <w:ind w:left="420" w:leftChars="200"/>
        <w:jc w:val="right"/>
        <w:rPr>
          <w:rFonts w:ascii="宋体" w:hAnsi="宋体"/>
          <w:color w:val="auto"/>
          <w:szCs w:val="21"/>
        </w:rPr>
      </w:pPr>
    </w:p>
    <w:p>
      <w:pPr>
        <w:wordWrap w:val="0"/>
        <w:ind w:left="420" w:leftChars="200"/>
        <w:jc w:val="center"/>
        <w:rPr>
          <w:rFonts w:ascii="宋体" w:hAnsi="宋体"/>
          <w:color w:val="auto"/>
          <w:szCs w:val="21"/>
        </w:rPr>
      </w:pPr>
      <w:r>
        <w:rPr>
          <w:rFonts w:hint="eastAsia" w:ascii="宋体" w:hAnsi="宋体"/>
          <w:color w:val="auto"/>
          <w:szCs w:val="21"/>
        </w:rPr>
        <w:t xml:space="preserve">     </w:t>
      </w:r>
    </w:p>
    <w:p>
      <w:pPr>
        <w:pStyle w:val="4"/>
        <w:ind w:left="420" w:leftChars="200"/>
        <w:jc w:val="center"/>
        <w:rPr>
          <w:color w:val="auto"/>
          <w:kern w:val="0"/>
          <w:sz w:val="24"/>
        </w:rPr>
      </w:pPr>
      <w:r>
        <w:rPr>
          <w:rFonts w:hint="eastAsia"/>
          <w:color w:val="auto"/>
          <w:kern w:val="0"/>
          <w:sz w:val="24"/>
        </w:rPr>
        <w:t>八、技术保障</w:t>
      </w:r>
    </w:p>
    <w:p>
      <w:pPr>
        <w:ind w:left="420" w:leftChars="200"/>
        <w:jc w:val="center"/>
        <w:rPr>
          <w:rFonts w:cs="宋体"/>
          <w:color w:val="auto"/>
          <w:sz w:val="24"/>
          <w:lang w:val="zh-CN"/>
        </w:rPr>
      </w:pPr>
      <w:r>
        <w:rPr>
          <w:rFonts w:hint="eastAsia" w:cs="宋体"/>
          <w:color w:val="auto"/>
          <w:sz w:val="24"/>
          <w:lang w:val="zh-CN"/>
        </w:rPr>
        <w:t>（根据评分细则的要求提供，格式自拟）</w:t>
      </w:r>
    </w:p>
    <w:p>
      <w:pPr>
        <w:pStyle w:val="4"/>
        <w:ind w:left="420" w:leftChars="200"/>
        <w:jc w:val="center"/>
        <w:rPr>
          <w:color w:val="auto"/>
          <w:kern w:val="0"/>
          <w:sz w:val="24"/>
        </w:rPr>
      </w:pPr>
      <w:r>
        <w:rPr>
          <w:rFonts w:hint="eastAsia"/>
          <w:color w:val="auto"/>
          <w:kern w:val="0"/>
          <w:sz w:val="24"/>
        </w:rPr>
        <w:t>九、投标人认为需要加以说明的其他内容（格式自定）</w:t>
      </w:r>
    </w:p>
    <w:p>
      <w:pPr>
        <w:pStyle w:val="6"/>
        <w:spacing w:after="153"/>
        <w:ind w:left="420" w:leftChars="200"/>
        <w:rPr>
          <w:color w:val="auto"/>
        </w:rPr>
      </w:pPr>
      <w:r>
        <w:rPr>
          <w:rFonts w:hint="eastAsia" w:cs="宋体"/>
          <w:color w:val="auto"/>
          <w:lang w:val="zh-CN"/>
        </w:rPr>
        <w:t>（根据评分细则的要求提供，格式自拟）</w:t>
      </w:r>
    </w:p>
    <w:p>
      <w:pPr>
        <w:rPr>
          <w:rFonts w:ascii="Verdana" w:hAnsi="Verdana" w:eastAsia="仿宋_GB2312"/>
          <w:color w:val="auto"/>
          <w:kern w:val="0"/>
          <w:sz w:val="24"/>
          <w:szCs w:val="20"/>
        </w:rPr>
      </w:pPr>
    </w:p>
    <w:p>
      <w:pPr>
        <w:rPr>
          <w:rFonts w:ascii="Verdana" w:hAnsi="Verdana" w:eastAsia="仿宋_GB2312"/>
          <w:color w:val="auto"/>
          <w:kern w:val="0"/>
          <w:sz w:val="24"/>
          <w:szCs w:val="20"/>
        </w:rPr>
      </w:pPr>
    </w:p>
    <w:p>
      <w:pPr>
        <w:rPr>
          <w:rFonts w:ascii="Verdana" w:hAnsi="Verdana" w:eastAsia="仿宋_GB2312"/>
          <w:color w:val="auto"/>
          <w:kern w:val="0"/>
          <w:sz w:val="24"/>
          <w:szCs w:val="20"/>
        </w:rPr>
      </w:pPr>
    </w:p>
    <w:p>
      <w:pPr>
        <w:rPr>
          <w:rFonts w:ascii="Verdana" w:hAnsi="Verdana" w:eastAsia="仿宋_GB2312"/>
          <w:color w:val="auto"/>
          <w:kern w:val="0"/>
          <w:sz w:val="24"/>
          <w:szCs w:val="20"/>
        </w:rPr>
      </w:pPr>
    </w:p>
    <w:p>
      <w:pPr>
        <w:rPr>
          <w:rFonts w:ascii="Verdana" w:hAnsi="Verdana" w:eastAsia="仿宋_GB2312"/>
          <w:color w:val="auto"/>
          <w:kern w:val="0"/>
          <w:sz w:val="24"/>
          <w:szCs w:val="20"/>
        </w:rPr>
      </w:pPr>
      <w:r>
        <w:rPr>
          <w:rFonts w:ascii="Verdana" w:hAnsi="Verdana" w:eastAsia="仿宋_GB2312"/>
          <w:color w:val="auto"/>
          <w:kern w:val="0"/>
          <w:sz w:val="24"/>
          <w:szCs w:val="20"/>
        </w:rPr>
        <w:br w:type="page"/>
      </w:r>
    </w:p>
    <w:p>
      <w:pPr>
        <w:pStyle w:val="4"/>
        <w:spacing w:before="120" w:after="120"/>
        <w:jc w:val="center"/>
        <w:rPr>
          <w:color w:val="auto"/>
          <w:kern w:val="0"/>
          <w:sz w:val="24"/>
          <w:szCs w:val="24"/>
        </w:rPr>
      </w:pPr>
      <w:r>
        <w:rPr>
          <w:rFonts w:hint="eastAsia"/>
          <w:color w:val="auto"/>
          <w:kern w:val="0"/>
          <w:sz w:val="24"/>
          <w:szCs w:val="24"/>
        </w:rPr>
        <w:t>第四章  政府采购合同的签订、履约及验收</w:t>
      </w:r>
    </w:p>
    <w:bookmarkEnd w:id="0"/>
    <w:bookmarkEnd w:id="1"/>
    <w:bookmarkEnd w:id="2"/>
    <w:bookmarkEnd w:id="3"/>
    <w:bookmarkEnd w:id="4"/>
    <w:bookmarkEnd w:id="5"/>
    <w:bookmarkEnd w:id="6"/>
    <w:bookmarkEnd w:id="7"/>
    <w:bookmarkEnd w:id="8"/>
    <w:p>
      <w:pPr>
        <w:pStyle w:val="4"/>
        <w:ind w:firstLine="481" w:firstLineChars="200"/>
        <w:rPr>
          <w:color w:val="auto"/>
          <w:sz w:val="24"/>
        </w:rPr>
      </w:pPr>
      <w:r>
        <w:rPr>
          <w:rFonts w:hint="eastAsia"/>
          <w:color w:val="auto"/>
          <w:sz w:val="24"/>
        </w:rPr>
        <w:t>一、合同条款及格式：</w:t>
      </w: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rPr>
      </w:pPr>
    </w:p>
    <w:p>
      <w:pPr>
        <w:ind w:firstLine="8400" w:firstLineChars="4000"/>
        <w:rPr>
          <w:rFonts w:ascii="宋体" w:hAnsi="宋体" w:cs="宋体"/>
          <w:color w:val="auto"/>
          <w:szCs w:val="21"/>
          <w:u w:val="single"/>
        </w:rPr>
      </w:pPr>
      <w:r>
        <w:rPr>
          <w:rFonts w:hint="eastAsia" w:ascii="宋体" w:hAnsi="宋体" w:cs="宋体"/>
          <w:color w:val="auto"/>
          <w:szCs w:val="21"/>
        </w:rPr>
        <w:t>编号:</w:t>
      </w:r>
      <w:r>
        <w:rPr>
          <w:rFonts w:hint="eastAsia" w:ascii="宋体" w:hAnsi="宋体" w:cs="宋体"/>
          <w:b/>
          <w:bCs/>
          <w:color w:val="auto"/>
          <w:szCs w:val="21"/>
        </w:rPr>
        <w:t xml:space="preserve"> </w:t>
      </w:r>
      <w:r>
        <w:rPr>
          <w:rFonts w:hint="eastAsia" w:ascii="宋体" w:hAnsi="宋体" w:cs="宋体"/>
          <w:b/>
          <w:bCs/>
          <w:color w:val="auto"/>
          <w:szCs w:val="21"/>
          <w:u w:val="single"/>
        </w:rPr>
        <w:t xml:space="preserve">            </w:t>
      </w:r>
    </w:p>
    <w:p>
      <w:pPr>
        <w:rPr>
          <w:rFonts w:ascii="宋体" w:hAnsi="宋体" w:cs="宋体"/>
          <w:color w:val="auto"/>
          <w:szCs w:val="21"/>
          <w:u w:val="single"/>
        </w:rPr>
      </w:pPr>
    </w:p>
    <w:p>
      <w:pPr>
        <w:rPr>
          <w:rFonts w:ascii="宋体" w:hAnsi="宋体" w:cs="宋体"/>
          <w:color w:val="auto"/>
          <w:szCs w:val="21"/>
          <w:u w:val="single"/>
        </w:rPr>
      </w:pPr>
    </w:p>
    <w:p>
      <w:pPr>
        <w:rPr>
          <w:rFonts w:ascii="宋体" w:hAnsi="宋体" w:cs="宋体"/>
          <w:color w:val="auto"/>
          <w:szCs w:val="21"/>
          <w:u w:val="single"/>
        </w:rPr>
      </w:pPr>
    </w:p>
    <w:p>
      <w:pPr>
        <w:rPr>
          <w:rFonts w:ascii="宋体" w:hAnsi="宋体" w:cs="宋体"/>
          <w:color w:val="auto"/>
          <w:szCs w:val="21"/>
          <w:u w:val="single"/>
        </w:rPr>
      </w:pPr>
    </w:p>
    <w:p>
      <w:pPr>
        <w:rPr>
          <w:rFonts w:ascii="宋体" w:hAnsi="宋体" w:cs="宋体"/>
          <w:color w:val="auto"/>
          <w:szCs w:val="21"/>
          <w:u w:val="single"/>
        </w:rPr>
      </w:pPr>
    </w:p>
    <w:p>
      <w:pPr>
        <w:rPr>
          <w:rFonts w:ascii="宋体" w:hAnsi="宋体" w:cs="宋体"/>
          <w:color w:val="auto"/>
          <w:szCs w:val="21"/>
          <w:u w:val="single"/>
        </w:rPr>
      </w:pPr>
    </w:p>
    <w:p>
      <w:pPr>
        <w:jc w:val="center"/>
        <w:rPr>
          <w:rFonts w:ascii="宋体" w:hAnsi="宋体" w:cs="宋体"/>
          <w:b/>
          <w:bCs/>
          <w:color w:val="auto"/>
          <w:szCs w:val="21"/>
        </w:rPr>
      </w:pPr>
      <w:r>
        <w:rPr>
          <w:rFonts w:hint="eastAsia" w:ascii="宋体" w:hAnsi="宋体" w:cs="宋体"/>
          <w:b/>
          <w:bCs/>
          <w:color w:val="auto"/>
          <w:szCs w:val="21"/>
        </w:rPr>
        <w:t>深圳市建设工程造价咨询委托合同</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 xml:space="preserve"> </w:t>
      </w:r>
    </w:p>
    <w:p>
      <w:pPr>
        <w:rPr>
          <w:rFonts w:ascii="宋体" w:hAnsi="宋体" w:cs="宋体"/>
          <w:color w:val="auto"/>
          <w:szCs w:val="21"/>
        </w:rPr>
      </w:pPr>
    </w:p>
    <w:p>
      <w:pPr>
        <w:spacing w:line="360" w:lineRule="auto"/>
        <w:ind w:firstLine="310" w:firstLineChars="148"/>
        <w:rPr>
          <w:rFonts w:ascii="宋体" w:hAnsi="宋体" w:cs="宋体"/>
          <w:color w:val="auto"/>
          <w:szCs w:val="21"/>
          <w:u w:val="single"/>
        </w:rPr>
      </w:pPr>
    </w:p>
    <w:p>
      <w:pPr>
        <w:spacing w:line="900" w:lineRule="exact"/>
        <w:rPr>
          <w:rFonts w:ascii="宋体" w:hAnsi="宋体" w:cs="宋体"/>
          <w:b/>
          <w:bCs/>
          <w:color w:val="auto"/>
          <w:spacing w:val="40"/>
          <w:szCs w:val="21"/>
        </w:rPr>
      </w:pPr>
      <w:r>
        <w:rPr>
          <w:rFonts w:hint="eastAsia" w:ascii="宋体" w:hAnsi="宋体" w:cs="宋体"/>
          <w:b/>
          <w:bCs/>
          <w:color w:val="auto"/>
          <w:spacing w:val="40"/>
          <w:szCs w:val="21"/>
        </w:rPr>
        <w:t xml:space="preserve"> 工程名称:</w:t>
      </w:r>
      <w:r>
        <w:rPr>
          <w:rFonts w:hint="eastAsia" w:ascii="宋体" w:hAnsi="宋体" w:cs="宋体"/>
          <w:color w:val="auto"/>
          <w:szCs w:val="21"/>
        </w:rPr>
        <w:t xml:space="preserve"> </w:t>
      </w:r>
      <w:r>
        <w:rPr>
          <w:rFonts w:hint="eastAsia" w:ascii="宋体" w:hAnsi="宋体" w:cs="宋体"/>
          <w:b/>
          <w:bCs/>
          <w:color w:val="auto"/>
          <w:szCs w:val="21"/>
          <w:u w:val="single"/>
        </w:rPr>
        <w:t>光明新村幼儿园装修项目</w:t>
      </w:r>
      <w:r>
        <w:rPr>
          <w:rFonts w:hint="eastAsia" w:ascii="宋体" w:hAnsi="宋体" w:cs="宋体"/>
          <w:b/>
          <w:color w:val="auto"/>
          <w:szCs w:val="21"/>
          <w:u w:val="single"/>
        </w:rPr>
        <w:t xml:space="preserve">                            </w:t>
      </w:r>
      <w:r>
        <w:rPr>
          <w:rFonts w:hint="eastAsia" w:ascii="宋体" w:hAnsi="宋体" w:cs="宋体"/>
          <w:b/>
          <w:bCs/>
          <w:color w:val="auto"/>
          <w:spacing w:val="40"/>
          <w:szCs w:val="21"/>
        </w:rPr>
        <w:t xml:space="preserve"> </w:t>
      </w:r>
    </w:p>
    <w:p>
      <w:pPr>
        <w:spacing w:line="900" w:lineRule="exact"/>
        <w:rPr>
          <w:rFonts w:ascii="宋体" w:hAnsi="宋体" w:cs="宋体"/>
          <w:color w:val="auto"/>
          <w:spacing w:val="40"/>
          <w:szCs w:val="21"/>
          <w:u w:val="single"/>
        </w:rPr>
      </w:pPr>
      <w:r>
        <w:rPr>
          <w:rFonts w:hint="eastAsia" w:ascii="宋体" w:hAnsi="宋体" w:cs="宋体"/>
          <w:b/>
          <w:bCs/>
          <w:color w:val="auto"/>
          <w:spacing w:val="40"/>
          <w:szCs w:val="21"/>
        </w:rPr>
        <w:t xml:space="preserve"> 工程地点:</w:t>
      </w:r>
      <w:r>
        <w:rPr>
          <w:rFonts w:hint="eastAsia" w:ascii="宋体" w:hAnsi="宋体" w:cs="宋体"/>
          <w:b/>
          <w:color w:val="auto"/>
          <w:szCs w:val="21"/>
          <w:u w:val="single"/>
        </w:rPr>
        <w:t xml:space="preserve"> 深圳市光明区                        </w:t>
      </w:r>
      <w:r>
        <w:rPr>
          <w:rFonts w:hint="eastAsia" w:ascii="宋体" w:hAnsi="宋体" w:cs="宋体"/>
          <w:color w:val="auto"/>
          <w:spacing w:val="40"/>
          <w:szCs w:val="21"/>
          <w:u w:val="single"/>
        </w:rPr>
        <w:t xml:space="preserve">         </w:t>
      </w:r>
    </w:p>
    <w:p>
      <w:pPr>
        <w:spacing w:line="900" w:lineRule="exact"/>
        <w:rPr>
          <w:rFonts w:ascii="宋体" w:hAnsi="宋体" w:cs="宋体"/>
          <w:b/>
          <w:color w:val="auto"/>
          <w:szCs w:val="21"/>
          <w:u w:val="single"/>
        </w:rPr>
      </w:pPr>
      <w:r>
        <w:rPr>
          <w:rFonts w:hint="eastAsia" w:ascii="宋体" w:hAnsi="宋体" w:cs="宋体"/>
          <w:b/>
          <w:bCs/>
          <w:color w:val="auto"/>
          <w:spacing w:val="40"/>
          <w:szCs w:val="21"/>
        </w:rPr>
        <w:t xml:space="preserve"> 委托单位:</w:t>
      </w:r>
      <w:r>
        <w:rPr>
          <w:rFonts w:hint="eastAsia" w:ascii="宋体" w:hAnsi="宋体" w:cs="宋体"/>
          <w:b/>
          <w:bCs/>
          <w:color w:val="auto"/>
          <w:szCs w:val="21"/>
          <w:u w:val="single"/>
        </w:rPr>
        <w:t>深圳市光明区教育局</w:t>
      </w:r>
      <w:r>
        <w:rPr>
          <w:rFonts w:hint="eastAsia" w:ascii="宋体" w:hAnsi="宋体" w:cs="宋体"/>
          <w:b/>
          <w:color w:val="auto"/>
          <w:szCs w:val="21"/>
          <w:u w:val="single"/>
        </w:rPr>
        <w:t xml:space="preserve">                               </w:t>
      </w:r>
    </w:p>
    <w:p>
      <w:pPr>
        <w:spacing w:line="900" w:lineRule="exact"/>
        <w:rPr>
          <w:rFonts w:ascii="宋体" w:hAnsi="宋体" w:cs="宋体"/>
          <w:color w:val="auto"/>
          <w:spacing w:val="40"/>
          <w:szCs w:val="21"/>
          <w:u w:val="single"/>
        </w:rPr>
      </w:pPr>
      <w:r>
        <w:rPr>
          <w:rFonts w:hint="eastAsia" w:ascii="宋体" w:hAnsi="宋体" w:cs="宋体"/>
          <w:b/>
          <w:bCs/>
          <w:color w:val="auto"/>
          <w:spacing w:val="40"/>
          <w:szCs w:val="21"/>
        </w:rPr>
        <w:t xml:space="preserve"> 咨询单位</w:t>
      </w:r>
      <w:r>
        <w:rPr>
          <w:rFonts w:hint="eastAsia" w:ascii="宋体" w:hAnsi="宋体" w:cs="宋体"/>
          <w:color w:val="auto"/>
          <w:spacing w:val="40"/>
          <w:szCs w:val="21"/>
        </w:rPr>
        <w:t>:</w:t>
      </w:r>
      <w:r>
        <w:rPr>
          <w:rFonts w:hint="eastAsia" w:ascii="宋体" w:hAnsi="宋体" w:cs="宋体"/>
          <w:b/>
          <w:color w:val="auto"/>
          <w:szCs w:val="21"/>
          <w:u w:val="single"/>
        </w:rPr>
        <w:t xml:space="preserve">          </w:t>
      </w:r>
      <w:r>
        <w:rPr>
          <w:rFonts w:hint="eastAsia" w:ascii="宋体" w:hAnsi="宋体" w:cs="宋体"/>
          <w:color w:val="auto"/>
          <w:spacing w:val="40"/>
          <w:szCs w:val="21"/>
          <w:u w:val="single"/>
        </w:rPr>
        <w:t xml:space="preserve">       </w:t>
      </w:r>
      <w:r>
        <w:rPr>
          <w:rFonts w:hint="eastAsia" w:ascii="宋体" w:hAnsi="宋体" w:cs="宋体"/>
          <w:b/>
          <w:color w:val="auto"/>
          <w:szCs w:val="21"/>
          <w:u w:val="single"/>
        </w:rPr>
        <w:t xml:space="preserve">                                                   </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jc w:val="cente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2020年</w:t>
      </w:r>
    </w:p>
    <w:p>
      <w:pPr>
        <w:spacing w:line="560" w:lineRule="exact"/>
        <w:jc w:val="center"/>
        <w:rPr>
          <w:rFonts w:ascii="宋体" w:hAnsi="宋体" w:cs="宋体"/>
          <w:b/>
          <w:bCs/>
          <w:color w:val="auto"/>
          <w:szCs w:val="21"/>
        </w:rPr>
      </w:pPr>
    </w:p>
    <w:p>
      <w:pPr>
        <w:spacing w:line="560" w:lineRule="exact"/>
        <w:jc w:val="center"/>
        <w:rPr>
          <w:rFonts w:ascii="宋体" w:hAnsi="宋体" w:cs="宋体"/>
          <w:b/>
          <w:bCs/>
          <w:color w:val="auto"/>
          <w:szCs w:val="21"/>
        </w:rPr>
      </w:pPr>
      <w:r>
        <w:rPr>
          <w:rFonts w:hint="eastAsia" w:ascii="宋体" w:hAnsi="宋体" w:cs="宋体"/>
          <w:b/>
          <w:bCs/>
          <w:color w:val="auto"/>
          <w:szCs w:val="21"/>
        </w:rPr>
        <w:t>第一部分    协议书</w:t>
      </w:r>
    </w:p>
    <w:p>
      <w:pPr>
        <w:tabs>
          <w:tab w:val="left" w:pos="0"/>
        </w:tabs>
        <w:spacing w:line="560" w:lineRule="exact"/>
        <w:ind w:left="548" w:leftChars="261"/>
        <w:jc w:val="left"/>
        <w:rPr>
          <w:rFonts w:ascii="宋体" w:hAnsi="宋体" w:cs="宋体"/>
          <w:color w:val="auto"/>
          <w:szCs w:val="21"/>
          <w:u w:val="single"/>
        </w:rPr>
      </w:pPr>
      <w:r>
        <w:rPr>
          <w:rFonts w:hint="eastAsia" w:ascii="宋体" w:hAnsi="宋体" w:cs="宋体"/>
          <w:color w:val="auto"/>
          <w:szCs w:val="21"/>
        </w:rPr>
        <w:t>委托人：</w:t>
      </w:r>
      <w:r>
        <w:rPr>
          <w:rFonts w:hint="eastAsia" w:ascii="宋体" w:hAnsi="宋体" w:cs="宋体"/>
          <w:color w:val="auto"/>
          <w:szCs w:val="21"/>
          <w:u w:val="single"/>
        </w:rPr>
        <w:t>深圳市光明区教育局</w:t>
      </w:r>
    </w:p>
    <w:p>
      <w:pPr>
        <w:spacing w:line="560" w:lineRule="exact"/>
        <w:rPr>
          <w:rFonts w:ascii="宋体" w:hAnsi="宋体" w:cs="宋体"/>
          <w:color w:val="auto"/>
          <w:szCs w:val="21"/>
          <w:u w:val="single"/>
        </w:rPr>
      </w:pPr>
      <w:r>
        <w:rPr>
          <w:rFonts w:hint="eastAsia" w:ascii="宋体" w:hAnsi="宋体" w:cs="宋体"/>
          <w:color w:val="auto"/>
          <w:szCs w:val="21"/>
        </w:rPr>
        <w:t xml:space="preserve">    咨询人：</w:t>
      </w:r>
      <w:r>
        <w:rPr>
          <w:rFonts w:hint="eastAsia" w:ascii="宋体" w:hAnsi="宋体" w:cs="宋体"/>
          <w:color w:val="auto"/>
          <w:szCs w:val="21"/>
          <w:u w:val="single"/>
        </w:rPr>
        <w:t xml:space="preserve">                         </w:t>
      </w:r>
    </w:p>
    <w:p>
      <w:pPr>
        <w:spacing w:line="560" w:lineRule="exact"/>
        <w:rPr>
          <w:rFonts w:ascii="宋体" w:hAnsi="宋体" w:cs="宋体"/>
          <w:color w:val="auto"/>
          <w:szCs w:val="21"/>
        </w:rPr>
      </w:pPr>
      <w:r>
        <w:rPr>
          <w:rFonts w:hint="eastAsia" w:ascii="宋体" w:hAnsi="宋体" w:cs="宋体"/>
          <w:color w:val="auto"/>
          <w:szCs w:val="21"/>
        </w:rPr>
        <w:t xml:space="preserve">    依照《中华人民共和国合同法》、《中华人民共和国建筑法》及国家的有关法律、行政法规，遵循平等、 自愿、公平和诚实信用的原则，双方就</w:t>
      </w:r>
      <w:r>
        <w:rPr>
          <w:rFonts w:hint="eastAsia" w:ascii="宋体" w:hAnsi="宋体" w:cs="宋体"/>
          <w:bCs/>
          <w:color w:val="auto"/>
          <w:szCs w:val="21"/>
          <w:u w:val="single"/>
        </w:rPr>
        <w:t>光明新村（暂定名）幼儿园 装修</w:t>
      </w:r>
      <w:r>
        <w:rPr>
          <w:rFonts w:hint="eastAsia" w:ascii="宋体" w:hAnsi="宋体" w:cs="宋体"/>
          <w:color w:val="auto"/>
          <w:szCs w:val="21"/>
        </w:rPr>
        <w:t>工程造价咨询服务事项协商一致，订立本合同。</w:t>
      </w:r>
    </w:p>
    <w:p>
      <w:pPr>
        <w:spacing w:line="560" w:lineRule="exact"/>
        <w:rPr>
          <w:rFonts w:ascii="宋体" w:hAnsi="宋体" w:cs="宋体"/>
          <w:color w:val="auto"/>
          <w:szCs w:val="21"/>
        </w:rPr>
      </w:pPr>
      <w:r>
        <w:rPr>
          <w:rFonts w:hint="eastAsia" w:ascii="宋体" w:hAnsi="宋体" w:cs="宋体"/>
          <w:color w:val="auto"/>
          <w:szCs w:val="21"/>
        </w:rPr>
        <w:t xml:space="preserve">    一、委托人委托咨询人为以下工程提供建设工程造价咨询服务：</w:t>
      </w:r>
    </w:p>
    <w:p>
      <w:pPr>
        <w:spacing w:line="560" w:lineRule="exact"/>
        <w:rPr>
          <w:rFonts w:ascii="宋体" w:hAnsi="宋体" w:cs="宋体"/>
          <w:color w:val="auto"/>
          <w:szCs w:val="21"/>
          <w:u w:val="single"/>
        </w:rPr>
      </w:pPr>
      <w:r>
        <w:rPr>
          <w:rFonts w:hint="eastAsia" w:ascii="宋体" w:hAnsi="宋体" w:cs="宋体"/>
          <w:color w:val="auto"/>
          <w:szCs w:val="21"/>
        </w:rPr>
        <w:t xml:space="preserve">    工程名称：</w:t>
      </w:r>
      <w:r>
        <w:rPr>
          <w:rFonts w:hint="eastAsia" w:ascii="宋体" w:hAnsi="宋体" w:cs="宋体"/>
          <w:bCs/>
          <w:color w:val="auto"/>
          <w:szCs w:val="21"/>
          <w:u w:val="single"/>
        </w:rPr>
        <w:t xml:space="preserve">光明新村幼儿园装修工程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bCs/>
          <w:color w:val="auto"/>
          <w:szCs w:val="21"/>
        </w:rPr>
        <w:t xml:space="preserve">         </w:t>
      </w:r>
    </w:p>
    <w:p>
      <w:pPr>
        <w:widowControl/>
        <w:spacing w:line="560" w:lineRule="exact"/>
        <w:ind w:firstLine="555"/>
        <w:rPr>
          <w:rFonts w:ascii="宋体" w:hAnsi="宋体" w:cs="宋体"/>
          <w:bCs/>
          <w:color w:val="auto"/>
          <w:szCs w:val="21"/>
          <w:u w:val="single"/>
        </w:rPr>
      </w:pPr>
      <w:r>
        <w:rPr>
          <w:rFonts w:hint="eastAsia" w:ascii="宋体" w:hAnsi="宋体" w:cs="宋体"/>
          <w:color w:val="auto"/>
          <w:szCs w:val="21"/>
        </w:rPr>
        <w:t>工程地点：</w:t>
      </w:r>
      <w:r>
        <w:rPr>
          <w:rFonts w:hint="eastAsia" w:ascii="宋体" w:hAnsi="宋体" w:cs="宋体"/>
          <w:bCs/>
          <w:color w:val="auto"/>
          <w:szCs w:val="21"/>
          <w:u w:val="single"/>
        </w:rPr>
        <w:t>深圳市光明区</w:t>
      </w:r>
      <w:r>
        <w:rPr>
          <w:rFonts w:hint="eastAsia" w:ascii="宋体" w:hAnsi="宋体" w:cs="宋体"/>
          <w:color w:val="auto"/>
          <w:szCs w:val="21"/>
          <w:u w:val="single"/>
        </w:rPr>
        <w:t xml:space="preserve">     </w:t>
      </w:r>
      <w:r>
        <w:rPr>
          <w:rFonts w:hint="eastAsia" w:ascii="宋体" w:hAnsi="宋体" w:cs="宋体"/>
          <w:bCs/>
          <w:color w:val="auto"/>
          <w:szCs w:val="21"/>
          <w:u w:val="single"/>
        </w:rPr>
        <w:t xml:space="preserve">                           </w:t>
      </w:r>
    </w:p>
    <w:p>
      <w:pPr>
        <w:widowControl/>
        <w:spacing w:line="560" w:lineRule="exact"/>
        <w:ind w:left="1575" w:leftChars="250" w:hanging="1050" w:hangingChars="500"/>
        <w:rPr>
          <w:rFonts w:ascii="宋体" w:hAnsi="宋体" w:cs="宋体"/>
          <w:color w:val="auto"/>
          <w:szCs w:val="21"/>
        </w:rPr>
      </w:pPr>
      <w:r>
        <w:rPr>
          <w:rFonts w:hint="eastAsia" w:ascii="宋体" w:hAnsi="宋体" w:cs="宋体"/>
          <w:color w:val="auto"/>
          <w:szCs w:val="21"/>
        </w:rPr>
        <w:t>工程规模：</w:t>
      </w:r>
      <w:r>
        <w:rPr>
          <w:rFonts w:hint="eastAsia" w:ascii="宋体" w:hAnsi="宋体" w:cs="宋体"/>
          <w:color w:val="auto"/>
          <w:szCs w:val="21"/>
          <w:u w:val="single"/>
        </w:rPr>
        <w:t>本项目建筑面积3293.57平方米，装修项目经费预算总投资922.2万元</w:t>
      </w:r>
      <w:r>
        <w:rPr>
          <w:rFonts w:hint="eastAsia" w:ascii="宋体" w:hAnsi="宋体" w:cs="宋体"/>
          <w:bCs/>
          <w:color w:val="auto"/>
          <w:szCs w:val="21"/>
          <w:u w:val="single"/>
        </w:rPr>
        <w:t>。</w:t>
      </w:r>
    </w:p>
    <w:p>
      <w:pPr>
        <w:spacing w:line="560" w:lineRule="exact"/>
        <w:ind w:left="1611" w:leftChars="267" w:hanging="1050" w:hangingChars="500"/>
        <w:jc w:val="left"/>
        <w:rPr>
          <w:rFonts w:ascii="宋体" w:hAnsi="宋体" w:cs="宋体"/>
          <w:color w:val="auto"/>
          <w:szCs w:val="21"/>
          <w:u w:val="single"/>
        </w:rPr>
      </w:pPr>
      <w:r>
        <w:rPr>
          <w:rFonts w:hint="eastAsia" w:ascii="宋体" w:hAnsi="宋体" w:cs="宋体"/>
          <w:color w:val="auto"/>
          <w:szCs w:val="21"/>
        </w:rPr>
        <w:t>服务范围：</w:t>
      </w:r>
      <w:r>
        <w:rPr>
          <w:rFonts w:hint="eastAsia" w:ascii="宋体" w:hAnsi="宋体" w:cs="宋体"/>
          <w:color w:val="auto"/>
          <w:szCs w:val="21"/>
          <w:u w:val="single"/>
        </w:rPr>
        <w:t xml:space="preserve">概算编制、招标控制价编制、结算审核、决算审核、以及实施阶段变更审核等工作内容。 </w:t>
      </w:r>
    </w:p>
    <w:p>
      <w:pPr>
        <w:spacing w:line="560" w:lineRule="exact"/>
        <w:ind w:firstLine="555"/>
        <w:rPr>
          <w:rFonts w:ascii="宋体" w:hAnsi="宋体" w:cs="宋体"/>
          <w:color w:val="auto"/>
          <w:szCs w:val="21"/>
          <w:u w:val="single"/>
        </w:rPr>
      </w:pPr>
      <w:r>
        <w:rPr>
          <w:rFonts w:hint="eastAsia" w:ascii="宋体" w:hAnsi="宋体" w:cs="宋体"/>
          <w:color w:val="auto"/>
          <w:szCs w:val="21"/>
        </w:rPr>
        <w:t>立项文件及资金来源：</w:t>
      </w:r>
      <w:r>
        <w:rPr>
          <w:rFonts w:hint="eastAsia" w:ascii="宋体" w:hAnsi="宋体" w:cs="宋体"/>
          <w:color w:val="auto"/>
          <w:szCs w:val="21"/>
          <w:u w:val="single"/>
        </w:rPr>
        <w:t xml:space="preserve"> 暂按该项目预算经费922.2万元，最终以发改批复金额为准     </w:t>
      </w:r>
      <w:r>
        <w:rPr>
          <w:rFonts w:hint="eastAsia" w:ascii="宋体" w:hAnsi="宋体" w:cs="宋体"/>
          <w:color w:val="auto"/>
          <w:szCs w:val="21"/>
        </w:rPr>
        <w:t xml:space="preserve">                                                              </w:t>
      </w:r>
    </w:p>
    <w:p>
      <w:pPr>
        <w:spacing w:line="560" w:lineRule="exact"/>
        <w:ind w:firstLine="420" w:firstLineChars="200"/>
        <w:rPr>
          <w:rFonts w:ascii="宋体" w:hAnsi="宋体" w:cs="宋体"/>
          <w:color w:val="auto"/>
          <w:szCs w:val="21"/>
        </w:rPr>
      </w:pPr>
      <w:r>
        <w:rPr>
          <w:rFonts w:hint="eastAsia" w:ascii="宋体" w:hAnsi="宋体" w:cs="宋体"/>
          <w:color w:val="auto"/>
          <w:szCs w:val="21"/>
        </w:rPr>
        <w:t>二、咨询服务类别：</w:t>
      </w:r>
      <w:r>
        <w:rPr>
          <w:rFonts w:hint="eastAsia" w:ascii="宋体" w:hAnsi="宋体" w:cs="宋体"/>
          <w:color w:val="auto"/>
          <w:szCs w:val="21"/>
          <w:u w:val="single"/>
        </w:rPr>
        <w:t>全过程造价控制</w:t>
      </w:r>
    </w:p>
    <w:p>
      <w:pPr>
        <w:numPr>
          <w:ilvl w:val="0"/>
          <w:numId w:val="6"/>
        </w:numPr>
        <w:spacing w:line="560" w:lineRule="exact"/>
        <w:ind w:firstLine="420" w:firstLineChars="200"/>
        <w:rPr>
          <w:rFonts w:ascii="宋体" w:hAnsi="宋体" w:cs="宋体"/>
          <w:color w:val="auto"/>
          <w:szCs w:val="21"/>
        </w:rPr>
      </w:pPr>
      <w:r>
        <w:rPr>
          <w:rFonts w:hint="eastAsia" w:ascii="宋体" w:hAnsi="宋体" w:cs="宋体"/>
          <w:color w:val="auto"/>
          <w:szCs w:val="21"/>
        </w:rPr>
        <w:t>咨询酬金：</w:t>
      </w:r>
    </w:p>
    <w:p>
      <w:pPr>
        <w:spacing w:line="560" w:lineRule="exact"/>
        <w:ind w:firstLine="420" w:firstLineChars="200"/>
        <w:jc w:val="left"/>
        <w:rPr>
          <w:rFonts w:ascii="宋体" w:hAnsi="宋体" w:cs="宋体"/>
          <w:color w:val="auto"/>
          <w:szCs w:val="21"/>
        </w:rPr>
      </w:pPr>
      <w:r>
        <w:rPr>
          <w:rFonts w:hint="eastAsia" w:ascii="宋体" w:hAnsi="宋体" w:cs="宋体"/>
          <w:color w:val="auto"/>
          <w:szCs w:val="21"/>
        </w:rPr>
        <w:t>含税金等费用，本项咨询服务酬金合同暂定价为人民币 （大写）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b/>
          <w:bCs/>
          <w:color w:val="auto"/>
          <w:szCs w:val="21"/>
          <w:u w:val="single"/>
        </w:rPr>
        <w:t>（小写：   ）</w:t>
      </w:r>
      <w:r>
        <w:rPr>
          <w:rFonts w:hint="eastAsia" w:ascii="宋体" w:hAnsi="宋体" w:cs="宋体"/>
          <w:color w:val="auto"/>
          <w:szCs w:val="21"/>
        </w:rPr>
        <w:t>，最终结算价以相关部门审定价为准。该项目暂以经费预算总投资922.2万元作为取费基数，结算时以发改批复金额作为取费基数据实调整，采用深价协[2019]13号文第1条全过程造价控制费率，并按中标下浮率下浮，造价咨询服务费计算过程如下：</w:t>
      </w:r>
    </w:p>
    <w:p>
      <w:pPr>
        <w:spacing w:line="560" w:lineRule="exact"/>
        <w:ind w:firstLine="420" w:firstLineChars="200"/>
        <w:jc w:val="left"/>
        <w:rPr>
          <w:rFonts w:ascii="宋体" w:hAnsi="宋体" w:cs="宋体"/>
          <w:color w:val="auto"/>
          <w:szCs w:val="21"/>
        </w:rPr>
      </w:pPr>
      <w:r>
        <w:rPr>
          <w:rFonts w:hint="eastAsia" w:ascii="宋体" w:hAnsi="宋体" w:cs="宋体"/>
          <w:color w:val="auto"/>
          <w:szCs w:val="21"/>
        </w:rPr>
        <w:t>5000000*1.96%+（9222000-5000000）*1.8%=173996.00元。</w:t>
      </w:r>
    </w:p>
    <w:p>
      <w:pPr>
        <w:pStyle w:val="2"/>
        <w:ind w:firstLine="420" w:firstLineChars="2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中标价暂定价为173996.00*（1-下浮率）=       元；</w:t>
      </w:r>
    </w:p>
    <w:p>
      <w:pPr>
        <w:rPr>
          <w:rFonts w:ascii="宋体" w:hAnsi="宋体" w:cs="宋体"/>
          <w:color w:val="auto"/>
          <w:szCs w:val="21"/>
        </w:rPr>
      </w:pPr>
      <w:r>
        <w:rPr>
          <w:rFonts w:hint="eastAsia" w:ascii="宋体" w:hAnsi="宋体" w:cs="宋体"/>
          <w:color w:val="auto"/>
          <w:szCs w:val="21"/>
        </w:rPr>
        <w:t xml:space="preserve">    造价咨询费最终结算按发改批复金额作为取费基数*采用深价协[2019]13号文第1条全过程造价控制费率，按中标下浮率下浮计算。</w:t>
      </w:r>
    </w:p>
    <w:p>
      <w:pPr>
        <w:spacing w:line="560" w:lineRule="exact"/>
        <w:ind w:firstLine="420" w:firstLineChars="200"/>
        <w:rPr>
          <w:rFonts w:ascii="宋体" w:hAnsi="宋体" w:cs="宋体"/>
          <w:color w:val="auto"/>
          <w:szCs w:val="21"/>
        </w:rPr>
      </w:pPr>
      <w:r>
        <w:rPr>
          <w:rFonts w:hint="eastAsia" w:ascii="宋体" w:hAnsi="宋体" w:cs="宋体"/>
          <w:color w:val="auto"/>
          <w:szCs w:val="21"/>
        </w:rPr>
        <w:t xml:space="preserve">四、咨询工作期限： </w:t>
      </w:r>
    </w:p>
    <w:p>
      <w:pPr>
        <w:spacing w:line="560" w:lineRule="exact"/>
        <w:rPr>
          <w:rFonts w:ascii="宋体" w:hAnsi="宋体" w:cs="宋体"/>
          <w:color w:val="auto"/>
          <w:szCs w:val="21"/>
          <w:u w:val="single"/>
        </w:rPr>
      </w:pPr>
      <w:r>
        <w:rPr>
          <w:rFonts w:hint="eastAsia" w:ascii="宋体" w:hAnsi="宋体" w:cs="宋体"/>
          <w:bCs/>
          <w:color w:val="auto"/>
          <w:szCs w:val="21"/>
        </w:rPr>
        <w:t xml:space="preserve">    本合同的咨询工作自合同签订日期开始实施，至咨询人完成本合同约定范围内的所有建设工程造价咨询业务，委托人按照本合同约定支付建设工程造价咨询酬金</w:t>
      </w:r>
      <w:r>
        <w:rPr>
          <w:rFonts w:hint="eastAsia" w:ascii="宋体" w:hAnsi="宋体" w:cs="宋体"/>
          <w:color w:val="auto"/>
          <w:szCs w:val="21"/>
        </w:rPr>
        <w:t xml:space="preserve">后终结。 </w:t>
      </w:r>
    </w:p>
    <w:p>
      <w:pPr>
        <w:spacing w:line="560" w:lineRule="exact"/>
        <w:ind w:firstLine="420" w:firstLineChars="200"/>
        <w:rPr>
          <w:rFonts w:ascii="宋体" w:hAnsi="宋体" w:cs="宋体"/>
          <w:color w:val="auto"/>
          <w:szCs w:val="21"/>
        </w:rPr>
      </w:pPr>
      <w:r>
        <w:rPr>
          <w:rFonts w:hint="eastAsia" w:ascii="宋体" w:hAnsi="宋体" w:cs="宋体"/>
          <w:color w:val="auto"/>
          <w:szCs w:val="21"/>
        </w:rPr>
        <w:t>五、质量要求：</w:t>
      </w:r>
    </w:p>
    <w:p>
      <w:pPr>
        <w:spacing w:line="560" w:lineRule="exact"/>
        <w:ind w:firstLine="420" w:firstLineChars="200"/>
        <w:rPr>
          <w:rFonts w:ascii="宋体" w:hAnsi="宋体" w:cs="宋体"/>
          <w:color w:val="auto"/>
          <w:szCs w:val="21"/>
        </w:rPr>
      </w:pPr>
      <w:r>
        <w:rPr>
          <w:rFonts w:hint="eastAsia" w:ascii="宋体" w:hAnsi="宋体" w:cs="宋体"/>
          <w:color w:val="auto"/>
          <w:szCs w:val="21"/>
        </w:rPr>
        <w:t>1、咨询人向委托人提交报告文件的工程造价与相关部门的审定价相差不能超过±5%；</w:t>
      </w:r>
    </w:p>
    <w:p>
      <w:pPr>
        <w:spacing w:line="560" w:lineRule="exact"/>
        <w:ind w:firstLine="420" w:firstLineChars="200"/>
        <w:rPr>
          <w:rFonts w:ascii="宋体" w:hAnsi="宋体" w:cs="宋体"/>
          <w:color w:val="auto"/>
          <w:szCs w:val="21"/>
        </w:rPr>
      </w:pPr>
      <w:r>
        <w:rPr>
          <w:rFonts w:hint="eastAsia" w:ascii="宋体" w:hAnsi="宋体" w:cs="宋体"/>
          <w:color w:val="auto"/>
          <w:szCs w:val="21"/>
        </w:rPr>
        <w:t>2、咨询人所提交的报告文件必须文字清晰整齐。</w:t>
      </w:r>
    </w:p>
    <w:p>
      <w:pPr>
        <w:spacing w:line="560" w:lineRule="exact"/>
        <w:ind w:firstLine="420" w:firstLineChars="200"/>
        <w:rPr>
          <w:rFonts w:ascii="宋体" w:hAnsi="宋体" w:cs="宋体"/>
          <w:color w:val="auto"/>
          <w:szCs w:val="21"/>
        </w:rPr>
      </w:pPr>
      <w:r>
        <w:rPr>
          <w:rFonts w:hint="eastAsia" w:ascii="宋体" w:hAnsi="宋体" w:cs="宋体"/>
          <w:color w:val="auto"/>
          <w:szCs w:val="21"/>
        </w:rPr>
        <w:t>六、下列文件均为本合同的组成部分：</w:t>
      </w:r>
    </w:p>
    <w:p>
      <w:pPr>
        <w:spacing w:line="560" w:lineRule="exact"/>
        <w:ind w:firstLine="210" w:firstLineChars="100"/>
        <w:rPr>
          <w:rFonts w:ascii="宋体" w:hAnsi="宋体" w:cs="宋体"/>
          <w:color w:val="auto"/>
          <w:szCs w:val="21"/>
        </w:rPr>
      </w:pPr>
      <w:r>
        <w:rPr>
          <w:rFonts w:hint="eastAsia" w:ascii="宋体" w:hAnsi="宋体" w:cs="宋体"/>
          <w:color w:val="auto"/>
          <w:szCs w:val="21"/>
        </w:rPr>
        <w:t xml:space="preserve">  1、建设工程造价咨询合同通用条件；</w:t>
      </w:r>
    </w:p>
    <w:p>
      <w:pPr>
        <w:spacing w:line="560" w:lineRule="exact"/>
        <w:ind w:firstLine="210" w:firstLineChars="100"/>
        <w:rPr>
          <w:rFonts w:ascii="宋体" w:hAnsi="宋体" w:cs="宋体"/>
          <w:color w:val="auto"/>
          <w:szCs w:val="21"/>
        </w:rPr>
      </w:pPr>
      <w:r>
        <w:rPr>
          <w:rFonts w:hint="eastAsia" w:ascii="宋体" w:hAnsi="宋体" w:cs="宋体"/>
          <w:color w:val="auto"/>
          <w:szCs w:val="21"/>
        </w:rPr>
        <w:t xml:space="preserve">  2、建设工程造价咨询合同专用条件；</w:t>
      </w:r>
    </w:p>
    <w:p>
      <w:pPr>
        <w:spacing w:line="560" w:lineRule="exact"/>
        <w:ind w:firstLine="210" w:firstLineChars="100"/>
        <w:rPr>
          <w:rFonts w:ascii="宋体" w:hAnsi="宋体" w:cs="宋体"/>
          <w:color w:val="auto"/>
          <w:szCs w:val="21"/>
        </w:rPr>
      </w:pPr>
      <w:r>
        <w:rPr>
          <w:rFonts w:hint="eastAsia" w:ascii="宋体" w:hAnsi="宋体" w:cs="宋体"/>
          <w:color w:val="auto"/>
          <w:szCs w:val="21"/>
        </w:rPr>
        <w:t xml:space="preserve">  3、建设工程造价咨询合同执行中共同签署的补充与修改文件。</w:t>
      </w:r>
    </w:p>
    <w:p>
      <w:pPr>
        <w:spacing w:line="560" w:lineRule="exact"/>
        <w:ind w:firstLine="420" w:firstLineChars="200"/>
        <w:rPr>
          <w:rFonts w:ascii="宋体" w:hAnsi="宋体" w:cs="宋体"/>
          <w:color w:val="auto"/>
          <w:szCs w:val="21"/>
        </w:rPr>
      </w:pPr>
      <w:r>
        <w:rPr>
          <w:rFonts w:hint="eastAsia" w:ascii="宋体" w:hAnsi="宋体" w:cs="宋体"/>
          <w:color w:val="auto"/>
          <w:szCs w:val="21"/>
        </w:rPr>
        <w:t>七、咨询人同意按照本合同的规定，承担本合同议定范围内的建设工程造价咨询业务。</w:t>
      </w:r>
    </w:p>
    <w:p>
      <w:pPr>
        <w:spacing w:line="560" w:lineRule="exact"/>
        <w:ind w:firstLine="420" w:firstLineChars="200"/>
        <w:rPr>
          <w:rFonts w:ascii="宋体" w:hAnsi="宋体" w:cs="宋体"/>
          <w:color w:val="auto"/>
          <w:szCs w:val="21"/>
        </w:rPr>
      </w:pPr>
      <w:r>
        <w:rPr>
          <w:rFonts w:hint="eastAsia" w:ascii="宋体" w:hAnsi="宋体" w:cs="宋体"/>
          <w:color w:val="auto"/>
          <w:szCs w:val="21"/>
        </w:rPr>
        <w:t>八、委托人同意按照本合同规定期限、方式、币种、额度向咨询人支付酬金。</w:t>
      </w:r>
    </w:p>
    <w:p>
      <w:pPr>
        <w:spacing w:line="560" w:lineRule="exact"/>
        <w:ind w:firstLine="420" w:firstLineChars="200"/>
        <w:rPr>
          <w:rFonts w:ascii="宋体" w:hAnsi="宋体" w:cs="宋体"/>
          <w:color w:val="auto"/>
          <w:szCs w:val="21"/>
        </w:rPr>
      </w:pPr>
      <w:r>
        <w:rPr>
          <w:rFonts w:hint="eastAsia" w:ascii="宋体" w:hAnsi="宋体" w:cs="宋体"/>
          <w:color w:val="auto"/>
          <w:szCs w:val="21"/>
        </w:rPr>
        <w:t>九、本合同一式</w:t>
      </w:r>
      <w:r>
        <w:rPr>
          <w:rFonts w:hint="eastAsia" w:ascii="宋体" w:hAnsi="宋体" w:cs="宋体"/>
          <w:color w:val="auto"/>
          <w:szCs w:val="21"/>
          <w:u w:val="single"/>
        </w:rPr>
        <w:t xml:space="preserve"> 八 </w:t>
      </w:r>
      <w:r>
        <w:rPr>
          <w:rFonts w:hint="eastAsia" w:ascii="宋体" w:hAnsi="宋体" w:cs="宋体"/>
          <w:color w:val="auto"/>
          <w:szCs w:val="21"/>
        </w:rPr>
        <w:t>份，具有同等法律效力，委托人执</w:t>
      </w:r>
      <w:r>
        <w:rPr>
          <w:rFonts w:hint="eastAsia" w:ascii="宋体" w:hAnsi="宋体" w:cs="宋体"/>
          <w:color w:val="auto"/>
          <w:szCs w:val="21"/>
          <w:u w:val="single"/>
        </w:rPr>
        <w:t xml:space="preserve"> 六 </w:t>
      </w:r>
      <w:r>
        <w:rPr>
          <w:rFonts w:hint="eastAsia" w:ascii="宋体" w:hAnsi="宋体" w:cs="宋体"/>
          <w:color w:val="auto"/>
          <w:szCs w:val="21"/>
        </w:rPr>
        <w:t>份，咨询人执</w:t>
      </w:r>
      <w:r>
        <w:rPr>
          <w:rFonts w:hint="eastAsia" w:ascii="宋体" w:hAnsi="宋体" w:cs="宋体"/>
          <w:color w:val="auto"/>
          <w:szCs w:val="21"/>
          <w:u w:val="single"/>
        </w:rPr>
        <w:t xml:space="preserve"> 二 </w:t>
      </w:r>
      <w:r>
        <w:rPr>
          <w:rFonts w:hint="eastAsia" w:ascii="宋体" w:hAnsi="宋体" w:cs="宋体"/>
          <w:color w:val="auto"/>
          <w:szCs w:val="21"/>
        </w:rPr>
        <w:t>份。</w:t>
      </w:r>
    </w:p>
    <w:p>
      <w:pPr>
        <w:tabs>
          <w:tab w:val="left" w:pos="3686"/>
          <w:tab w:val="left" w:pos="3969"/>
        </w:tabs>
        <w:spacing w:line="560" w:lineRule="exact"/>
        <w:rPr>
          <w:rFonts w:ascii="宋体" w:hAnsi="宋体" w:cs="宋体"/>
          <w:color w:val="auto"/>
          <w:szCs w:val="21"/>
        </w:rPr>
      </w:pPr>
      <w:r>
        <w:rPr>
          <w:rFonts w:hint="eastAsia" w:ascii="宋体" w:hAnsi="宋体" w:cs="宋体"/>
          <w:color w:val="auto"/>
          <w:szCs w:val="21"/>
        </w:rPr>
        <w:t>委托人：</w:t>
      </w:r>
      <w:r>
        <w:rPr>
          <w:rFonts w:hint="eastAsia" w:ascii="宋体" w:hAnsi="宋体" w:cs="宋体"/>
          <w:bCs/>
          <w:color w:val="auto"/>
          <w:szCs w:val="21"/>
        </w:rPr>
        <w:t xml:space="preserve">                               </w:t>
      </w:r>
      <w:r>
        <w:rPr>
          <w:rFonts w:hint="eastAsia" w:ascii="宋体" w:hAnsi="宋体" w:cs="宋体"/>
          <w:color w:val="auto"/>
          <w:szCs w:val="21"/>
        </w:rPr>
        <w:t xml:space="preserve">咨询人：                   </w:t>
      </w:r>
    </w:p>
    <w:p>
      <w:pPr>
        <w:spacing w:line="560" w:lineRule="exact"/>
        <w:ind w:left="4200" w:hanging="4200" w:hangingChars="2000"/>
        <w:rPr>
          <w:rFonts w:ascii="宋体" w:hAnsi="宋体" w:cs="宋体"/>
          <w:color w:val="auto"/>
          <w:szCs w:val="21"/>
        </w:rPr>
      </w:pPr>
      <w:r>
        <w:rPr>
          <w:rFonts w:hint="eastAsia" w:ascii="宋体" w:hAnsi="宋体" w:cs="宋体"/>
          <w:color w:val="auto"/>
          <w:szCs w:val="21"/>
        </w:rPr>
        <w:t xml:space="preserve">地  址：                              地  址: </w:t>
      </w:r>
    </w:p>
    <w:p>
      <w:pPr>
        <w:spacing w:line="560" w:lineRule="exact"/>
        <w:rPr>
          <w:rFonts w:ascii="宋体" w:hAnsi="宋体" w:cs="宋体"/>
          <w:color w:val="auto"/>
          <w:szCs w:val="21"/>
        </w:rPr>
      </w:pPr>
      <w:r>
        <w:rPr>
          <w:rFonts w:hint="eastAsia" w:ascii="宋体" w:hAnsi="宋体" w:cs="宋体"/>
          <w:color w:val="auto"/>
          <w:szCs w:val="21"/>
        </w:rPr>
        <w:t>法定代表人：                    法定代表人：</w:t>
      </w:r>
    </w:p>
    <w:p>
      <w:pPr>
        <w:spacing w:line="560" w:lineRule="exact"/>
        <w:rPr>
          <w:rFonts w:ascii="宋体" w:hAnsi="宋体" w:cs="宋体"/>
          <w:color w:val="auto"/>
          <w:szCs w:val="21"/>
        </w:rPr>
      </w:pPr>
      <w:r>
        <w:rPr>
          <w:rFonts w:hint="eastAsia" w:ascii="宋体" w:hAnsi="宋体" w:cs="宋体"/>
          <w:color w:val="auto"/>
          <w:szCs w:val="21"/>
        </w:rPr>
        <w:t>委托代理人：                    委托代理人：</w:t>
      </w:r>
    </w:p>
    <w:p>
      <w:pPr>
        <w:spacing w:line="560" w:lineRule="exact"/>
        <w:rPr>
          <w:rFonts w:ascii="宋体" w:hAnsi="宋体" w:cs="宋体"/>
          <w:color w:val="auto"/>
          <w:szCs w:val="21"/>
        </w:rPr>
      </w:pPr>
      <w:r>
        <w:rPr>
          <w:rFonts w:hint="eastAsia" w:ascii="宋体" w:hAnsi="宋体" w:cs="宋体"/>
          <w:color w:val="auto"/>
          <w:szCs w:val="21"/>
        </w:rPr>
        <w:t xml:space="preserve">经办人：                        经办人：           </w:t>
      </w:r>
    </w:p>
    <w:p>
      <w:pPr>
        <w:spacing w:line="560" w:lineRule="exact"/>
        <w:rPr>
          <w:rFonts w:ascii="宋体" w:hAnsi="宋体" w:cs="宋体"/>
          <w:color w:val="auto"/>
          <w:szCs w:val="21"/>
        </w:rPr>
      </w:pPr>
      <w:r>
        <w:rPr>
          <w:rFonts w:hint="eastAsia" w:ascii="宋体" w:hAnsi="宋体" w:cs="宋体"/>
          <w:color w:val="auto"/>
          <w:szCs w:val="21"/>
        </w:rPr>
        <w:t>电  话：                        电  话：</w:t>
      </w:r>
    </w:p>
    <w:p>
      <w:pPr>
        <w:spacing w:line="560" w:lineRule="exact"/>
        <w:rPr>
          <w:rFonts w:ascii="宋体" w:hAnsi="宋体" w:cs="宋体"/>
          <w:color w:val="auto"/>
          <w:szCs w:val="21"/>
        </w:rPr>
      </w:pPr>
      <w:r>
        <w:rPr>
          <w:rFonts w:hint="eastAsia" w:ascii="宋体" w:hAnsi="宋体" w:cs="宋体"/>
          <w:color w:val="auto"/>
          <w:szCs w:val="21"/>
        </w:rPr>
        <w:t xml:space="preserve">开户银行：                      开户银行： </w:t>
      </w:r>
    </w:p>
    <w:p>
      <w:pPr>
        <w:spacing w:line="560" w:lineRule="exact"/>
        <w:rPr>
          <w:rFonts w:ascii="宋体" w:hAnsi="宋体" w:cs="宋体"/>
          <w:color w:val="auto"/>
          <w:szCs w:val="21"/>
        </w:rPr>
      </w:pPr>
      <w:r>
        <w:rPr>
          <w:rFonts w:hint="eastAsia" w:ascii="宋体" w:hAnsi="宋体" w:cs="宋体"/>
          <w:color w:val="auto"/>
          <w:szCs w:val="21"/>
        </w:rPr>
        <w:t>帐  号：                        帐  号：</w:t>
      </w:r>
    </w:p>
    <w:p>
      <w:pPr>
        <w:spacing w:line="560" w:lineRule="exact"/>
        <w:rPr>
          <w:rFonts w:ascii="宋体" w:hAnsi="宋体" w:cs="宋体"/>
          <w:color w:val="auto"/>
          <w:szCs w:val="21"/>
        </w:rPr>
      </w:pPr>
      <w:r>
        <w:rPr>
          <w:rFonts w:hint="eastAsia" w:ascii="宋体" w:hAnsi="宋体" w:cs="宋体"/>
          <w:color w:val="auto"/>
          <w:szCs w:val="21"/>
        </w:rPr>
        <w:t>合同签订时间：2020年   月   日</w:t>
      </w:r>
    </w:p>
    <w:p>
      <w:pPr>
        <w:spacing w:line="560" w:lineRule="exact"/>
        <w:jc w:val="center"/>
        <w:rPr>
          <w:rFonts w:ascii="宋体" w:hAnsi="宋体" w:cs="宋体"/>
          <w:b/>
          <w:color w:val="auto"/>
          <w:szCs w:val="21"/>
        </w:rPr>
      </w:pPr>
      <w:r>
        <w:rPr>
          <w:rFonts w:hint="eastAsia" w:ascii="宋体" w:hAnsi="宋体" w:cs="宋体"/>
          <w:color w:val="auto"/>
          <w:szCs w:val="21"/>
        </w:rPr>
        <w:br w:type="page"/>
      </w:r>
      <w:r>
        <w:rPr>
          <w:rFonts w:hint="eastAsia" w:ascii="宋体" w:hAnsi="宋体" w:cs="宋体"/>
          <w:b/>
          <w:color w:val="auto"/>
          <w:szCs w:val="21"/>
        </w:rPr>
        <w:t>第二部分   建设工程造价咨询合同通用条件</w:t>
      </w:r>
    </w:p>
    <w:p>
      <w:pPr>
        <w:spacing w:line="540" w:lineRule="exact"/>
        <w:rPr>
          <w:rFonts w:ascii="宋体" w:hAnsi="宋体" w:cs="宋体"/>
          <w:color w:val="auto"/>
          <w:szCs w:val="21"/>
        </w:rPr>
      </w:pPr>
    </w:p>
    <w:p>
      <w:pPr>
        <w:spacing w:line="540" w:lineRule="exact"/>
        <w:jc w:val="center"/>
        <w:rPr>
          <w:rFonts w:ascii="宋体" w:hAnsi="宋体" w:cs="宋体"/>
          <w:b/>
          <w:color w:val="auto"/>
          <w:szCs w:val="21"/>
        </w:rPr>
      </w:pPr>
      <w:r>
        <w:rPr>
          <w:rFonts w:hint="eastAsia" w:ascii="宋体" w:hAnsi="宋体" w:cs="宋体"/>
          <w:b/>
          <w:color w:val="auto"/>
          <w:szCs w:val="21"/>
        </w:rPr>
        <w:t>词语定义、适用语言和法律、法规</w:t>
      </w:r>
    </w:p>
    <w:p>
      <w:pPr>
        <w:spacing w:line="540" w:lineRule="exact"/>
        <w:rPr>
          <w:rFonts w:ascii="宋体" w:hAnsi="宋体" w:cs="宋体"/>
          <w:color w:val="auto"/>
          <w:szCs w:val="21"/>
        </w:rPr>
      </w:pPr>
      <w:r>
        <w:rPr>
          <w:rFonts w:hint="eastAsia" w:ascii="宋体" w:hAnsi="宋体" w:cs="宋体"/>
          <w:color w:val="auto"/>
          <w:szCs w:val="21"/>
        </w:rPr>
        <w:t>第一条  下列名词和用语，除上方另有规定外具有如下含义。</w:t>
      </w:r>
    </w:p>
    <w:p>
      <w:pPr>
        <w:spacing w:line="540" w:lineRule="exact"/>
        <w:ind w:firstLine="630"/>
        <w:rPr>
          <w:rFonts w:ascii="宋体" w:hAnsi="宋体" w:cs="宋体"/>
          <w:color w:val="auto"/>
          <w:szCs w:val="21"/>
        </w:rPr>
      </w:pPr>
      <w:r>
        <w:rPr>
          <w:rFonts w:hint="eastAsia" w:ascii="宋体" w:hAnsi="宋体" w:cs="宋体"/>
          <w:color w:val="auto"/>
          <w:szCs w:val="21"/>
        </w:rPr>
        <w:t>1、“委托人”是指委托建设工程造价咨询业务和聘用工程造价咨询单位的一方，以及其合法继承人。</w:t>
      </w:r>
    </w:p>
    <w:p>
      <w:pPr>
        <w:spacing w:line="540" w:lineRule="exact"/>
        <w:ind w:firstLine="630"/>
        <w:rPr>
          <w:rFonts w:ascii="宋体" w:hAnsi="宋体" w:cs="宋体"/>
          <w:color w:val="auto"/>
          <w:szCs w:val="21"/>
        </w:rPr>
      </w:pPr>
      <w:r>
        <w:rPr>
          <w:rFonts w:hint="eastAsia" w:ascii="宋体" w:hAnsi="宋体" w:cs="宋体"/>
          <w:color w:val="auto"/>
          <w:szCs w:val="21"/>
        </w:rPr>
        <w:t>2、“咨询人”是指承担建设工程造价咨询业务和工程造价咨询责任的一方，以及其合法继承人。</w:t>
      </w:r>
    </w:p>
    <w:p>
      <w:pPr>
        <w:spacing w:line="540" w:lineRule="exact"/>
        <w:ind w:firstLine="630"/>
        <w:rPr>
          <w:rFonts w:ascii="宋体" w:hAnsi="宋体" w:cs="宋体"/>
          <w:color w:val="auto"/>
          <w:szCs w:val="21"/>
        </w:rPr>
      </w:pPr>
      <w:r>
        <w:rPr>
          <w:rFonts w:hint="eastAsia" w:ascii="宋体" w:hAnsi="宋体" w:cs="宋体"/>
          <w:color w:val="auto"/>
          <w:szCs w:val="21"/>
        </w:rPr>
        <w:t>3、“第三人”是指除委托人、咨询人以外与本咨询业务有关的当事人。</w:t>
      </w:r>
    </w:p>
    <w:p>
      <w:pPr>
        <w:spacing w:line="540" w:lineRule="exact"/>
        <w:ind w:firstLine="630"/>
        <w:rPr>
          <w:rFonts w:ascii="宋体" w:hAnsi="宋体" w:cs="宋体"/>
          <w:color w:val="auto"/>
          <w:szCs w:val="21"/>
        </w:rPr>
      </w:pPr>
      <w:r>
        <w:rPr>
          <w:rFonts w:hint="eastAsia" w:ascii="宋体" w:hAnsi="宋体" w:cs="宋体"/>
          <w:color w:val="auto"/>
          <w:szCs w:val="21"/>
        </w:rPr>
        <w:t>4、“日”是指任何一天零时至第二天零时的时间段。</w:t>
      </w:r>
    </w:p>
    <w:p>
      <w:pPr>
        <w:spacing w:line="540" w:lineRule="exact"/>
        <w:rPr>
          <w:rFonts w:ascii="宋体" w:hAnsi="宋体" w:cs="宋体"/>
          <w:color w:val="auto"/>
          <w:szCs w:val="21"/>
        </w:rPr>
      </w:pPr>
      <w:r>
        <w:rPr>
          <w:rFonts w:hint="eastAsia" w:ascii="宋体" w:hAnsi="宋体" w:cs="宋体"/>
          <w:color w:val="auto"/>
          <w:szCs w:val="21"/>
        </w:rPr>
        <w:t>第二条  建设工程造价咨询合同适用的是中国的法律、法规，以及专用条件中议定的部门规章、工程造价有关计价办法和规定或项目所在地的地方法规、地方规章。</w:t>
      </w:r>
    </w:p>
    <w:p>
      <w:pPr>
        <w:spacing w:line="540" w:lineRule="exact"/>
        <w:jc w:val="center"/>
        <w:rPr>
          <w:rFonts w:ascii="宋体" w:hAnsi="宋体" w:cs="宋体"/>
          <w:b/>
          <w:color w:val="auto"/>
          <w:szCs w:val="21"/>
        </w:rPr>
      </w:pPr>
      <w:r>
        <w:rPr>
          <w:rFonts w:hint="eastAsia" w:ascii="宋体" w:hAnsi="宋体" w:cs="宋体"/>
          <w:b/>
          <w:color w:val="auto"/>
          <w:szCs w:val="21"/>
        </w:rPr>
        <w:t>咨询人的义务</w:t>
      </w:r>
    </w:p>
    <w:p>
      <w:pPr>
        <w:spacing w:line="540" w:lineRule="exact"/>
        <w:rPr>
          <w:rFonts w:ascii="宋体" w:hAnsi="宋体" w:cs="宋体"/>
          <w:color w:val="auto"/>
          <w:szCs w:val="21"/>
        </w:rPr>
      </w:pPr>
      <w:r>
        <w:rPr>
          <w:rFonts w:hint="eastAsia" w:ascii="宋体" w:hAnsi="宋体" w:cs="宋体"/>
          <w:color w:val="auto"/>
          <w:szCs w:val="21"/>
        </w:rPr>
        <w:t>第三条  向委托人提供与工程造价咨询业务有关的资料，包括工程造价咨询的资质证书及承担本合同业务的专业人员名单、咨询工作计划等，并按合同协议书中约定的范围实施咨询业务。</w:t>
      </w:r>
    </w:p>
    <w:p>
      <w:pPr>
        <w:spacing w:line="540" w:lineRule="exact"/>
        <w:rPr>
          <w:rFonts w:ascii="宋体" w:hAnsi="宋体" w:cs="宋体"/>
          <w:color w:val="auto"/>
          <w:szCs w:val="21"/>
        </w:rPr>
      </w:pPr>
      <w:r>
        <w:rPr>
          <w:rFonts w:hint="eastAsia" w:ascii="宋体" w:hAnsi="宋体" w:cs="宋体"/>
          <w:color w:val="auto"/>
          <w:szCs w:val="21"/>
        </w:rPr>
        <w:t>第四条  咨询人在履行本合同期间，向委托人提供的服务包括正常服务、附加服务和额外服务。</w:t>
      </w:r>
    </w:p>
    <w:p>
      <w:pPr>
        <w:spacing w:line="540" w:lineRule="exact"/>
        <w:ind w:firstLine="630"/>
        <w:rPr>
          <w:rFonts w:ascii="宋体" w:hAnsi="宋体" w:cs="宋体"/>
          <w:color w:val="auto"/>
          <w:szCs w:val="21"/>
        </w:rPr>
      </w:pPr>
      <w:r>
        <w:rPr>
          <w:rFonts w:hint="eastAsia" w:ascii="宋体" w:hAnsi="宋体" w:cs="宋体"/>
          <w:color w:val="auto"/>
          <w:szCs w:val="21"/>
        </w:rPr>
        <w:t>1、“正常服务”是指双方在专用条件中约定的工程造价咨询工作；</w:t>
      </w:r>
    </w:p>
    <w:p>
      <w:pPr>
        <w:spacing w:line="540" w:lineRule="exact"/>
        <w:ind w:firstLine="630"/>
        <w:rPr>
          <w:rFonts w:ascii="宋体" w:hAnsi="宋体" w:cs="宋体"/>
          <w:color w:val="auto"/>
          <w:szCs w:val="21"/>
        </w:rPr>
      </w:pPr>
      <w:r>
        <w:rPr>
          <w:rFonts w:hint="eastAsia" w:ascii="宋体" w:hAnsi="宋体" w:cs="宋体"/>
          <w:color w:val="auto"/>
          <w:szCs w:val="21"/>
        </w:rPr>
        <w:t>2“附加服务”是指在“正常服务”以外，经双方书面协议确定的附加服务；</w:t>
      </w:r>
    </w:p>
    <w:p>
      <w:pPr>
        <w:spacing w:line="540" w:lineRule="exact"/>
        <w:ind w:firstLine="630"/>
        <w:rPr>
          <w:rFonts w:ascii="宋体" w:hAnsi="宋体" w:cs="宋体"/>
          <w:color w:val="auto"/>
          <w:szCs w:val="21"/>
        </w:rPr>
      </w:pPr>
      <w:r>
        <w:rPr>
          <w:rFonts w:hint="eastAsia" w:ascii="宋体" w:hAnsi="宋体" w:cs="宋体"/>
          <w:color w:val="auto"/>
          <w:szCs w:val="21"/>
        </w:rPr>
        <w:t>3、“额外服务”是指不属于“正常服务”和“附加服务”，但根据合同通用条件第十九条和二十一条的规定，咨询人应增加的额外工作量。</w:t>
      </w:r>
    </w:p>
    <w:p>
      <w:pPr>
        <w:spacing w:line="540" w:lineRule="exact"/>
        <w:rPr>
          <w:rFonts w:ascii="宋体" w:hAnsi="宋体" w:cs="宋体"/>
          <w:color w:val="auto"/>
          <w:szCs w:val="21"/>
        </w:rPr>
      </w:pPr>
      <w:r>
        <w:rPr>
          <w:rFonts w:hint="eastAsia" w:ascii="宋体" w:hAnsi="宋体" w:cs="宋体"/>
          <w:color w:val="auto"/>
          <w:szCs w:val="21"/>
        </w:rPr>
        <w:t>第五条  在履行合同期间或合同规定期限内，不得泄露与本合同规定业务活动有关的保密资料。</w:t>
      </w:r>
    </w:p>
    <w:p>
      <w:pPr>
        <w:spacing w:line="540" w:lineRule="exact"/>
        <w:jc w:val="center"/>
        <w:rPr>
          <w:rFonts w:ascii="宋体" w:hAnsi="宋体" w:cs="宋体"/>
          <w:b/>
          <w:color w:val="auto"/>
          <w:szCs w:val="21"/>
        </w:rPr>
      </w:pPr>
      <w:r>
        <w:rPr>
          <w:rFonts w:hint="eastAsia" w:ascii="宋体" w:hAnsi="宋体" w:cs="宋体"/>
          <w:b/>
          <w:color w:val="auto"/>
          <w:szCs w:val="21"/>
        </w:rPr>
        <w:t>委托人的义务</w:t>
      </w:r>
    </w:p>
    <w:p>
      <w:pPr>
        <w:spacing w:line="540" w:lineRule="exact"/>
        <w:rPr>
          <w:rFonts w:ascii="宋体" w:hAnsi="宋体" w:cs="宋体"/>
          <w:color w:val="auto"/>
          <w:szCs w:val="21"/>
        </w:rPr>
      </w:pPr>
      <w:r>
        <w:rPr>
          <w:rFonts w:hint="eastAsia" w:ascii="宋体" w:hAnsi="宋体" w:cs="宋体"/>
          <w:color w:val="auto"/>
          <w:szCs w:val="21"/>
        </w:rPr>
        <w:t>第六条  委托人应负责与本建设工程造价咨询业务有关的第三人的协调工作，为咨询人工作提供外部条件。</w:t>
      </w:r>
    </w:p>
    <w:p>
      <w:pPr>
        <w:spacing w:line="540" w:lineRule="exact"/>
        <w:rPr>
          <w:rFonts w:ascii="宋体" w:hAnsi="宋体" w:cs="宋体"/>
          <w:color w:val="auto"/>
          <w:szCs w:val="21"/>
        </w:rPr>
      </w:pPr>
      <w:r>
        <w:rPr>
          <w:rFonts w:hint="eastAsia" w:ascii="宋体" w:hAnsi="宋体" w:cs="宋体"/>
          <w:color w:val="auto"/>
          <w:szCs w:val="21"/>
        </w:rPr>
        <w:t>第七条  委托人应当在约定的时间内免费向咨询人提供与本项目咨询业务有关的资料。</w:t>
      </w:r>
    </w:p>
    <w:p>
      <w:pPr>
        <w:spacing w:line="540" w:lineRule="exact"/>
        <w:rPr>
          <w:rFonts w:ascii="宋体" w:hAnsi="宋体" w:cs="宋体"/>
          <w:color w:val="auto"/>
          <w:szCs w:val="21"/>
        </w:rPr>
      </w:pPr>
      <w:r>
        <w:rPr>
          <w:rFonts w:hint="eastAsia" w:ascii="宋体" w:hAnsi="宋体" w:cs="宋体"/>
          <w:color w:val="auto"/>
          <w:szCs w:val="21"/>
        </w:rPr>
        <w:t>第八条  委托人应当在约定的时间内就咨询人书面提交并要求做出答复的事宜做出书面答复。咨询人要求第三人提供有关资料时，委托人应当负责转达及资料转送。</w:t>
      </w:r>
    </w:p>
    <w:p>
      <w:pPr>
        <w:spacing w:line="540" w:lineRule="exact"/>
        <w:rPr>
          <w:rFonts w:ascii="宋体" w:hAnsi="宋体" w:cs="宋体"/>
          <w:color w:val="auto"/>
          <w:szCs w:val="21"/>
        </w:rPr>
      </w:pPr>
      <w:r>
        <w:rPr>
          <w:rFonts w:hint="eastAsia" w:ascii="宋体" w:hAnsi="宋体" w:cs="宋体"/>
          <w:color w:val="auto"/>
          <w:szCs w:val="21"/>
        </w:rPr>
        <w:t>第九条  委托人应当授权胜任本咨询业务的代表，负责与咨询人联系。</w:t>
      </w:r>
    </w:p>
    <w:p>
      <w:pPr>
        <w:spacing w:line="540" w:lineRule="exact"/>
        <w:jc w:val="center"/>
        <w:rPr>
          <w:rFonts w:ascii="宋体" w:hAnsi="宋体" w:cs="宋体"/>
          <w:b/>
          <w:color w:val="auto"/>
          <w:szCs w:val="21"/>
        </w:rPr>
      </w:pPr>
      <w:r>
        <w:rPr>
          <w:rFonts w:hint="eastAsia" w:ascii="宋体" w:hAnsi="宋体" w:cs="宋体"/>
          <w:b/>
          <w:color w:val="auto"/>
          <w:szCs w:val="21"/>
        </w:rPr>
        <w:t>咨询人的权利</w:t>
      </w:r>
    </w:p>
    <w:p>
      <w:pPr>
        <w:spacing w:line="540" w:lineRule="exact"/>
        <w:rPr>
          <w:rFonts w:ascii="宋体" w:hAnsi="宋体" w:cs="宋体"/>
          <w:color w:val="auto"/>
          <w:szCs w:val="21"/>
        </w:rPr>
      </w:pPr>
      <w:r>
        <w:rPr>
          <w:rFonts w:hint="eastAsia" w:ascii="宋体" w:hAnsi="宋体" w:cs="宋体"/>
          <w:color w:val="auto"/>
          <w:szCs w:val="21"/>
        </w:rPr>
        <w:t>第十条  委托人在委托的建设工程造价咨询业务范围内，授予咨询人以下权利：</w:t>
      </w:r>
    </w:p>
    <w:p>
      <w:pPr>
        <w:spacing w:line="540" w:lineRule="exact"/>
        <w:ind w:firstLine="420" w:firstLineChars="200"/>
        <w:rPr>
          <w:rFonts w:ascii="宋体" w:hAnsi="宋体" w:cs="宋体"/>
          <w:color w:val="auto"/>
          <w:szCs w:val="21"/>
        </w:rPr>
      </w:pPr>
      <w:r>
        <w:rPr>
          <w:rFonts w:hint="eastAsia" w:ascii="宋体" w:hAnsi="宋体" w:cs="宋体"/>
          <w:color w:val="auto"/>
          <w:szCs w:val="21"/>
        </w:rPr>
        <w:t>1、咨询人在咨询过程中，如委托人提供的资料不明确时可向委托人提出书面报告。</w:t>
      </w:r>
    </w:p>
    <w:p>
      <w:pPr>
        <w:spacing w:line="540" w:lineRule="exact"/>
        <w:ind w:firstLine="420" w:firstLineChars="200"/>
        <w:rPr>
          <w:rFonts w:ascii="宋体" w:hAnsi="宋体" w:cs="宋体"/>
          <w:color w:val="auto"/>
          <w:szCs w:val="21"/>
        </w:rPr>
      </w:pPr>
      <w:r>
        <w:rPr>
          <w:rFonts w:hint="eastAsia" w:ascii="宋体" w:hAnsi="宋体" w:cs="宋体"/>
          <w:color w:val="auto"/>
          <w:szCs w:val="21"/>
        </w:rPr>
        <w:t>2、咨询人在咨询过程中，有权对第三人提出与本咨询业务有关的问题进行核对或查问。</w:t>
      </w:r>
    </w:p>
    <w:p>
      <w:pPr>
        <w:spacing w:line="540" w:lineRule="exact"/>
        <w:ind w:firstLine="420" w:firstLineChars="200"/>
        <w:rPr>
          <w:rFonts w:ascii="宋体" w:hAnsi="宋体" w:cs="宋体"/>
          <w:color w:val="auto"/>
          <w:szCs w:val="21"/>
        </w:rPr>
      </w:pPr>
      <w:r>
        <w:rPr>
          <w:rFonts w:hint="eastAsia" w:ascii="宋体" w:hAnsi="宋体" w:cs="宋体"/>
          <w:color w:val="auto"/>
          <w:szCs w:val="21"/>
        </w:rPr>
        <w:t>3、咨询人在咨询过程中，有到工程现场勘察的权利。</w:t>
      </w:r>
    </w:p>
    <w:p>
      <w:pPr>
        <w:spacing w:line="540" w:lineRule="exact"/>
        <w:jc w:val="center"/>
        <w:rPr>
          <w:rFonts w:ascii="宋体" w:hAnsi="宋体" w:cs="宋体"/>
          <w:b/>
          <w:color w:val="auto"/>
          <w:szCs w:val="21"/>
        </w:rPr>
      </w:pPr>
      <w:r>
        <w:rPr>
          <w:rFonts w:hint="eastAsia" w:ascii="宋体" w:hAnsi="宋体" w:cs="宋体"/>
          <w:b/>
          <w:color w:val="auto"/>
          <w:szCs w:val="21"/>
        </w:rPr>
        <w:t>委托人的权利</w:t>
      </w:r>
    </w:p>
    <w:p>
      <w:pPr>
        <w:spacing w:line="540" w:lineRule="exact"/>
        <w:rPr>
          <w:rFonts w:ascii="宋体" w:hAnsi="宋体" w:cs="宋体"/>
          <w:color w:val="auto"/>
          <w:szCs w:val="21"/>
        </w:rPr>
      </w:pPr>
      <w:r>
        <w:rPr>
          <w:rFonts w:hint="eastAsia" w:ascii="宋体" w:hAnsi="宋体" w:cs="宋体"/>
          <w:color w:val="auto"/>
          <w:szCs w:val="21"/>
        </w:rPr>
        <w:t>第十一条  委托人有下列权利：</w:t>
      </w:r>
    </w:p>
    <w:p>
      <w:pPr>
        <w:spacing w:line="540" w:lineRule="exact"/>
        <w:ind w:firstLine="420" w:firstLineChars="200"/>
        <w:rPr>
          <w:rFonts w:ascii="宋体" w:hAnsi="宋体" w:cs="宋体"/>
          <w:color w:val="auto"/>
          <w:szCs w:val="21"/>
        </w:rPr>
      </w:pPr>
      <w:r>
        <w:rPr>
          <w:rFonts w:hint="eastAsia" w:ascii="宋体" w:hAnsi="宋体" w:cs="宋体"/>
          <w:color w:val="auto"/>
          <w:szCs w:val="21"/>
        </w:rPr>
        <w:t>1、委托人有权向咨询人询问工作进展情况及相关的内容。</w:t>
      </w:r>
    </w:p>
    <w:p>
      <w:pPr>
        <w:spacing w:line="540" w:lineRule="exact"/>
        <w:ind w:firstLine="420" w:firstLineChars="200"/>
        <w:rPr>
          <w:rFonts w:ascii="宋体" w:hAnsi="宋体" w:cs="宋体"/>
          <w:color w:val="auto"/>
          <w:szCs w:val="21"/>
        </w:rPr>
      </w:pPr>
      <w:r>
        <w:rPr>
          <w:rFonts w:hint="eastAsia" w:ascii="宋体" w:hAnsi="宋体" w:cs="宋体"/>
          <w:color w:val="auto"/>
          <w:szCs w:val="21"/>
        </w:rPr>
        <w:t>2、委托人有权阐述对具体问题的意见和建议。</w:t>
      </w:r>
    </w:p>
    <w:p>
      <w:pPr>
        <w:spacing w:line="540" w:lineRule="exact"/>
        <w:ind w:firstLine="420" w:firstLineChars="200"/>
        <w:rPr>
          <w:rFonts w:ascii="宋体" w:hAnsi="宋体" w:cs="宋体"/>
          <w:color w:val="auto"/>
          <w:szCs w:val="21"/>
        </w:rPr>
      </w:pPr>
      <w:r>
        <w:rPr>
          <w:rFonts w:hint="eastAsia" w:ascii="宋体" w:hAnsi="宋体" w:cs="宋体"/>
          <w:color w:val="auto"/>
          <w:szCs w:val="21"/>
        </w:rPr>
        <w:t>3、当委托人认定咨询专业人员不按咨询合同履行其职责，或与第三人串通给委托人造成经济损失的，委托人有权要求更换咨询专业人员，直至终止合同并要求咨询人承担相应的赔偿责任。</w:t>
      </w:r>
    </w:p>
    <w:p>
      <w:pPr>
        <w:spacing w:line="540" w:lineRule="exact"/>
        <w:jc w:val="center"/>
        <w:rPr>
          <w:rFonts w:ascii="宋体" w:hAnsi="宋体" w:cs="宋体"/>
          <w:b/>
          <w:color w:val="auto"/>
          <w:szCs w:val="21"/>
        </w:rPr>
      </w:pPr>
      <w:r>
        <w:rPr>
          <w:rFonts w:hint="eastAsia" w:ascii="宋体" w:hAnsi="宋体" w:cs="宋体"/>
          <w:b/>
          <w:color w:val="auto"/>
          <w:szCs w:val="21"/>
        </w:rPr>
        <w:t>咨询人的责任</w:t>
      </w:r>
    </w:p>
    <w:p>
      <w:pPr>
        <w:spacing w:line="540" w:lineRule="exact"/>
        <w:rPr>
          <w:rFonts w:ascii="宋体" w:hAnsi="宋体" w:cs="宋体"/>
          <w:color w:val="auto"/>
          <w:szCs w:val="21"/>
        </w:rPr>
      </w:pPr>
      <w:r>
        <w:rPr>
          <w:rFonts w:hint="eastAsia" w:ascii="宋体" w:hAnsi="宋体" w:cs="宋体"/>
          <w:color w:val="auto"/>
          <w:szCs w:val="21"/>
        </w:rPr>
        <w:t>第十二条  咨询人的责任期即建设工程造价咨询合同有效期。如因非咨询人的责任造成进度的推迟或延误超过约定的日期，双方应进一步约定相应处长合同有效期。</w:t>
      </w:r>
    </w:p>
    <w:p>
      <w:pPr>
        <w:spacing w:line="540" w:lineRule="exact"/>
        <w:rPr>
          <w:rFonts w:ascii="宋体" w:hAnsi="宋体" w:cs="宋体"/>
          <w:color w:val="auto"/>
          <w:szCs w:val="21"/>
        </w:rPr>
      </w:pPr>
      <w:r>
        <w:rPr>
          <w:rFonts w:hint="eastAsia" w:ascii="宋体" w:hAnsi="宋体" w:cs="宋体"/>
          <w:color w:val="auto"/>
          <w:szCs w:val="21"/>
        </w:rPr>
        <w:t>第十三条  咨询人责任期内，应当履行建设工程造价咨询合同中约定的义务，因咨询人的单方过失造成的经济损失，应当向委托人进行赔偿。累计赔偿总额不应超过建设工程造价咨询酬金总额（除去税金）。</w:t>
      </w:r>
    </w:p>
    <w:p>
      <w:pPr>
        <w:spacing w:line="540" w:lineRule="exact"/>
        <w:rPr>
          <w:rFonts w:ascii="宋体" w:hAnsi="宋体" w:cs="宋体"/>
          <w:color w:val="auto"/>
          <w:szCs w:val="21"/>
        </w:rPr>
      </w:pPr>
      <w:r>
        <w:rPr>
          <w:rFonts w:hint="eastAsia" w:ascii="宋体" w:hAnsi="宋体" w:cs="宋体"/>
          <w:color w:val="auto"/>
          <w:szCs w:val="21"/>
        </w:rPr>
        <w:t>第十四条  咨询人对委托人或第三人所提出的问题不能及时核对或答复，导致合同不能全部或部分履行，咨询人应当承担责任。</w:t>
      </w:r>
    </w:p>
    <w:p>
      <w:pPr>
        <w:spacing w:line="540" w:lineRule="exact"/>
        <w:rPr>
          <w:rFonts w:ascii="宋体" w:hAnsi="宋体" w:cs="宋体"/>
          <w:color w:val="auto"/>
          <w:szCs w:val="21"/>
        </w:rPr>
      </w:pPr>
      <w:r>
        <w:rPr>
          <w:rFonts w:hint="eastAsia" w:ascii="宋体" w:hAnsi="宋体" w:cs="宋体"/>
          <w:color w:val="auto"/>
          <w:szCs w:val="21"/>
        </w:rPr>
        <w:t>第十五条  咨询人向委托人提出赔偿要求不能成立时，则应补偿由于该赔偿或其他要求所导致委托人的各种费用的支出。</w:t>
      </w:r>
    </w:p>
    <w:p>
      <w:pPr>
        <w:spacing w:line="540" w:lineRule="exact"/>
        <w:jc w:val="center"/>
        <w:rPr>
          <w:rFonts w:ascii="宋体" w:hAnsi="宋体" w:cs="宋体"/>
          <w:b/>
          <w:color w:val="auto"/>
          <w:szCs w:val="21"/>
        </w:rPr>
      </w:pPr>
      <w:r>
        <w:rPr>
          <w:rFonts w:hint="eastAsia" w:ascii="宋体" w:hAnsi="宋体" w:cs="宋体"/>
          <w:b/>
          <w:color w:val="auto"/>
          <w:szCs w:val="21"/>
        </w:rPr>
        <w:t>委托人的责任</w:t>
      </w:r>
    </w:p>
    <w:p>
      <w:pPr>
        <w:spacing w:line="540" w:lineRule="exact"/>
        <w:rPr>
          <w:rFonts w:ascii="宋体" w:hAnsi="宋体" w:cs="宋体"/>
          <w:color w:val="auto"/>
          <w:szCs w:val="21"/>
        </w:rPr>
      </w:pPr>
      <w:r>
        <w:rPr>
          <w:rFonts w:hint="eastAsia" w:ascii="宋体" w:hAnsi="宋体" w:cs="宋体"/>
          <w:color w:val="auto"/>
          <w:szCs w:val="21"/>
        </w:rPr>
        <w:t>第十六条  委托人应当履行建设工程造价咨询保同约定的义务，如有违反则应当承担违约责任，赔偿给咨询人造成的损失。</w:t>
      </w:r>
    </w:p>
    <w:p>
      <w:pPr>
        <w:spacing w:line="540" w:lineRule="exact"/>
        <w:rPr>
          <w:rFonts w:ascii="宋体" w:hAnsi="宋体" w:cs="宋体"/>
          <w:color w:val="auto"/>
          <w:szCs w:val="21"/>
        </w:rPr>
      </w:pPr>
      <w:r>
        <w:rPr>
          <w:rFonts w:hint="eastAsia" w:ascii="宋体" w:hAnsi="宋体" w:cs="宋体"/>
          <w:color w:val="auto"/>
          <w:szCs w:val="21"/>
        </w:rPr>
        <w:t>第十七条  委托人如果向咨询人提出赔偿或其他要求不能成立时，则应补偿由于该赔偿或其他要求所导致咨询人的各种费用的支出。</w:t>
      </w:r>
    </w:p>
    <w:p>
      <w:pPr>
        <w:spacing w:line="540" w:lineRule="exact"/>
        <w:jc w:val="center"/>
        <w:rPr>
          <w:rFonts w:ascii="宋体" w:hAnsi="宋体" w:cs="宋体"/>
          <w:b/>
          <w:color w:val="auto"/>
          <w:szCs w:val="21"/>
        </w:rPr>
      </w:pPr>
      <w:r>
        <w:rPr>
          <w:rFonts w:hint="eastAsia" w:ascii="宋体" w:hAnsi="宋体" w:cs="宋体"/>
          <w:b/>
          <w:color w:val="auto"/>
          <w:szCs w:val="21"/>
        </w:rPr>
        <w:t>合同生效，变更与终止</w:t>
      </w:r>
    </w:p>
    <w:p>
      <w:pPr>
        <w:spacing w:line="540" w:lineRule="exact"/>
        <w:rPr>
          <w:rFonts w:ascii="宋体" w:hAnsi="宋体" w:cs="宋体"/>
          <w:color w:val="auto"/>
          <w:szCs w:val="21"/>
        </w:rPr>
      </w:pPr>
      <w:r>
        <w:rPr>
          <w:rFonts w:hint="eastAsia" w:ascii="宋体" w:hAnsi="宋体" w:cs="宋体"/>
          <w:color w:val="auto"/>
          <w:szCs w:val="21"/>
        </w:rPr>
        <w:t>第十八条  本合同自双方签字盖章之日起生效。</w:t>
      </w:r>
    </w:p>
    <w:p>
      <w:pPr>
        <w:spacing w:line="540" w:lineRule="exact"/>
        <w:rPr>
          <w:rFonts w:ascii="宋体" w:hAnsi="宋体" w:cs="宋体"/>
          <w:color w:val="auto"/>
          <w:szCs w:val="21"/>
        </w:rPr>
      </w:pPr>
      <w:r>
        <w:rPr>
          <w:rFonts w:hint="eastAsia" w:ascii="宋体" w:hAnsi="宋体" w:cs="宋体"/>
          <w:color w:val="auto"/>
          <w:szCs w:val="21"/>
        </w:rPr>
        <w:t>第十九条  由于委托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540" w:lineRule="exact"/>
        <w:rPr>
          <w:rFonts w:ascii="宋体" w:hAnsi="宋体" w:cs="宋体"/>
          <w:color w:val="auto"/>
          <w:szCs w:val="21"/>
        </w:rPr>
      </w:pPr>
      <w:r>
        <w:rPr>
          <w:rFonts w:hint="eastAsia" w:ascii="宋体" w:hAnsi="宋体" w:cs="宋体"/>
          <w:color w:val="auto"/>
          <w:szCs w:val="21"/>
        </w:rPr>
        <w:t>第二十条  当事人一方要求变更或解除合同时，则应当在14日前通知对方；因变更或解除合同使一方遭受损失的，应由责任方负责赔偿。</w:t>
      </w:r>
    </w:p>
    <w:p>
      <w:pPr>
        <w:spacing w:line="540" w:lineRule="exact"/>
        <w:rPr>
          <w:rFonts w:ascii="宋体" w:hAnsi="宋体" w:cs="宋体"/>
          <w:color w:val="auto"/>
          <w:szCs w:val="21"/>
        </w:rPr>
      </w:pPr>
      <w:r>
        <w:rPr>
          <w:rFonts w:hint="eastAsia" w:ascii="宋体" w:hAnsi="宋体" w:cs="宋体"/>
          <w:color w:val="auto"/>
          <w:szCs w:val="21"/>
        </w:rPr>
        <w:t>第二十一条  咨询人由于非自身原因暂停或终止执行建设工程造咨询业务，由此而增加的恢复执行建设工程造价咨询业务的工作，应视为额外服务，有权得到额外时间和酬金。</w:t>
      </w:r>
    </w:p>
    <w:p>
      <w:pPr>
        <w:spacing w:line="540" w:lineRule="exact"/>
        <w:rPr>
          <w:rFonts w:ascii="宋体" w:hAnsi="宋体" w:cs="宋体"/>
          <w:color w:val="auto"/>
          <w:szCs w:val="21"/>
        </w:rPr>
      </w:pPr>
      <w:r>
        <w:rPr>
          <w:rFonts w:hint="eastAsia" w:ascii="宋体" w:hAnsi="宋体" w:cs="宋体"/>
          <w:color w:val="auto"/>
          <w:szCs w:val="21"/>
        </w:rPr>
        <w:t>第二十二条  变更或解除合同的通知或协议应当采取书面形式，新的协议未达成之前，原合同仍然有效。</w:t>
      </w:r>
    </w:p>
    <w:p>
      <w:pPr>
        <w:spacing w:line="540" w:lineRule="exact"/>
        <w:jc w:val="center"/>
        <w:rPr>
          <w:rFonts w:ascii="宋体" w:hAnsi="宋体" w:cs="宋体"/>
          <w:b/>
          <w:color w:val="auto"/>
          <w:szCs w:val="21"/>
        </w:rPr>
      </w:pPr>
      <w:r>
        <w:rPr>
          <w:rFonts w:hint="eastAsia" w:ascii="宋体" w:hAnsi="宋体" w:cs="宋体"/>
          <w:b/>
          <w:color w:val="auto"/>
          <w:szCs w:val="21"/>
        </w:rPr>
        <w:t>咨询业务的酬金</w:t>
      </w:r>
    </w:p>
    <w:p>
      <w:pPr>
        <w:spacing w:line="540" w:lineRule="exact"/>
        <w:rPr>
          <w:rFonts w:ascii="宋体" w:hAnsi="宋体" w:cs="宋体"/>
          <w:color w:val="auto"/>
          <w:szCs w:val="21"/>
        </w:rPr>
      </w:pPr>
      <w:r>
        <w:rPr>
          <w:rFonts w:hint="eastAsia" w:ascii="宋体" w:hAnsi="宋体" w:cs="宋体"/>
          <w:color w:val="auto"/>
          <w:szCs w:val="21"/>
        </w:rPr>
        <w:t>第二十三条  正常的建设工程造价咨询业务，附加工作和额外工作的酬金，按照建设工程造价咨询合同协议书约定的方法计取，并按约定的时间和数额支付。</w:t>
      </w:r>
    </w:p>
    <w:p>
      <w:pPr>
        <w:spacing w:line="540" w:lineRule="exact"/>
        <w:rPr>
          <w:rFonts w:ascii="宋体" w:hAnsi="宋体" w:cs="宋体"/>
          <w:color w:val="auto"/>
          <w:szCs w:val="21"/>
        </w:rPr>
      </w:pPr>
      <w:r>
        <w:rPr>
          <w:rFonts w:hint="eastAsia" w:ascii="宋体" w:hAnsi="宋体" w:cs="宋体"/>
          <w:color w:val="auto"/>
          <w:szCs w:val="21"/>
        </w:rPr>
        <w:t>第二十四条  如果委托人在规定的支付期限内未支付建设工程造价咨询酬金，自规定支付之日起，应当向咨询人补偿应支付的酬金利息。利息额按规定支付期限最后一日银行活期贷款乘以拖欠酬金时间计算。</w:t>
      </w:r>
    </w:p>
    <w:p>
      <w:pPr>
        <w:spacing w:line="540" w:lineRule="exact"/>
        <w:rPr>
          <w:rFonts w:ascii="宋体" w:hAnsi="宋体" w:cs="宋体"/>
          <w:color w:val="auto"/>
          <w:szCs w:val="21"/>
        </w:rPr>
      </w:pPr>
      <w:r>
        <w:rPr>
          <w:rFonts w:hint="eastAsia" w:ascii="宋体" w:hAnsi="宋体" w:cs="宋体"/>
          <w:color w:val="auto"/>
          <w:szCs w:val="21"/>
        </w:rPr>
        <w:t>第二十五条  如果委托人对咨询人提交的支付通知书中酬金或部分酬金项目提出异议，应当在收到支付通知书两日内向咨询人发出异议的通知，但委托人不得拖延其无异议酬金项目的支付。</w:t>
      </w:r>
    </w:p>
    <w:p>
      <w:pPr>
        <w:spacing w:line="540" w:lineRule="exact"/>
        <w:rPr>
          <w:rFonts w:ascii="宋体" w:hAnsi="宋体" w:cs="宋体"/>
          <w:color w:val="auto"/>
          <w:szCs w:val="21"/>
        </w:rPr>
      </w:pPr>
      <w:r>
        <w:rPr>
          <w:rFonts w:hint="eastAsia" w:ascii="宋体" w:hAnsi="宋体" w:cs="宋体"/>
          <w:color w:val="auto"/>
          <w:szCs w:val="21"/>
        </w:rPr>
        <w:t>第二十六条  支付建设工程造价咨询酬金所采取的货币币种、汇率由合同专用条件约定。</w:t>
      </w:r>
    </w:p>
    <w:p>
      <w:pPr>
        <w:spacing w:line="540" w:lineRule="exact"/>
        <w:jc w:val="center"/>
        <w:rPr>
          <w:rFonts w:ascii="宋体" w:hAnsi="宋体" w:cs="宋体"/>
          <w:b/>
          <w:color w:val="auto"/>
          <w:szCs w:val="21"/>
        </w:rPr>
      </w:pPr>
      <w:r>
        <w:rPr>
          <w:rFonts w:hint="eastAsia" w:ascii="宋体" w:hAnsi="宋体" w:cs="宋体"/>
          <w:b/>
          <w:color w:val="auto"/>
          <w:szCs w:val="21"/>
        </w:rPr>
        <w:t>其    他</w:t>
      </w:r>
    </w:p>
    <w:p>
      <w:pPr>
        <w:spacing w:line="540" w:lineRule="exact"/>
        <w:rPr>
          <w:rFonts w:ascii="宋体" w:hAnsi="宋体" w:cs="宋体"/>
          <w:color w:val="auto"/>
          <w:szCs w:val="21"/>
        </w:rPr>
      </w:pPr>
      <w:r>
        <w:rPr>
          <w:rFonts w:hint="eastAsia" w:ascii="宋体" w:hAnsi="宋体" w:cs="宋体"/>
          <w:color w:val="auto"/>
          <w:szCs w:val="21"/>
        </w:rPr>
        <w:t>第二十七条  因建设工程造价咨询业务的需要，咨询人在合同约定的外出考察，经委托人同意，其所需要费用由委托人负责。</w:t>
      </w:r>
    </w:p>
    <w:p>
      <w:pPr>
        <w:spacing w:line="540" w:lineRule="exact"/>
        <w:rPr>
          <w:rFonts w:ascii="宋体" w:hAnsi="宋体" w:cs="宋体"/>
          <w:color w:val="auto"/>
          <w:szCs w:val="21"/>
        </w:rPr>
      </w:pPr>
      <w:r>
        <w:rPr>
          <w:rFonts w:hint="eastAsia" w:ascii="宋体" w:hAnsi="宋体" w:cs="宋体"/>
          <w:color w:val="auto"/>
          <w:szCs w:val="21"/>
        </w:rPr>
        <w:t>第二十八条  咨询人如需外聘专家协助，在委托的建设工程造价咨询业务范围内其费用由咨询人承担；在委托的建设工程造价咨询业务范围以外经委托人同意并认可其费用后由委托人承担。</w:t>
      </w:r>
    </w:p>
    <w:p>
      <w:pPr>
        <w:spacing w:line="540" w:lineRule="exact"/>
        <w:rPr>
          <w:rFonts w:ascii="宋体" w:hAnsi="宋体" w:cs="宋体"/>
          <w:color w:val="auto"/>
          <w:szCs w:val="21"/>
        </w:rPr>
      </w:pPr>
      <w:r>
        <w:rPr>
          <w:rFonts w:hint="eastAsia" w:ascii="宋体" w:hAnsi="宋体" w:cs="宋体"/>
          <w:color w:val="auto"/>
          <w:szCs w:val="21"/>
        </w:rPr>
        <w:t>第二十九条  未经对方的书面同意，各方均不得转让合同约定的权利和义务。</w:t>
      </w:r>
    </w:p>
    <w:p>
      <w:pPr>
        <w:spacing w:line="540" w:lineRule="exact"/>
        <w:rPr>
          <w:rFonts w:ascii="宋体" w:hAnsi="宋体" w:cs="宋体"/>
          <w:color w:val="auto"/>
          <w:szCs w:val="21"/>
        </w:rPr>
      </w:pPr>
      <w:r>
        <w:rPr>
          <w:rFonts w:hint="eastAsia" w:ascii="宋体" w:hAnsi="宋体" w:cs="宋体"/>
          <w:color w:val="auto"/>
          <w:szCs w:val="21"/>
        </w:rPr>
        <w:t>第三十条  除委托人书面同意外，咨询人及咨询专业人员不应接受建设工程造价咨询合同约定以外的与工程造价咨询项目有关的任合报酬。</w:t>
      </w:r>
    </w:p>
    <w:p>
      <w:pPr>
        <w:spacing w:line="540" w:lineRule="exact"/>
        <w:ind w:firstLine="420" w:firstLineChars="200"/>
        <w:rPr>
          <w:rFonts w:ascii="宋体" w:hAnsi="宋体" w:cs="宋体"/>
          <w:color w:val="auto"/>
          <w:szCs w:val="21"/>
        </w:rPr>
      </w:pPr>
      <w:r>
        <w:rPr>
          <w:rFonts w:hint="eastAsia" w:ascii="宋体" w:hAnsi="宋体" w:cs="宋体"/>
          <w:color w:val="auto"/>
          <w:szCs w:val="21"/>
        </w:rPr>
        <w:t>咨询人不得参与可能与合同规定的与委托人利益相冲突的任何活动。</w:t>
      </w:r>
    </w:p>
    <w:p>
      <w:pPr>
        <w:spacing w:line="540" w:lineRule="exact"/>
        <w:ind w:firstLine="421" w:firstLineChars="200"/>
        <w:jc w:val="center"/>
        <w:rPr>
          <w:rFonts w:ascii="宋体" w:hAnsi="宋体" w:cs="宋体"/>
          <w:b/>
          <w:color w:val="auto"/>
          <w:szCs w:val="21"/>
        </w:rPr>
      </w:pPr>
      <w:r>
        <w:rPr>
          <w:rFonts w:hint="eastAsia" w:ascii="宋体" w:hAnsi="宋体" w:cs="宋体"/>
          <w:b/>
          <w:color w:val="auto"/>
          <w:szCs w:val="21"/>
        </w:rPr>
        <w:t>合同争议的解决</w:t>
      </w:r>
    </w:p>
    <w:p>
      <w:pPr>
        <w:spacing w:line="540" w:lineRule="exact"/>
        <w:rPr>
          <w:rFonts w:ascii="宋体" w:hAnsi="宋体" w:cs="宋体"/>
          <w:color w:val="auto"/>
          <w:szCs w:val="21"/>
        </w:rPr>
      </w:pPr>
      <w:r>
        <w:rPr>
          <w:rFonts w:hint="eastAsia" w:ascii="宋体" w:hAnsi="宋体" w:cs="宋体"/>
          <w:color w:val="auto"/>
          <w:szCs w:val="21"/>
        </w:rPr>
        <w:t>第三十一条  因违约或终止合同而引起的损失和损害的赔偿，委托人与咨询人之间应当协商解决；如未能达成一致，可提交有关主管部门调解；协商或调解不成的根据双方约定提交仲裁机关仲裁，或向人民法院提出诉讼。</w:t>
      </w:r>
    </w:p>
    <w:p>
      <w:pPr>
        <w:spacing w:line="540" w:lineRule="exact"/>
        <w:ind w:firstLine="421" w:firstLineChars="200"/>
        <w:jc w:val="center"/>
        <w:rPr>
          <w:rFonts w:ascii="宋体" w:hAnsi="宋体" w:cs="宋体"/>
          <w:b/>
          <w:color w:val="auto"/>
          <w:szCs w:val="21"/>
        </w:rPr>
      </w:pPr>
      <w:r>
        <w:rPr>
          <w:rFonts w:hint="eastAsia" w:ascii="宋体" w:hAnsi="宋体" w:cs="宋体"/>
          <w:b/>
          <w:color w:val="auto"/>
          <w:szCs w:val="21"/>
        </w:rPr>
        <w:t>第三部分  建设工程造价咨询合同专用条件</w:t>
      </w:r>
    </w:p>
    <w:p>
      <w:pPr>
        <w:spacing w:line="540" w:lineRule="exact"/>
        <w:rPr>
          <w:rFonts w:ascii="宋体" w:hAnsi="宋体" w:cs="宋体"/>
          <w:color w:val="auto"/>
          <w:szCs w:val="21"/>
        </w:rPr>
      </w:pPr>
    </w:p>
    <w:p>
      <w:pPr>
        <w:spacing w:line="540" w:lineRule="exact"/>
        <w:rPr>
          <w:rFonts w:ascii="宋体" w:hAnsi="宋体" w:cs="宋体"/>
          <w:color w:val="auto"/>
          <w:szCs w:val="21"/>
        </w:rPr>
      </w:pPr>
      <w:r>
        <w:rPr>
          <w:rFonts w:hint="eastAsia" w:ascii="宋体" w:hAnsi="宋体" w:cs="宋体"/>
          <w:color w:val="auto"/>
          <w:szCs w:val="21"/>
        </w:rPr>
        <w:t>第一条  本合同适用的法律、法规及工程造价计价办法和规定：</w:t>
      </w:r>
    </w:p>
    <w:p>
      <w:pPr>
        <w:spacing w:line="540" w:lineRule="exact"/>
        <w:ind w:firstLine="420" w:firstLineChars="200"/>
        <w:rPr>
          <w:rFonts w:ascii="宋体" w:hAnsi="宋体" w:cs="宋体"/>
          <w:color w:val="auto"/>
          <w:szCs w:val="21"/>
        </w:rPr>
      </w:pPr>
      <w:r>
        <w:rPr>
          <w:rFonts w:hint="eastAsia" w:ascii="宋体" w:hAnsi="宋体" w:cs="宋体"/>
          <w:color w:val="auto"/>
          <w:szCs w:val="21"/>
        </w:rPr>
        <w:t>《中华人民共和国合同法》、《中华人民共和国建筑法》、深圳市有关工程施工合同的规定及合同附件中约定的计价方法。</w:t>
      </w:r>
    </w:p>
    <w:p>
      <w:pPr>
        <w:spacing w:line="540" w:lineRule="exact"/>
        <w:rPr>
          <w:rFonts w:ascii="宋体" w:hAnsi="宋体" w:cs="宋体"/>
          <w:color w:val="auto"/>
          <w:szCs w:val="21"/>
        </w:rPr>
      </w:pPr>
      <w:r>
        <w:rPr>
          <w:rFonts w:hint="eastAsia" w:ascii="宋体" w:hAnsi="宋体" w:cs="宋体"/>
          <w:color w:val="auto"/>
          <w:szCs w:val="21"/>
        </w:rPr>
        <w:t>第二条  咨询人指派</w:t>
      </w:r>
      <w:r>
        <w:rPr>
          <w:rFonts w:hint="eastAsia" w:ascii="宋体" w:hAnsi="宋体" w:cs="宋体"/>
          <w:color w:val="auto"/>
          <w:szCs w:val="21"/>
          <w:u w:val="single"/>
        </w:rPr>
        <w:t xml:space="preserve">    /   </w:t>
      </w:r>
      <w:r>
        <w:rPr>
          <w:rFonts w:hint="eastAsia" w:ascii="宋体" w:hAnsi="宋体" w:cs="宋体"/>
          <w:color w:val="auto"/>
          <w:szCs w:val="21"/>
        </w:rPr>
        <w:t>造价工程师负责本项目咨询业务，其主要职责</w:t>
      </w:r>
    </w:p>
    <w:p>
      <w:pPr>
        <w:spacing w:line="540" w:lineRule="exact"/>
        <w:ind w:firstLine="420" w:firstLineChars="200"/>
        <w:rPr>
          <w:rFonts w:ascii="宋体" w:hAnsi="宋体" w:cs="宋体"/>
          <w:color w:val="auto"/>
          <w:szCs w:val="21"/>
        </w:rPr>
      </w:pPr>
      <w:r>
        <w:rPr>
          <w:rFonts w:hint="eastAsia" w:ascii="宋体" w:hAnsi="宋体" w:cs="宋体"/>
          <w:color w:val="auto"/>
          <w:szCs w:val="21"/>
        </w:rPr>
        <w:t>1、组织专业人员进行项目的编制工作，安排进度；</w:t>
      </w:r>
    </w:p>
    <w:p>
      <w:pPr>
        <w:spacing w:line="540" w:lineRule="exact"/>
        <w:ind w:firstLine="420" w:firstLineChars="200"/>
        <w:rPr>
          <w:rFonts w:ascii="宋体" w:hAnsi="宋体" w:cs="宋体"/>
          <w:color w:val="auto"/>
          <w:szCs w:val="21"/>
        </w:rPr>
      </w:pPr>
      <w:r>
        <w:rPr>
          <w:rFonts w:hint="eastAsia" w:ascii="宋体" w:hAnsi="宋体" w:cs="宋体"/>
          <w:color w:val="auto"/>
          <w:szCs w:val="21"/>
        </w:rPr>
        <w:t>2、负责本项目咨询业务报告文件的质量；</w:t>
      </w:r>
    </w:p>
    <w:p>
      <w:pPr>
        <w:spacing w:line="540" w:lineRule="exact"/>
        <w:ind w:firstLine="420" w:firstLineChars="200"/>
        <w:rPr>
          <w:rFonts w:ascii="宋体" w:hAnsi="宋体" w:cs="宋体"/>
          <w:color w:val="auto"/>
          <w:szCs w:val="21"/>
        </w:rPr>
      </w:pPr>
      <w:r>
        <w:rPr>
          <w:rFonts w:hint="eastAsia" w:ascii="宋体" w:hAnsi="宋体" w:cs="宋体"/>
          <w:color w:val="auto"/>
          <w:szCs w:val="21"/>
        </w:rPr>
        <w:t>3、负责与委托人的联系、沟通、解释和答复与咨询业务相关的事宜；</w:t>
      </w:r>
    </w:p>
    <w:p>
      <w:pPr>
        <w:spacing w:line="540" w:lineRule="exact"/>
        <w:ind w:firstLine="420" w:firstLineChars="200"/>
        <w:rPr>
          <w:rFonts w:ascii="宋体" w:hAnsi="宋体" w:cs="宋体"/>
          <w:color w:val="auto"/>
          <w:szCs w:val="21"/>
        </w:rPr>
      </w:pPr>
      <w:r>
        <w:rPr>
          <w:rFonts w:hint="eastAsia" w:ascii="宋体" w:hAnsi="宋体" w:cs="宋体"/>
          <w:color w:val="auto"/>
          <w:szCs w:val="21"/>
        </w:rPr>
        <w:t>4、其他。</w:t>
      </w:r>
    </w:p>
    <w:p>
      <w:pPr>
        <w:spacing w:line="540" w:lineRule="exact"/>
        <w:ind w:right="-153" w:rightChars="-73"/>
        <w:rPr>
          <w:rFonts w:ascii="宋体" w:hAnsi="宋体" w:cs="宋体"/>
          <w:color w:val="auto"/>
          <w:szCs w:val="21"/>
        </w:rPr>
      </w:pPr>
      <w:r>
        <w:rPr>
          <w:rFonts w:hint="eastAsia" w:ascii="宋体" w:hAnsi="宋体" w:cs="宋体"/>
          <w:color w:val="auto"/>
          <w:szCs w:val="21"/>
        </w:rPr>
        <w:t>第三条  双方约定的委托人应提供的建设工程造价咨询材料： 图纸或与造价咨询业务相关的所有资料。</w:t>
      </w:r>
    </w:p>
    <w:p>
      <w:pPr>
        <w:spacing w:line="540" w:lineRule="exact"/>
        <w:rPr>
          <w:rFonts w:ascii="宋体" w:hAnsi="宋体" w:cs="宋体"/>
          <w:color w:val="auto"/>
          <w:szCs w:val="21"/>
        </w:rPr>
      </w:pPr>
      <w:r>
        <w:rPr>
          <w:rFonts w:hint="eastAsia" w:ascii="宋体" w:hAnsi="宋体" w:cs="宋体"/>
          <w:color w:val="auto"/>
          <w:szCs w:val="21"/>
        </w:rPr>
        <w:t>第四条  委托人应在</w:t>
      </w:r>
      <w:r>
        <w:rPr>
          <w:rFonts w:hint="eastAsia" w:ascii="宋体" w:hAnsi="宋体" w:cs="宋体"/>
          <w:color w:val="auto"/>
          <w:szCs w:val="21"/>
          <w:u w:val="single"/>
        </w:rPr>
        <w:t xml:space="preserve">  3  </w:t>
      </w:r>
      <w:r>
        <w:rPr>
          <w:rFonts w:hint="eastAsia" w:ascii="宋体" w:hAnsi="宋体" w:cs="宋体"/>
          <w:color w:val="auto"/>
          <w:szCs w:val="21"/>
        </w:rPr>
        <w:t>日内对咨询人书面提交并要求做出答复的事宜做出书面答复。</w:t>
      </w:r>
    </w:p>
    <w:p>
      <w:pPr>
        <w:spacing w:line="540" w:lineRule="exact"/>
        <w:rPr>
          <w:rFonts w:ascii="宋体" w:hAnsi="宋体" w:cs="宋体"/>
          <w:color w:val="auto"/>
          <w:szCs w:val="21"/>
        </w:rPr>
      </w:pPr>
      <w:r>
        <w:rPr>
          <w:rFonts w:hint="eastAsia" w:ascii="宋体" w:hAnsi="宋体" w:cs="宋体"/>
          <w:color w:val="auto"/>
          <w:szCs w:val="21"/>
        </w:rPr>
        <w:t xml:space="preserve">第五条  委托人授权的本咨询业务代表，姓名 </w:t>
      </w:r>
      <w:r>
        <w:rPr>
          <w:rFonts w:hint="eastAsia" w:ascii="宋体" w:hAnsi="宋体" w:cs="宋体"/>
          <w:color w:val="auto"/>
          <w:szCs w:val="21"/>
          <w:u w:val="single"/>
        </w:rPr>
        <w:t xml:space="preserve">   /      </w:t>
      </w:r>
      <w:r>
        <w:rPr>
          <w:rFonts w:hint="eastAsia" w:ascii="宋体" w:hAnsi="宋体" w:cs="宋体"/>
          <w:color w:val="auto"/>
          <w:szCs w:val="21"/>
        </w:rPr>
        <w:t>，其主要职责：</w:t>
      </w:r>
    </w:p>
    <w:p>
      <w:pPr>
        <w:spacing w:line="540" w:lineRule="exact"/>
        <w:ind w:left="720"/>
        <w:rPr>
          <w:rFonts w:ascii="宋体" w:hAnsi="宋体" w:cs="宋体"/>
          <w:color w:val="auto"/>
          <w:szCs w:val="21"/>
        </w:rPr>
      </w:pPr>
      <w:r>
        <w:rPr>
          <w:rFonts w:hint="eastAsia" w:ascii="宋体" w:hAnsi="宋体" w:cs="宋体"/>
          <w:color w:val="auto"/>
          <w:szCs w:val="21"/>
        </w:rPr>
        <w:t>1、负责和咨询人的沟通，释疑等工作</w:t>
      </w:r>
    </w:p>
    <w:p>
      <w:pPr>
        <w:spacing w:line="540" w:lineRule="exact"/>
        <w:ind w:left="720"/>
        <w:rPr>
          <w:rFonts w:ascii="宋体" w:hAnsi="宋体" w:cs="宋体"/>
          <w:color w:val="auto"/>
          <w:szCs w:val="21"/>
        </w:rPr>
      </w:pPr>
      <w:r>
        <w:rPr>
          <w:rFonts w:hint="eastAsia" w:ascii="宋体" w:hAnsi="宋体" w:cs="宋体"/>
          <w:color w:val="auto"/>
          <w:szCs w:val="21"/>
        </w:rPr>
        <w:t>2、检查咨询人工作进度、质量</w:t>
      </w:r>
    </w:p>
    <w:p>
      <w:pPr>
        <w:spacing w:line="540" w:lineRule="exact"/>
        <w:rPr>
          <w:rFonts w:ascii="宋体" w:hAnsi="宋体" w:cs="宋体"/>
          <w:color w:val="auto"/>
          <w:szCs w:val="21"/>
          <w:u w:val="single"/>
        </w:rPr>
      </w:pPr>
      <w:r>
        <w:rPr>
          <w:rFonts w:hint="eastAsia" w:ascii="宋体" w:hAnsi="宋体" w:cs="宋体"/>
          <w:color w:val="auto"/>
          <w:szCs w:val="21"/>
        </w:rPr>
        <w:t xml:space="preserve">第六条  咨询人在其责任期内如果失职，同意按以下办法承担因单方责任而造成的经济损失： </w:t>
      </w:r>
      <w:r>
        <w:rPr>
          <w:rFonts w:hint="eastAsia" w:ascii="宋体" w:hAnsi="宋体" w:cs="宋体"/>
          <w:color w:val="auto"/>
          <w:szCs w:val="21"/>
          <w:u w:val="single"/>
        </w:rPr>
        <w:t xml:space="preserve"> 因咨询人的故意或过失造成的经济损失，应当向委托人进行赔偿。 </w:t>
      </w:r>
    </w:p>
    <w:p>
      <w:pPr>
        <w:spacing w:line="540" w:lineRule="exact"/>
        <w:ind w:right="70"/>
        <w:rPr>
          <w:rFonts w:ascii="宋体" w:hAnsi="宋体" w:cs="宋体"/>
          <w:bCs/>
          <w:color w:val="auto"/>
          <w:szCs w:val="21"/>
        </w:rPr>
      </w:pPr>
      <w:r>
        <w:rPr>
          <w:rFonts w:hint="eastAsia" w:ascii="宋体" w:hAnsi="宋体" w:cs="宋体"/>
          <w:color w:val="auto"/>
          <w:szCs w:val="21"/>
        </w:rPr>
        <w:t>第七条  委托人应按以下的方式支付咨询人酬金：</w:t>
      </w:r>
    </w:p>
    <w:p>
      <w:pPr>
        <w:spacing w:line="540" w:lineRule="exact"/>
        <w:ind w:right="70" w:firstLine="420" w:firstLineChars="200"/>
        <w:rPr>
          <w:rFonts w:ascii="宋体" w:hAnsi="宋体" w:cs="宋体"/>
          <w:bCs/>
          <w:color w:val="auto"/>
          <w:szCs w:val="21"/>
        </w:rPr>
      </w:pPr>
      <w:r>
        <w:rPr>
          <w:rFonts w:hint="eastAsia" w:ascii="宋体" w:hAnsi="宋体" w:cs="宋体"/>
          <w:bCs/>
          <w:color w:val="auto"/>
          <w:szCs w:val="21"/>
        </w:rPr>
        <w:t>1.概算编制工作完成，提交报告一个月内，咨询人申请经委托人审核后支付该项目造价咨询合同暂定价20%；</w:t>
      </w:r>
    </w:p>
    <w:p>
      <w:pPr>
        <w:spacing w:line="540" w:lineRule="exact"/>
        <w:ind w:right="70" w:firstLine="420" w:firstLineChars="200"/>
        <w:rPr>
          <w:rFonts w:ascii="宋体" w:hAnsi="宋体" w:cs="宋体"/>
          <w:bCs/>
          <w:color w:val="auto"/>
          <w:szCs w:val="21"/>
        </w:rPr>
      </w:pPr>
      <w:r>
        <w:rPr>
          <w:rFonts w:hint="eastAsia" w:ascii="宋体" w:hAnsi="宋体" w:cs="宋体"/>
          <w:bCs/>
          <w:color w:val="auto"/>
          <w:szCs w:val="21"/>
        </w:rPr>
        <w:t>2.招标控制价编制工作完成，提交报告一个月内，咨询人申请经委托人审核后支付该项目造价咨询合同暂定价30%，累计支付至合同暂定价50%。</w:t>
      </w:r>
    </w:p>
    <w:p>
      <w:pPr>
        <w:spacing w:line="540" w:lineRule="exact"/>
        <w:ind w:right="70" w:firstLine="420" w:firstLineChars="200"/>
        <w:rPr>
          <w:rFonts w:ascii="宋体" w:hAnsi="宋体" w:cs="宋体"/>
          <w:bCs/>
          <w:color w:val="auto"/>
          <w:szCs w:val="21"/>
        </w:rPr>
      </w:pPr>
      <w:r>
        <w:rPr>
          <w:rFonts w:hint="eastAsia" w:ascii="宋体" w:hAnsi="宋体" w:cs="宋体"/>
          <w:bCs/>
          <w:color w:val="auto"/>
          <w:szCs w:val="21"/>
        </w:rPr>
        <w:t>3.工程变更审核完或项目竣工验收后，咨询人申请经委托人审核后支付该项目造价咨询合同暂定价20%，累计支付至该项目造价咨询费的70%。</w:t>
      </w:r>
    </w:p>
    <w:p>
      <w:pPr>
        <w:spacing w:line="540" w:lineRule="exact"/>
        <w:ind w:right="70" w:firstLine="420" w:firstLineChars="200"/>
        <w:rPr>
          <w:rFonts w:ascii="宋体" w:hAnsi="宋体" w:cs="宋体"/>
          <w:bCs/>
          <w:color w:val="auto"/>
          <w:szCs w:val="21"/>
        </w:rPr>
      </w:pPr>
      <w:r>
        <w:rPr>
          <w:rFonts w:hint="eastAsia" w:ascii="宋体" w:hAnsi="宋体" w:cs="宋体"/>
          <w:bCs/>
          <w:color w:val="auto"/>
          <w:szCs w:val="21"/>
        </w:rPr>
        <w:t>4.工程竣工结算完成后一个月内，咨询人申请经委托人审核后支付该项目造价咨询合同暂定价20%，累计支付至该项目造价咨询费的90%。</w:t>
      </w:r>
    </w:p>
    <w:p>
      <w:pPr>
        <w:spacing w:line="540" w:lineRule="exact"/>
        <w:ind w:right="70" w:firstLine="420" w:firstLineChars="200"/>
        <w:rPr>
          <w:rFonts w:ascii="宋体" w:hAnsi="宋体" w:cs="宋体"/>
          <w:bCs/>
          <w:color w:val="auto"/>
          <w:szCs w:val="21"/>
        </w:rPr>
      </w:pPr>
      <w:r>
        <w:rPr>
          <w:rFonts w:hint="eastAsia" w:ascii="宋体" w:hAnsi="宋体" w:cs="宋体"/>
          <w:bCs/>
          <w:color w:val="auto"/>
          <w:szCs w:val="21"/>
        </w:rPr>
        <w:t>5.竣工决算审核完成后一个月内，咨询人申请经委托人审核后支付该项目造价咨询合同暂定价10%，累计支付至该项目造价咨询费的100%。</w:t>
      </w:r>
    </w:p>
    <w:p>
      <w:pPr>
        <w:pStyle w:val="188"/>
        <w:spacing w:before="156" w:beforeLines="50" w:line="540" w:lineRule="exact"/>
        <w:ind w:firstLine="0" w:firstLineChars="0"/>
        <w:rPr>
          <w:rFonts w:ascii="宋体" w:hAnsi="宋体" w:cs="宋体"/>
          <w:color w:val="auto"/>
          <w:szCs w:val="21"/>
        </w:rPr>
      </w:pPr>
      <w:r>
        <w:rPr>
          <w:rFonts w:hint="eastAsia" w:ascii="宋体" w:hAnsi="宋体" w:cs="宋体"/>
          <w:color w:val="auto"/>
          <w:szCs w:val="21"/>
        </w:rPr>
        <w:t xml:space="preserve">    5、因财政拨付原因、咨询人开具发票导致付款迟延的，委托人不承担违约责任。委托人未能及时支付造价咨询服务费时，咨询人可发出书面通知要求及时付款。如委托人因本项目财政资金未下达而不能及时支付款项时，委托人可延期支付款项且不支付延期应付款项的利息。</w:t>
      </w:r>
    </w:p>
    <w:p>
      <w:pPr>
        <w:spacing w:line="540" w:lineRule="exact"/>
        <w:rPr>
          <w:rFonts w:ascii="宋体" w:hAnsi="宋体" w:cs="宋体"/>
          <w:color w:val="auto"/>
          <w:szCs w:val="21"/>
        </w:rPr>
      </w:pPr>
      <w:r>
        <w:rPr>
          <w:rFonts w:hint="eastAsia" w:ascii="宋体" w:hAnsi="宋体" w:cs="宋体"/>
          <w:color w:val="auto"/>
          <w:szCs w:val="21"/>
        </w:rPr>
        <w:t>第八条  双方同意用</w:t>
      </w:r>
      <w:r>
        <w:rPr>
          <w:rFonts w:hint="eastAsia" w:ascii="宋体" w:hAnsi="宋体" w:cs="宋体"/>
          <w:color w:val="auto"/>
          <w:szCs w:val="21"/>
          <w:u w:val="single"/>
        </w:rPr>
        <w:t xml:space="preserve">  人民币  </w:t>
      </w:r>
      <w:r>
        <w:rPr>
          <w:rFonts w:hint="eastAsia" w:ascii="宋体" w:hAnsi="宋体" w:cs="宋体"/>
          <w:color w:val="auto"/>
          <w:szCs w:val="21"/>
        </w:rPr>
        <w:t>支付酬金，按</w:t>
      </w:r>
      <w:r>
        <w:rPr>
          <w:rFonts w:hint="eastAsia" w:ascii="宋体" w:hAnsi="宋体" w:cs="宋体"/>
          <w:color w:val="auto"/>
          <w:szCs w:val="21"/>
          <w:u w:val="single"/>
        </w:rPr>
        <w:t xml:space="preserve">  /    </w:t>
      </w:r>
      <w:r>
        <w:rPr>
          <w:rFonts w:hint="eastAsia" w:ascii="宋体" w:hAnsi="宋体" w:cs="宋体"/>
          <w:color w:val="auto"/>
          <w:szCs w:val="21"/>
        </w:rPr>
        <w:t>汇率计付。</w:t>
      </w:r>
    </w:p>
    <w:p>
      <w:pPr>
        <w:spacing w:line="540" w:lineRule="exact"/>
        <w:rPr>
          <w:rFonts w:ascii="宋体" w:hAnsi="宋体" w:cs="宋体"/>
          <w:color w:val="auto"/>
          <w:szCs w:val="21"/>
        </w:rPr>
      </w:pPr>
      <w:r>
        <w:rPr>
          <w:rFonts w:hint="eastAsia" w:ascii="宋体" w:hAnsi="宋体" w:cs="宋体"/>
          <w:color w:val="auto"/>
          <w:szCs w:val="21"/>
        </w:rPr>
        <w:t>第九条  建设工程造价咨询合同在履行过程中发生争议，委托人与咨询人应及时协商解决；如未能达成一致，可提交有关主管部门调解；协商或调解不成的，按下列第</w:t>
      </w:r>
      <w:r>
        <w:rPr>
          <w:rFonts w:hint="eastAsia" w:ascii="宋体" w:hAnsi="宋体" w:cs="宋体"/>
          <w:color w:val="auto"/>
          <w:szCs w:val="21"/>
          <w:u w:val="single"/>
        </w:rPr>
        <w:t xml:space="preserve">  （二）   </w:t>
      </w:r>
      <w:r>
        <w:rPr>
          <w:rFonts w:hint="eastAsia" w:ascii="宋体" w:hAnsi="宋体" w:cs="宋体"/>
          <w:color w:val="auto"/>
          <w:szCs w:val="21"/>
        </w:rPr>
        <w:t>种方式解决：</w:t>
      </w:r>
    </w:p>
    <w:p>
      <w:pPr>
        <w:numPr>
          <w:ilvl w:val="0"/>
          <w:numId w:val="10"/>
        </w:numPr>
        <w:spacing w:line="540" w:lineRule="exact"/>
        <w:rPr>
          <w:rFonts w:ascii="宋体" w:hAnsi="宋体" w:cs="宋体"/>
          <w:color w:val="auto"/>
          <w:szCs w:val="21"/>
        </w:rPr>
      </w:pPr>
      <w:r>
        <w:rPr>
          <w:rFonts w:hint="eastAsia" w:ascii="宋体" w:hAnsi="宋体" w:cs="宋体"/>
          <w:color w:val="auto"/>
          <w:szCs w:val="21"/>
        </w:rPr>
        <w:t>提交深圳市仲裁委员会仲裁；</w:t>
      </w:r>
    </w:p>
    <w:p>
      <w:pPr>
        <w:numPr>
          <w:ilvl w:val="0"/>
          <w:numId w:val="10"/>
        </w:numPr>
        <w:spacing w:line="540" w:lineRule="exact"/>
        <w:rPr>
          <w:rFonts w:ascii="宋体" w:hAnsi="宋体" w:cs="宋体"/>
          <w:color w:val="auto"/>
          <w:szCs w:val="21"/>
        </w:rPr>
      </w:pPr>
      <w:r>
        <w:rPr>
          <w:rFonts w:hint="eastAsia" w:ascii="宋体" w:hAnsi="宋体" w:cs="宋体"/>
          <w:color w:val="auto"/>
          <w:szCs w:val="21"/>
        </w:rPr>
        <w:t>向人民法院提起诉讼</w:t>
      </w:r>
    </w:p>
    <w:p>
      <w:pPr>
        <w:spacing w:line="540" w:lineRule="exact"/>
        <w:rPr>
          <w:rFonts w:ascii="宋体" w:hAnsi="宋体" w:cs="宋体"/>
          <w:color w:val="auto"/>
          <w:szCs w:val="21"/>
        </w:rPr>
      </w:pPr>
      <w:r>
        <w:rPr>
          <w:rFonts w:hint="eastAsia" w:ascii="宋体" w:hAnsi="宋体" w:cs="宋体"/>
          <w:color w:val="auto"/>
          <w:szCs w:val="21"/>
        </w:rPr>
        <w:t>补充合同条款：无</w:t>
      </w:r>
    </w:p>
    <w:p>
      <w:pPr>
        <w:rPr>
          <w:color w:val="auto"/>
          <w:sz w:val="24"/>
        </w:rPr>
      </w:pPr>
    </w:p>
    <w:p>
      <w:pPr>
        <w:pStyle w:val="2"/>
        <w:rPr>
          <w:color w:val="auto"/>
        </w:rPr>
      </w:pPr>
    </w:p>
    <w:p>
      <w:pPr>
        <w:rPr>
          <w:color w:val="auto"/>
          <w:sz w:val="24"/>
        </w:rPr>
      </w:pPr>
    </w:p>
    <w:p>
      <w:pPr>
        <w:pStyle w:val="2"/>
        <w:rPr>
          <w:color w:val="auto"/>
        </w:rPr>
      </w:pPr>
    </w:p>
    <w:p>
      <w:pPr>
        <w:rPr>
          <w:color w:val="auto"/>
          <w:sz w:val="24"/>
        </w:rPr>
      </w:pPr>
    </w:p>
    <w:p>
      <w:pPr>
        <w:pStyle w:val="2"/>
        <w:rPr>
          <w:color w:val="auto"/>
        </w:rPr>
      </w:pPr>
    </w:p>
    <w:p>
      <w:pPr>
        <w:rPr>
          <w:color w:val="auto"/>
        </w:rPr>
      </w:pPr>
    </w:p>
    <w:p>
      <w:pPr>
        <w:spacing w:line="240" w:lineRule="atLeast"/>
        <w:ind w:firstLine="480" w:firstLineChars="200"/>
        <w:rPr>
          <w:color w:val="auto"/>
          <w:sz w:val="24"/>
        </w:rPr>
      </w:pPr>
    </w:p>
    <w:p>
      <w:pPr>
        <w:spacing w:line="240" w:lineRule="atLeast"/>
        <w:ind w:firstLine="480" w:firstLineChars="200"/>
        <w:rPr>
          <w:color w:val="auto"/>
          <w:sz w:val="24"/>
        </w:rPr>
      </w:pPr>
      <w:r>
        <w:rPr>
          <w:rFonts w:hint="eastAsia"/>
          <w:color w:val="auto"/>
          <w:sz w:val="24"/>
        </w:rPr>
        <w:t>二、政府采购履约情况反馈表</w:t>
      </w:r>
    </w:p>
    <w:p>
      <w:pPr>
        <w:spacing w:line="240" w:lineRule="atLeast"/>
        <w:ind w:firstLine="843" w:firstLineChars="400"/>
        <w:rPr>
          <w:rFonts w:ascii="宋体" w:hAnsi="宋体"/>
          <w:b/>
          <w:color w:val="auto"/>
          <w:szCs w:val="21"/>
        </w:rPr>
      </w:pPr>
      <w:r>
        <w:rPr>
          <w:rFonts w:hint="eastAsia" w:ascii="宋体" w:hAnsi="宋体"/>
          <w:b/>
          <w:color w:val="auto"/>
          <w:szCs w:val="21"/>
        </w:rPr>
        <w:t>采购单位名称：                       联系人及电话：</w:t>
      </w:r>
    </w:p>
    <w:p>
      <w:pPr>
        <w:spacing w:line="60" w:lineRule="exact"/>
        <w:rPr>
          <w:rFonts w:ascii="宋体" w:hAnsi="宋体"/>
          <w:b/>
          <w:color w:val="auto"/>
          <w:szCs w:val="21"/>
        </w:rPr>
      </w:pP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color w:val="auto"/>
                <w:szCs w:val="21"/>
              </w:rPr>
            </w:pPr>
            <w:r>
              <w:rPr>
                <w:rFonts w:hint="eastAsia" w:ascii="宋体" w:hAnsi="宋体"/>
                <w:color w:val="auto"/>
                <w:szCs w:val="21"/>
              </w:rPr>
              <w:t>项目名称</w:t>
            </w:r>
          </w:p>
        </w:tc>
        <w:tc>
          <w:tcPr>
            <w:tcW w:w="2520" w:type="dxa"/>
            <w:vAlign w:val="center"/>
          </w:tcPr>
          <w:p>
            <w:pPr>
              <w:spacing w:line="240" w:lineRule="atLeast"/>
              <w:jc w:val="center"/>
              <w:rPr>
                <w:rFonts w:ascii="宋体" w:hAnsi="宋体"/>
                <w:color w:val="auto"/>
                <w:szCs w:val="21"/>
              </w:rPr>
            </w:pPr>
          </w:p>
        </w:tc>
        <w:tc>
          <w:tcPr>
            <w:tcW w:w="1980" w:type="dxa"/>
            <w:vAlign w:val="center"/>
          </w:tcPr>
          <w:p>
            <w:pPr>
              <w:spacing w:line="240" w:lineRule="atLeast"/>
              <w:jc w:val="center"/>
              <w:rPr>
                <w:rFonts w:ascii="宋体" w:hAnsi="宋体"/>
                <w:color w:val="auto"/>
                <w:szCs w:val="21"/>
              </w:rPr>
            </w:pPr>
            <w:r>
              <w:rPr>
                <w:rFonts w:hint="eastAsia" w:ascii="宋体" w:hAnsi="宋体"/>
                <w:color w:val="auto"/>
                <w:szCs w:val="21"/>
              </w:rPr>
              <w:t>项目编号</w:t>
            </w:r>
          </w:p>
        </w:tc>
        <w:tc>
          <w:tcPr>
            <w:tcW w:w="2135" w:type="dxa"/>
            <w:vAlign w:val="center"/>
          </w:tcPr>
          <w:p>
            <w:pPr>
              <w:spacing w:line="240" w:lineRule="atLeast"/>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color w:val="auto"/>
                <w:szCs w:val="21"/>
              </w:rPr>
            </w:pPr>
            <w:r>
              <w:rPr>
                <w:rFonts w:hint="eastAsia" w:ascii="宋体" w:hAnsi="宋体"/>
                <w:color w:val="auto"/>
                <w:szCs w:val="21"/>
              </w:rPr>
              <w:t>中标供应商名称</w:t>
            </w:r>
          </w:p>
        </w:tc>
        <w:tc>
          <w:tcPr>
            <w:tcW w:w="2520" w:type="dxa"/>
            <w:vAlign w:val="center"/>
          </w:tcPr>
          <w:p>
            <w:pPr>
              <w:spacing w:line="240" w:lineRule="atLeast"/>
              <w:jc w:val="center"/>
              <w:rPr>
                <w:rFonts w:ascii="宋体" w:hAnsi="宋体"/>
                <w:color w:val="auto"/>
                <w:szCs w:val="21"/>
              </w:rPr>
            </w:pPr>
          </w:p>
        </w:tc>
        <w:tc>
          <w:tcPr>
            <w:tcW w:w="1980" w:type="dxa"/>
            <w:vAlign w:val="center"/>
          </w:tcPr>
          <w:p>
            <w:pPr>
              <w:spacing w:line="240" w:lineRule="atLeast"/>
              <w:jc w:val="center"/>
              <w:rPr>
                <w:rFonts w:ascii="宋体" w:hAnsi="宋体"/>
                <w:color w:val="auto"/>
                <w:szCs w:val="21"/>
              </w:rPr>
            </w:pPr>
            <w:r>
              <w:rPr>
                <w:rFonts w:hint="eastAsia" w:ascii="宋体" w:hAnsi="宋体"/>
                <w:color w:val="auto"/>
                <w:szCs w:val="21"/>
              </w:rPr>
              <w:t>供应商</w:t>
            </w:r>
          </w:p>
          <w:p>
            <w:pPr>
              <w:spacing w:line="240" w:lineRule="atLeast"/>
              <w:jc w:val="center"/>
              <w:rPr>
                <w:rFonts w:ascii="宋体" w:hAnsi="宋体"/>
                <w:color w:val="auto"/>
                <w:szCs w:val="21"/>
              </w:rPr>
            </w:pPr>
            <w:r>
              <w:rPr>
                <w:rFonts w:hint="eastAsia" w:ascii="宋体" w:hAnsi="宋体"/>
                <w:color w:val="auto"/>
                <w:szCs w:val="21"/>
              </w:rPr>
              <w:t>联系人及电话</w:t>
            </w:r>
          </w:p>
        </w:tc>
        <w:tc>
          <w:tcPr>
            <w:tcW w:w="2135" w:type="dxa"/>
            <w:vAlign w:val="center"/>
          </w:tcPr>
          <w:p>
            <w:pPr>
              <w:spacing w:line="240" w:lineRule="atLeast"/>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color w:val="auto"/>
                <w:szCs w:val="21"/>
              </w:rPr>
            </w:pPr>
            <w:r>
              <w:rPr>
                <w:rFonts w:hint="eastAsia" w:ascii="宋体" w:hAnsi="宋体"/>
                <w:color w:val="auto"/>
                <w:szCs w:val="21"/>
              </w:rPr>
              <w:t>中标金额</w:t>
            </w:r>
          </w:p>
        </w:tc>
        <w:tc>
          <w:tcPr>
            <w:tcW w:w="2520" w:type="dxa"/>
            <w:vAlign w:val="center"/>
          </w:tcPr>
          <w:p>
            <w:pPr>
              <w:spacing w:line="240" w:lineRule="atLeast"/>
              <w:jc w:val="center"/>
              <w:rPr>
                <w:rFonts w:ascii="宋体" w:hAnsi="宋体"/>
                <w:color w:val="auto"/>
                <w:szCs w:val="21"/>
              </w:rPr>
            </w:pPr>
          </w:p>
        </w:tc>
        <w:tc>
          <w:tcPr>
            <w:tcW w:w="1980" w:type="dxa"/>
            <w:vAlign w:val="center"/>
          </w:tcPr>
          <w:p>
            <w:pPr>
              <w:spacing w:line="240" w:lineRule="atLeast"/>
              <w:jc w:val="center"/>
              <w:rPr>
                <w:rFonts w:ascii="宋体" w:hAnsi="宋体"/>
                <w:color w:val="auto"/>
                <w:szCs w:val="21"/>
              </w:rPr>
            </w:pPr>
            <w:r>
              <w:rPr>
                <w:rFonts w:hint="eastAsia" w:ascii="宋体" w:hAnsi="宋体"/>
                <w:color w:val="auto"/>
                <w:szCs w:val="21"/>
              </w:rPr>
              <w:t>合同履约时间</w:t>
            </w:r>
          </w:p>
        </w:tc>
        <w:tc>
          <w:tcPr>
            <w:tcW w:w="2135" w:type="dxa"/>
            <w:vAlign w:val="center"/>
          </w:tcPr>
          <w:p>
            <w:pPr>
              <w:spacing w:line="240" w:lineRule="atLeast"/>
              <w:rPr>
                <w:rFonts w:ascii="宋体" w:hAnsi="宋体"/>
                <w:color w:val="auto"/>
                <w:szCs w:val="21"/>
              </w:rPr>
            </w:pPr>
            <w:r>
              <w:rPr>
                <w:rFonts w:hint="eastAsia" w:ascii="宋体" w:hAnsi="宋体"/>
                <w:color w:val="auto"/>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color w:val="auto"/>
                <w:szCs w:val="21"/>
              </w:rPr>
            </w:pPr>
            <w:r>
              <w:rPr>
                <w:rFonts w:hint="eastAsia" w:ascii="宋体" w:hAnsi="宋体"/>
                <w:b/>
                <w:color w:val="auto"/>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color w:val="auto"/>
                <w:szCs w:val="21"/>
              </w:rPr>
            </w:pPr>
            <w:r>
              <w:rPr>
                <w:rFonts w:hint="eastAsia" w:ascii="宋体" w:hAnsi="宋体"/>
                <w:color w:val="auto"/>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restart"/>
            <w:tcBorders>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质量方面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价格方面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服务方面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时间方面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环境保护</w:t>
            </w:r>
          </w:p>
        </w:tc>
        <w:tc>
          <w:tcPr>
            <w:tcW w:w="6635" w:type="dxa"/>
            <w:gridSpan w:val="3"/>
            <w:tcBorders>
              <w:lef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其他</w:t>
            </w:r>
          </w:p>
        </w:tc>
        <w:tc>
          <w:tcPr>
            <w:tcW w:w="6635" w:type="dxa"/>
            <w:gridSpan w:val="3"/>
            <w:tcBorders>
              <w:left w:val="single" w:color="auto" w:sz="4" w:space="0"/>
            </w:tcBorders>
            <w:vAlign w:val="center"/>
          </w:tcPr>
          <w:p>
            <w:pPr>
              <w:spacing w:before="156" w:beforeLines="50" w:after="156" w:afterLines="50" w:line="240" w:lineRule="atLeast"/>
              <w:rPr>
                <w:rFonts w:ascii="宋体" w:hAnsi="宋体"/>
                <w:color w:val="auto"/>
                <w:szCs w:val="21"/>
                <w:u w:val="single"/>
              </w:rPr>
            </w:pPr>
            <w:r>
              <w:rPr>
                <w:rFonts w:hint="eastAsia" w:ascii="宋体" w:hAnsi="宋体"/>
                <w:color w:val="auto"/>
                <w:szCs w:val="21"/>
              </w:rPr>
              <w:t>评价内容为：</w:t>
            </w:r>
          </w:p>
          <w:p>
            <w:pPr>
              <w:spacing w:before="156" w:beforeLines="50" w:after="156" w:afterLines="50" w:line="240" w:lineRule="atLeast"/>
              <w:rPr>
                <w:rFonts w:ascii="宋体" w:hAnsi="宋体"/>
                <w:color w:val="auto"/>
                <w:szCs w:val="21"/>
              </w:rPr>
            </w:pPr>
            <w:r>
              <w:rPr>
                <w:rFonts w:hint="eastAsia" w:ascii="宋体" w:hAnsi="宋体"/>
                <w:color w:val="auto"/>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562" w:type="dxa"/>
            <w:gridSpan w:val="2"/>
            <w:vAlign w:val="center"/>
          </w:tcPr>
          <w:p>
            <w:pPr>
              <w:spacing w:line="240" w:lineRule="atLeast"/>
              <w:jc w:val="center"/>
              <w:rPr>
                <w:rFonts w:ascii="宋体" w:hAnsi="宋体"/>
                <w:color w:val="auto"/>
                <w:szCs w:val="21"/>
              </w:rPr>
            </w:pPr>
            <w:r>
              <w:rPr>
                <w:rFonts w:hint="eastAsia" w:ascii="宋体" w:hAnsi="宋体"/>
                <w:color w:val="auto"/>
                <w:szCs w:val="21"/>
              </w:rPr>
              <w:t>具体情况说明</w:t>
            </w:r>
          </w:p>
        </w:tc>
        <w:tc>
          <w:tcPr>
            <w:tcW w:w="7355" w:type="dxa"/>
            <w:gridSpan w:val="4"/>
          </w:tcPr>
          <w:p>
            <w:pPr>
              <w:spacing w:line="240" w:lineRule="atLeast"/>
              <w:rPr>
                <w:rFonts w:ascii="宋体" w:hAnsi="宋体"/>
                <w:color w:val="auto"/>
                <w:szCs w:val="21"/>
              </w:rPr>
            </w:pPr>
          </w:p>
          <w:p>
            <w:pPr>
              <w:spacing w:line="240" w:lineRule="atLeast"/>
              <w:rPr>
                <w:rFonts w:ascii="宋体" w:hAnsi="宋体"/>
                <w:color w:val="auto"/>
                <w:szCs w:val="21"/>
              </w:rPr>
            </w:pPr>
          </w:p>
          <w:p>
            <w:pPr>
              <w:spacing w:line="240" w:lineRule="atLeast"/>
              <w:rPr>
                <w:rFonts w:ascii="宋体" w:hAnsi="宋体"/>
                <w:color w:val="auto"/>
                <w:szCs w:val="21"/>
              </w:rPr>
            </w:pPr>
          </w:p>
          <w:p>
            <w:pPr>
              <w:spacing w:line="240" w:lineRule="atLeast"/>
              <w:rPr>
                <w:rFonts w:ascii="宋体" w:hAnsi="宋体"/>
                <w:color w:val="auto"/>
                <w:szCs w:val="21"/>
              </w:rPr>
            </w:pPr>
          </w:p>
          <w:p>
            <w:pPr>
              <w:spacing w:line="240" w:lineRule="atLeast"/>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1562" w:type="dxa"/>
            <w:gridSpan w:val="2"/>
            <w:vAlign w:val="center"/>
          </w:tcPr>
          <w:p>
            <w:pPr>
              <w:spacing w:line="240" w:lineRule="atLeast"/>
              <w:jc w:val="center"/>
              <w:rPr>
                <w:rFonts w:ascii="宋体" w:hAnsi="宋体"/>
                <w:color w:val="auto"/>
                <w:szCs w:val="21"/>
              </w:rPr>
            </w:pPr>
            <w:r>
              <w:rPr>
                <w:rFonts w:hint="eastAsia" w:ascii="宋体" w:hAnsi="宋体"/>
                <w:color w:val="auto"/>
                <w:szCs w:val="21"/>
              </w:rPr>
              <w:t>采购单位意见</w:t>
            </w:r>
          </w:p>
          <w:p>
            <w:pPr>
              <w:spacing w:line="240" w:lineRule="atLeast"/>
              <w:jc w:val="center"/>
              <w:rPr>
                <w:rFonts w:ascii="宋体" w:hAnsi="宋体"/>
                <w:color w:val="auto"/>
                <w:szCs w:val="21"/>
              </w:rPr>
            </w:pPr>
            <w:r>
              <w:rPr>
                <w:rFonts w:hint="eastAsia" w:ascii="宋体" w:hAnsi="宋体"/>
                <w:color w:val="auto"/>
                <w:szCs w:val="21"/>
              </w:rPr>
              <w:t>（公章）</w:t>
            </w:r>
          </w:p>
        </w:tc>
        <w:tc>
          <w:tcPr>
            <w:tcW w:w="7355" w:type="dxa"/>
            <w:gridSpan w:val="4"/>
            <w:vAlign w:val="center"/>
          </w:tcPr>
          <w:p>
            <w:pPr>
              <w:spacing w:line="240" w:lineRule="atLeast"/>
              <w:rPr>
                <w:rFonts w:ascii="宋体" w:hAnsi="宋体"/>
                <w:color w:val="auto"/>
                <w:szCs w:val="21"/>
              </w:rPr>
            </w:pPr>
          </w:p>
          <w:p>
            <w:pPr>
              <w:spacing w:line="240" w:lineRule="atLeast"/>
              <w:ind w:firstLine="3780" w:firstLineChars="1800"/>
              <w:rPr>
                <w:rFonts w:ascii="宋体" w:hAnsi="宋体"/>
                <w:color w:val="auto"/>
                <w:szCs w:val="21"/>
              </w:rPr>
            </w:pPr>
          </w:p>
          <w:p>
            <w:pPr>
              <w:spacing w:line="240" w:lineRule="atLeast"/>
              <w:ind w:firstLine="3780" w:firstLineChars="1800"/>
              <w:rPr>
                <w:rFonts w:ascii="宋体" w:hAnsi="宋体"/>
                <w:color w:val="auto"/>
                <w:szCs w:val="21"/>
              </w:rPr>
            </w:pPr>
            <w:r>
              <w:rPr>
                <w:rFonts w:hint="eastAsia" w:ascii="宋体" w:hAnsi="宋体"/>
                <w:color w:val="auto"/>
                <w:szCs w:val="21"/>
              </w:rPr>
              <w:t>日期：   年   月   日</w:t>
            </w:r>
          </w:p>
        </w:tc>
      </w:tr>
    </w:tbl>
    <w:p>
      <w:pPr>
        <w:spacing w:line="240" w:lineRule="atLeast"/>
        <w:rPr>
          <w:rFonts w:ascii="宋体" w:hAnsi="宋体"/>
          <w:color w:val="auto"/>
          <w:szCs w:val="21"/>
        </w:rPr>
      </w:pPr>
      <w:r>
        <w:rPr>
          <w:rFonts w:hint="eastAsia" w:ascii="宋体" w:hAnsi="宋体"/>
          <w:color w:val="auto"/>
          <w:szCs w:val="21"/>
        </w:rPr>
        <w:t>说明：</w:t>
      </w:r>
    </w:p>
    <w:p>
      <w:pPr>
        <w:spacing w:line="240" w:lineRule="atLeast"/>
        <w:rPr>
          <w:rFonts w:ascii="宋体" w:hAnsi="宋体"/>
          <w:color w:val="auto"/>
          <w:szCs w:val="21"/>
        </w:rPr>
      </w:pPr>
      <w:r>
        <w:rPr>
          <w:rFonts w:hint="eastAsia" w:ascii="宋体" w:hAnsi="宋体"/>
          <w:color w:val="auto"/>
          <w:szCs w:val="21"/>
        </w:rPr>
        <w:t>1、本表为采购单位向深圳市光明区教育局反映政府采购项目履约情况时所用；</w:t>
      </w:r>
    </w:p>
    <w:p>
      <w:pPr>
        <w:spacing w:line="240" w:lineRule="atLeast"/>
        <w:rPr>
          <w:rFonts w:ascii="宋体" w:hAnsi="宋体"/>
          <w:color w:val="auto"/>
          <w:szCs w:val="21"/>
        </w:rPr>
      </w:pPr>
      <w:r>
        <w:rPr>
          <w:rFonts w:hint="eastAsia" w:ascii="宋体" w:hAnsi="宋体"/>
          <w:color w:val="auto"/>
          <w:szCs w:val="21"/>
        </w:rPr>
        <w:t>2、履约情况评价分为优、良、中、差四个等级，请在对应的框前打“√”，然后在“具体情况说明”一栏详细说明有关情况；</w:t>
      </w:r>
    </w:p>
    <w:p>
      <w:pPr>
        <w:spacing w:line="240" w:lineRule="atLeast"/>
        <w:rPr>
          <w:rFonts w:ascii="宋体" w:hAnsi="宋体"/>
          <w:color w:val="auto"/>
          <w:szCs w:val="21"/>
        </w:rPr>
      </w:pPr>
      <w:r>
        <w:rPr>
          <w:rFonts w:hint="eastAsia" w:ascii="宋体" w:hAnsi="宋体"/>
          <w:color w:val="auto"/>
          <w:szCs w:val="21"/>
        </w:rPr>
        <w:t>3、在政府采购项目合同履约过程或履约结束后30日内，采购单位应当及时填写本表以书面形式对采购实施流程中标供应商（含预选供应商）所提供的产品、服务或工程的质量、价格和履行情况等进行反馈，作为该供应商诚信管理的重要参考，未按要求书面反馈中标供应商的履约情况的，视为对供应商的履约情况无意见。</w:t>
      </w:r>
    </w:p>
    <w:p>
      <w:pPr>
        <w:pStyle w:val="2"/>
        <w:rPr>
          <w:rFonts w:ascii="宋体" w:hAnsi="宋体"/>
          <w:color w:val="auto"/>
          <w:szCs w:val="21"/>
          <w:lang w:eastAsia="zh-CN"/>
        </w:rPr>
      </w:pPr>
    </w:p>
    <w:p>
      <w:pPr>
        <w:rPr>
          <w:rFonts w:ascii="宋体" w:hAnsi="宋体"/>
          <w:color w:val="auto"/>
          <w:szCs w:val="21"/>
        </w:rPr>
      </w:pPr>
    </w:p>
    <w:p>
      <w:pPr>
        <w:pStyle w:val="2"/>
        <w:rPr>
          <w:rFonts w:ascii="宋体" w:hAnsi="宋体"/>
          <w:color w:val="auto"/>
          <w:szCs w:val="21"/>
          <w:lang w:eastAsia="zh-CN"/>
        </w:rPr>
      </w:pPr>
    </w:p>
    <w:p>
      <w:pPr>
        <w:rPr>
          <w:rFonts w:ascii="宋体" w:hAnsi="宋体"/>
          <w:color w:val="auto"/>
          <w:szCs w:val="21"/>
        </w:rPr>
      </w:pPr>
    </w:p>
    <w:p>
      <w:pPr>
        <w:pStyle w:val="3"/>
        <w:rPr>
          <w:color w:val="auto"/>
        </w:rPr>
      </w:pPr>
      <w:r>
        <w:rPr>
          <w:rFonts w:hint="eastAsia"/>
          <w:color w:val="auto"/>
        </w:rPr>
        <w:t>第二册  通用条款（公开招标）</w:t>
      </w:r>
    </w:p>
    <w:p>
      <w:pPr>
        <w:pStyle w:val="6"/>
        <w:keepNext/>
        <w:keepLines/>
        <w:tabs>
          <w:tab w:val="left" w:pos="720"/>
        </w:tabs>
        <w:spacing w:before="156" w:beforeLines="50" w:after="156" w:afterLines="50"/>
        <w:ind w:left="720" w:firstLine="2891" w:firstLineChars="1200"/>
        <w:jc w:val="both"/>
        <w:rPr>
          <w:rFonts w:ascii="宋体" w:hAnsi="宋体"/>
          <w:b/>
          <w:color w:val="auto"/>
          <w:szCs w:val="24"/>
        </w:rPr>
      </w:pPr>
      <w:r>
        <w:rPr>
          <w:rFonts w:hint="eastAsia" w:ascii="宋体" w:hAnsi="宋体"/>
          <w:b/>
          <w:color w:val="auto"/>
          <w:szCs w:val="24"/>
        </w:rPr>
        <w:t>第一章  总则</w:t>
      </w:r>
    </w:p>
    <w:p>
      <w:pPr>
        <w:rPr>
          <w:rFonts w:ascii="宋体" w:hAnsi="宋体"/>
          <w:b/>
          <w:bCs/>
          <w:color w:val="auto"/>
          <w:szCs w:val="21"/>
        </w:rPr>
      </w:pPr>
      <w:r>
        <w:rPr>
          <w:rFonts w:hint="eastAsia" w:ascii="宋体" w:hAnsi="宋体"/>
          <w:b/>
          <w:bCs/>
          <w:color w:val="auto"/>
          <w:szCs w:val="21"/>
        </w:rPr>
        <w:t>1.通用条款说明</w:t>
      </w:r>
    </w:p>
    <w:p>
      <w:pPr>
        <w:rPr>
          <w:rFonts w:ascii="宋体" w:hAnsi="宋体"/>
          <w:bCs/>
          <w:color w:val="auto"/>
          <w:szCs w:val="21"/>
        </w:rPr>
      </w:pPr>
      <w:r>
        <w:rPr>
          <w:rFonts w:hint="eastAsia" w:ascii="宋体" w:hAnsi="宋体"/>
          <w:bCs/>
          <w:color w:val="auto"/>
          <w:szCs w:val="21"/>
        </w:rPr>
        <w:t>政府集中采购机构发出招标文件通用条款版本，列出光明区政府采购项目进行招标采购所适用的通用条款内容。如有需要，政府集中采购机构可以随这些条款增加附录或补充内容。</w:t>
      </w:r>
    </w:p>
    <w:p>
      <w:pPr>
        <w:rPr>
          <w:rFonts w:ascii="宋体" w:hAnsi="宋体"/>
          <w:b/>
          <w:bCs/>
          <w:color w:val="auto"/>
          <w:szCs w:val="21"/>
        </w:rPr>
      </w:pPr>
      <w:r>
        <w:rPr>
          <w:rFonts w:hint="eastAsia" w:ascii="宋体" w:hAnsi="宋体"/>
          <w:b/>
          <w:bCs/>
          <w:color w:val="auto"/>
          <w:szCs w:val="21"/>
        </w:rPr>
        <w:t>2．招标说明</w:t>
      </w:r>
    </w:p>
    <w:p>
      <w:pPr>
        <w:rPr>
          <w:rFonts w:ascii="宋体" w:hAnsi="宋体"/>
          <w:bCs/>
          <w:color w:val="auto"/>
          <w:szCs w:val="21"/>
        </w:rPr>
      </w:pPr>
      <w:r>
        <w:rPr>
          <w:rFonts w:hint="eastAsia" w:ascii="宋体" w:hAnsi="宋体"/>
          <w:bCs/>
          <w:color w:val="auto"/>
          <w:szCs w:val="21"/>
        </w:rPr>
        <w:t>本项目按照《深圳经济特区政府采购条例》和《深圳网上政府采购管理暂行办法》的规定，并参考有关法规、政策、规章、规定通过招标择优选定供应商。</w:t>
      </w:r>
    </w:p>
    <w:p>
      <w:pPr>
        <w:rPr>
          <w:rFonts w:ascii="宋体" w:hAnsi="宋体"/>
          <w:b/>
          <w:bCs/>
          <w:color w:val="auto"/>
          <w:szCs w:val="21"/>
        </w:rPr>
      </w:pPr>
      <w:r>
        <w:rPr>
          <w:rFonts w:hint="eastAsia" w:ascii="宋体" w:hAnsi="宋体"/>
          <w:b/>
          <w:bCs/>
          <w:color w:val="auto"/>
          <w:szCs w:val="21"/>
        </w:rPr>
        <w:t>3.采购单位、政府集中采购机构、投标人</w:t>
      </w:r>
    </w:p>
    <w:p>
      <w:pPr>
        <w:rPr>
          <w:rFonts w:ascii="宋体" w:hAnsi="宋体"/>
          <w:color w:val="auto"/>
          <w:szCs w:val="21"/>
        </w:rPr>
      </w:pPr>
      <w:r>
        <w:rPr>
          <w:rFonts w:hint="eastAsia" w:ascii="宋体" w:hAnsi="宋体"/>
          <w:color w:val="auto"/>
          <w:szCs w:val="21"/>
        </w:rPr>
        <w:t>3.1“政府集中采购机构”系指政府设立的负责本级财政性资金的集中采购和招标组织工作的专门机构；本项目系指深圳市光明区公共资源交易中心；</w:t>
      </w:r>
    </w:p>
    <w:p>
      <w:pPr>
        <w:rPr>
          <w:rFonts w:ascii="宋体" w:hAnsi="宋体"/>
          <w:color w:val="auto"/>
          <w:szCs w:val="21"/>
        </w:rPr>
      </w:pPr>
      <w:r>
        <w:rPr>
          <w:rFonts w:hint="eastAsia" w:ascii="宋体" w:hAnsi="宋体"/>
          <w:color w:val="auto"/>
          <w:szCs w:val="21"/>
        </w:rPr>
        <w:t>3.2“采购人”或“采购单位”：系指利用财政性资金依法进行政府采购的国家机关、事业单位、团体组织；</w:t>
      </w:r>
    </w:p>
    <w:p>
      <w:pPr>
        <w:rPr>
          <w:rFonts w:ascii="宋体" w:hAnsi="宋体"/>
          <w:color w:val="auto"/>
          <w:szCs w:val="21"/>
        </w:rPr>
      </w:pPr>
      <w:r>
        <w:rPr>
          <w:rFonts w:hint="eastAsia" w:ascii="宋体" w:hAnsi="宋体"/>
          <w:color w:val="auto"/>
          <w:szCs w:val="21"/>
        </w:rPr>
        <w:t>3.3“投标人”或“投标方”，即供应商，是指参加投标竞争并愿意按照招标文件要求向采购人提供货物、工程或者服务的依法成立的法人、其他组织或者自然人；</w:t>
      </w:r>
    </w:p>
    <w:p>
      <w:pPr>
        <w:rPr>
          <w:rFonts w:ascii="宋体" w:hAnsi="宋体"/>
          <w:color w:val="auto"/>
          <w:szCs w:val="21"/>
        </w:rPr>
      </w:pPr>
      <w:r>
        <w:rPr>
          <w:rFonts w:hint="eastAsia" w:ascii="宋体" w:hAnsi="宋体"/>
          <w:color w:val="auto"/>
          <w:szCs w:val="21"/>
        </w:rPr>
        <w:t>3.4“评审委员会”和“谈判小组”是依据《深圳经济特区政府采购条例》有关规定组建的专门负责本次评标（谈判）工作的临时性机构；</w:t>
      </w:r>
    </w:p>
    <w:p>
      <w:pPr>
        <w:rPr>
          <w:rFonts w:ascii="宋体" w:hAnsi="宋体"/>
          <w:color w:val="auto"/>
          <w:szCs w:val="21"/>
        </w:rPr>
      </w:pPr>
      <w:r>
        <w:rPr>
          <w:rFonts w:hint="eastAsia" w:ascii="宋体" w:hAnsi="宋体"/>
          <w:color w:val="auto"/>
          <w:szCs w:val="21"/>
        </w:rPr>
        <w:t>3.5“日期”指公历日；</w:t>
      </w:r>
    </w:p>
    <w:p>
      <w:pPr>
        <w:rPr>
          <w:rFonts w:ascii="宋体" w:hAnsi="宋体"/>
          <w:color w:val="auto"/>
          <w:szCs w:val="21"/>
        </w:rPr>
      </w:pPr>
      <w:r>
        <w:rPr>
          <w:rFonts w:hint="eastAsia" w:ascii="宋体" w:hAnsi="宋体"/>
          <w:color w:val="auto"/>
          <w:szCs w:val="21"/>
        </w:rPr>
        <w:t>3.6“合同”指由本次招标所产生的合同或合约文件；</w:t>
      </w:r>
    </w:p>
    <w:p>
      <w:pPr>
        <w:rPr>
          <w:rFonts w:ascii="宋体" w:hAnsi="宋体"/>
          <w:color w:val="auto"/>
          <w:szCs w:val="21"/>
        </w:rPr>
      </w:pPr>
      <w:r>
        <w:rPr>
          <w:rFonts w:hint="eastAsia" w:ascii="宋体" w:hAnsi="宋体"/>
          <w:color w:val="auto"/>
          <w:szCs w:val="21"/>
        </w:rPr>
        <w:t>3.7“电子投标文件”指利用深圳市政府采购网提供的投标书加密软件加密的投标文件,适用于网上投标；（此投标书加密软件可从www.cgzx.sz.gov.cn网站“相关软件”栏目中下载）；</w:t>
      </w:r>
    </w:p>
    <w:p>
      <w:pPr>
        <w:rPr>
          <w:rFonts w:ascii="宋体" w:hAnsi="宋体"/>
          <w:color w:val="auto"/>
          <w:szCs w:val="21"/>
        </w:rPr>
      </w:pPr>
      <w:r>
        <w:rPr>
          <w:rFonts w:hint="eastAsia" w:ascii="宋体" w:hAnsi="宋体"/>
          <w:color w:val="auto"/>
          <w:szCs w:val="21"/>
        </w:rPr>
        <w:t>3.8“网上投标”指通过深圳市政府采购网上传电子投标文件；</w:t>
      </w:r>
    </w:p>
    <w:p>
      <w:pPr>
        <w:rPr>
          <w:rFonts w:ascii="宋体" w:hAnsi="宋体"/>
          <w:color w:val="auto"/>
          <w:szCs w:val="21"/>
        </w:rPr>
      </w:pPr>
      <w:r>
        <w:rPr>
          <w:rFonts w:hint="eastAsia" w:ascii="宋体" w:hAnsi="宋体"/>
          <w:color w:val="auto"/>
          <w:szCs w:val="21"/>
        </w:rPr>
        <w:t>3.9招标文件中的标题或题名仅起引导作用，而不应视为对招标文件内容的理解和解释。</w:t>
      </w:r>
    </w:p>
    <w:p>
      <w:pPr>
        <w:autoSpaceDE w:val="0"/>
        <w:autoSpaceDN w:val="0"/>
        <w:adjustRightInd w:val="0"/>
        <w:jc w:val="left"/>
        <w:rPr>
          <w:rFonts w:ascii="宋体" w:hAnsi="宋体" w:cs="黑体"/>
          <w:b/>
          <w:color w:val="auto"/>
          <w:kern w:val="0"/>
          <w:szCs w:val="21"/>
        </w:rPr>
      </w:pPr>
      <w:r>
        <w:rPr>
          <w:rFonts w:ascii="宋体" w:hAnsi="宋体" w:cs="黑体"/>
          <w:b/>
          <w:color w:val="auto"/>
          <w:kern w:val="0"/>
          <w:szCs w:val="21"/>
        </w:rPr>
        <w:t xml:space="preserve">4. </w:t>
      </w:r>
      <w:r>
        <w:rPr>
          <w:rFonts w:hint="eastAsia" w:ascii="宋体" w:hAnsi="宋体" w:cs="黑体"/>
          <w:b/>
          <w:color w:val="auto"/>
          <w:kern w:val="0"/>
          <w:szCs w:val="21"/>
        </w:rPr>
        <w:t>政府采购供应商责任</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4.1</w:t>
      </w:r>
      <w:r>
        <w:rPr>
          <w:rFonts w:hint="eastAsia" w:ascii="宋体" w:hAnsi="宋体" w:cs="宋体"/>
          <w:color w:val="auto"/>
          <w:kern w:val="0"/>
          <w:szCs w:val="21"/>
        </w:rPr>
        <w:t>欢迎诚信、有实力和有社会责任心的供应商参与政府采购事业。</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4.2</w:t>
      </w:r>
      <w:r>
        <w:rPr>
          <w:rFonts w:hint="eastAsia" w:ascii="宋体" w:hAnsi="宋体" w:cs="宋体"/>
          <w:color w:val="auto"/>
          <w:kern w:val="0"/>
          <w:szCs w:val="21"/>
        </w:rPr>
        <w:t>供应商在政府采购项目投标过程中应诚实守信，不弄虚作假，不隐瞒真实情况，不围标串标，不恶意质疑投诉。如违反上述要求，经核实后，供应商的投标将按无效处理，将该供应商列入不良记录名单并在网上曝光，同时提请政府采购监督管理部门给予一定年限内禁止参加政府采购活动的处罚或其他处罚。</w:t>
      </w:r>
    </w:p>
    <w:p>
      <w:pPr>
        <w:rPr>
          <w:rFonts w:ascii="宋体" w:hAnsi="宋体"/>
          <w:b/>
          <w:bCs/>
          <w:color w:val="auto"/>
          <w:szCs w:val="21"/>
        </w:rPr>
      </w:pPr>
      <w:r>
        <w:rPr>
          <w:rFonts w:hint="eastAsia" w:ascii="宋体" w:hAnsi="宋体"/>
          <w:b/>
          <w:bCs/>
          <w:color w:val="auto"/>
          <w:szCs w:val="21"/>
        </w:rPr>
        <w:t>5.合格的投标人</w:t>
      </w:r>
    </w:p>
    <w:p>
      <w:pPr>
        <w:rPr>
          <w:rFonts w:ascii="宋体" w:hAnsi="宋体"/>
          <w:color w:val="auto"/>
          <w:szCs w:val="21"/>
        </w:rPr>
      </w:pPr>
      <w:r>
        <w:rPr>
          <w:rFonts w:hint="eastAsia" w:ascii="宋体" w:hAnsi="宋体"/>
          <w:color w:val="auto"/>
          <w:szCs w:val="21"/>
        </w:rPr>
        <w:t>5.1  在中华人民共和国境内（不含享有独立关税地位的地区）注册，并有能力按本次招标文件的要求提供本项目相关货物、工程和服务。</w:t>
      </w:r>
    </w:p>
    <w:p>
      <w:pPr>
        <w:rPr>
          <w:rFonts w:ascii="宋体" w:hAnsi="宋体"/>
          <w:color w:val="auto"/>
          <w:szCs w:val="21"/>
        </w:rPr>
      </w:pPr>
      <w:r>
        <w:rPr>
          <w:rFonts w:hint="eastAsia" w:ascii="宋体" w:hAnsi="宋体"/>
          <w:color w:val="auto"/>
          <w:szCs w:val="21"/>
        </w:rPr>
        <w:t>5.2  遵守并符合《中华人民共和国政府采购法》、《深圳经济特区政府采购条例》的有关规定。</w:t>
      </w:r>
    </w:p>
    <w:p>
      <w:pPr>
        <w:rPr>
          <w:rFonts w:ascii="宋体" w:hAnsi="宋体"/>
          <w:color w:val="auto"/>
          <w:szCs w:val="21"/>
        </w:rPr>
      </w:pPr>
      <w:r>
        <w:rPr>
          <w:rFonts w:hint="eastAsia" w:ascii="宋体" w:hAnsi="宋体"/>
          <w:color w:val="auto"/>
          <w:szCs w:val="21"/>
        </w:rPr>
        <w:t>5.3  在法律上和财务上独立、合法运作并独立于采购人和招标机构的投标人。</w:t>
      </w:r>
    </w:p>
    <w:p>
      <w:pPr>
        <w:rPr>
          <w:rFonts w:ascii="宋体" w:hAnsi="宋体"/>
          <w:color w:val="auto"/>
          <w:szCs w:val="21"/>
        </w:rPr>
      </w:pPr>
      <w:r>
        <w:rPr>
          <w:rFonts w:hint="eastAsia" w:ascii="宋体" w:hAnsi="宋体"/>
          <w:color w:val="auto"/>
          <w:szCs w:val="21"/>
        </w:rPr>
        <w:t>5.4  在深圳市政府采购中心注册的政府采购供应商。</w:t>
      </w:r>
    </w:p>
    <w:p>
      <w:pPr>
        <w:rPr>
          <w:rFonts w:ascii="宋体" w:hAnsi="宋体"/>
          <w:color w:val="auto"/>
          <w:szCs w:val="21"/>
        </w:rPr>
      </w:pPr>
      <w:r>
        <w:rPr>
          <w:rFonts w:hint="eastAsia" w:ascii="宋体" w:hAnsi="宋体"/>
          <w:color w:val="auto"/>
          <w:szCs w:val="21"/>
        </w:rPr>
        <w:t>5.5  采购项目不接受联合投标（招标文件中有特殊要求除外）。</w:t>
      </w:r>
    </w:p>
    <w:p>
      <w:pPr>
        <w:rPr>
          <w:rFonts w:ascii="宋体" w:hAnsi="宋体"/>
          <w:color w:val="auto"/>
          <w:szCs w:val="21"/>
        </w:rPr>
      </w:pPr>
      <w:r>
        <w:rPr>
          <w:rFonts w:hint="eastAsia" w:ascii="宋体" w:hAnsi="宋体"/>
          <w:color w:val="auto"/>
          <w:szCs w:val="21"/>
        </w:rPr>
        <w:t>5.6  参加本项目的投标人应具备的资格条件详见本项目招标公告中“投标人资格要求”的内容。</w:t>
      </w:r>
    </w:p>
    <w:p>
      <w:pPr>
        <w:autoSpaceDE w:val="0"/>
        <w:autoSpaceDN w:val="0"/>
        <w:adjustRightInd w:val="0"/>
        <w:jc w:val="left"/>
        <w:rPr>
          <w:rFonts w:ascii="宋体" w:hAnsi="宋体" w:cs="黑体"/>
          <w:b/>
          <w:color w:val="auto"/>
          <w:kern w:val="0"/>
          <w:szCs w:val="21"/>
        </w:rPr>
      </w:pPr>
      <w:r>
        <w:rPr>
          <w:rFonts w:ascii="宋体" w:hAnsi="宋体" w:cs="黑体"/>
          <w:b/>
          <w:color w:val="auto"/>
          <w:kern w:val="0"/>
          <w:szCs w:val="21"/>
        </w:rPr>
        <w:t>6</w:t>
      </w:r>
      <w:r>
        <w:rPr>
          <w:rFonts w:hint="eastAsia" w:ascii="宋体" w:hAnsi="宋体" w:cs="黑体"/>
          <w:b/>
          <w:color w:val="auto"/>
          <w:kern w:val="0"/>
          <w:szCs w:val="21"/>
        </w:rPr>
        <w:t>．联合体投标</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 xml:space="preserve">6.1 </w:t>
      </w:r>
      <w:r>
        <w:rPr>
          <w:rFonts w:hint="eastAsia" w:ascii="宋体" w:hAnsi="宋体" w:cs="宋体"/>
          <w:color w:val="auto"/>
          <w:kern w:val="0"/>
          <w:szCs w:val="21"/>
        </w:rPr>
        <w:t>以下有关联合体投标的条款仅适用于允许投标人组成联合体投标的项目。</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 xml:space="preserve">6.2 </w:t>
      </w:r>
      <w:r>
        <w:rPr>
          <w:rFonts w:hint="eastAsia" w:ascii="宋体" w:hAnsi="宋体" w:cs="宋体"/>
          <w:color w:val="auto"/>
          <w:kern w:val="0"/>
          <w:szCs w:val="21"/>
        </w:rPr>
        <w:t>由两个或两个以上的自然人、法人或者其他组织可以组成一个联合体，以一个供应商的身份共同投标时，应符合以下原则：</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）投标联合体各方参加政府采购活动应当具备下列条件：</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、具有独立承担民事责任的能力；</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、有良好的商业信誉和健全的财务会计制度；</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、具有履行合同所必需的设备和专业技术能力；</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、有依法缴纳税收和社会保障资金的良好记录；</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、参加政府采购活动前三年内，在经营活动中没有重大违法记录；</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、法律、行政法规规定的其他条件。</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）投标联合体各方必须有一方先行注册成深圳市政府采购中心供应商；</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）联合体中有同类资质的供应商按照联合体分工承担相同工作的，应当按照资质等级较低的供应商确定资质等级。</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4</w:t>
      </w:r>
      <w:r>
        <w:rPr>
          <w:rFonts w:hint="eastAsia" w:ascii="宋体" w:hAnsi="宋体" w:cs="宋体"/>
          <w:color w:val="auto"/>
          <w:kern w:val="0"/>
          <w:szCs w:val="21"/>
        </w:rPr>
        <w:t>）是否允许联合体参加投标，应当由采购人根据项目的实际情况和潜在供应商的数量自主决定，如果决定接受联合体投标则应当在采购公告中明示。</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5</w:t>
      </w:r>
      <w:r>
        <w:rPr>
          <w:rFonts w:hint="eastAsia" w:ascii="宋体" w:hAnsi="宋体" w:cs="宋体"/>
          <w:color w:val="auto"/>
          <w:kern w:val="0"/>
          <w:szCs w:val="21"/>
        </w:rPr>
        <w:t>）采购人根据采购项目的特殊要求规定投标人特定条件的，对于招标公告对投标人某一资格有要求的，按照联合体各方中最低资质等级确定联合体的资质等级；</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）投标人的投标文件及中标后签署的合同协议对联合体各方均具法律约束力；</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）联合体各方应当签订共同投标协议，明确约定各方拟承担的工作和责任，并将该共同投标协议随投标文件一并递交给政府集中采购机构；</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）联合体中标后，联合体各方应当共同与采购单位签订合同，就中标项目向采购单位承担连带责任；</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）联合体的各方应当共同推荐一联合体投标授权代表方，由联合体各方提交一份授权书，证明其有资格代表联合体各方签署投标文件，该授权书作为投标文件的组成部分一并提交给政府集中采购机构；</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）以联合体形式参加政府采购活动的，联合体各方不得再单独参加或者与其他供应商另外组成联合体参加同一合同项下的政府采购活动，出现上述情况者，其投标和与此有关联合体、总包单位的投标将被拒绝；</w:t>
      </w:r>
    </w:p>
    <w:p>
      <w:pPr>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11</w:t>
      </w:r>
      <w:r>
        <w:rPr>
          <w:rFonts w:hint="eastAsia" w:ascii="宋体" w:hAnsi="宋体" w:cs="宋体"/>
          <w:color w:val="auto"/>
          <w:kern w:val="0"/>
          <w:szCs w:val="21"/>
        </w:rPr>
        <w:t>）除非另有规定或说明，本通用条款中</w:t>
      </w:r>
      <w:r>
        <w:rPr>
          <w:rFonts w:ascii="宋体" w:hAnsi="宋体" w:cs="宋体"/>
          <w:color w:val="auto"/>
          <w:kern w:val="0"/>
          <w:szCs w:val="21"/>
        </w:rPr>
        <w:t>“</w:t>
      </w:r>
      <w:r>
        <w:rPr>
          <w:rFonts w:hint="eastAsia" w:ascii="宋体" w:hAnsi="宋体" w:cs="宋体"/>
          <w:color w:val="auto"/>
          <w:kern w:val="0"/>
          <w:szCs w:val="21"/>
        </w:rPr>
        <w:t>投标人</w:t>
      </w:r>
      <w:r>
        <w:rPr>
          <w:rFonts w:ascii="宋体" w:hAnsi="宋体" w:cs="宋体"/>
          <w:color w:val="auto"/>
          <w:kern w:val="0"/>
          <w:szCs w:val="21"/>
        </w:rPr>
        <w:t>”</w:t>
      </w:r>
      <w:r>
        <w:rPr>
          <w:rFonts w:hint="eastAsia" w:ascii="宋体" w:hAnsi="宋体" w:cs="宋体"/>
          <w:color w:val="auto"/>
          <w:kern w:val="0"/>
          <w:szCs w:val="21"/>
        </w:rPr>
        <w:t>一词亦指联合体各方。</w:t>
      </w:r>
    </w:p>
    <w:p>
      <w:pPr>
        <w:rPr>
          <w:rFonts w:ascii="宋体" w:hAnsi="宋体"/>
          <w:b/>
          <w:color w:val="auto"/>
          <w:szCs w:val="21"/>
        </w:rPr>
      </w:pPr>
      <w:r>
        <w:rPr>
          <w:rFonts w:hint="eastAsia" w:ascii="宋体" w:hAnsi="宋体"/>
          <w:b/>
          <w:color w:val="auto"/>
          <w:szCs w:val="21"/>
        </w:rPr>
        <w:t>7.本项目若涉及采购货物，则合格的货物及相应服务应满足以下要求：</w:t>
      </w:r>
    </w:p>
    <w:p>
      <w:pPr>
        <w:rPr>
          <w:rFonts w:ascii="宋体" w:hAnsi="宋体"/>
          <w:color w:val="auto"/>
          <w:szCs w:val="21"/>
        </w:rPr>
      </w:pPr>
      <w:r>
        <w:rPr>
          <w:rFonts w:hint="eastAsia" w:ascii="宋体" w:hAnsi="宋体"/>
          <w:color w:val="auto"/>
          <w:szCs w:val="21"/>
        </w:rPr>
        <w:t>7.1 必须是全新、未使用过的原装合格正品（包括零部件），如安装或配置了软件的，须为正版软件。</w:t>
      </w:r>
    </w:p>
    <w:p>
      <w:pPr>
        <w:rPr>
          <w:rFonts w:ascii="宋体" w:hAnsi="宋体"/>
          <w:color w:val="auto"/>
          <w:szCs w:val="21"/>
        </w:rPr>
      </w:pPr>
      <w:r>
        <w:rPr>
          <w:rFonts w:hint="eastAsia" w:ascii="宋体" w:hAnsi="宋体"/>
          <w:color w:val="auto"/>
          <w:szCs w:val="21"/>
        </w:rPr>
        <w:t>7.2 国产的货物及其有关服务必须符合中华人民共和国的设计和制造生产标准或行业标准。招标文件有其他要求的，亦应符合其要求。</w:t>
      </w:r>
    </w:p>
    <w:p>
      <w:pPr>
        <w:rPr>
          <w:rFonts w:ascii="宋体" w:hAnsi="宋体"/>
          <w:color w:val="auto"/>
          <w:szCs w:val="21"/>
        </w:rPr>
      </w:pPr>
      <w:r>
        <w:rPr>
          <w:rFonts w:hint="eastAsia" w:ascii="宋体" w:hAnsi="宋体"/>
          <w:color w:val="auto"/>
          <w:szCs w:val="21"/>
        </w:rPr>
        <w:t>7.3 进口货物及其有关服务必须符合原产地和/或中华人民共和国的设计和制造生产标准或行业标准。进口的货物必须具有合法的进口手续和途径，并通过中华人民共和国商检部门检验。招标文件有其他要求的，亦应符合其要求。</w:t>
      </w:r>
    </w:p>
    <w:p>
      <w:pPr>
        <w:rPr>
          <w:rFonts w:ascii="宋体" w:hAnsi="宋体"/>
          <w:color w:val="auto"/>
          <w:szCs w:val="21"/>
        </w:rPr>
      </w:pPr>
      <w:r>
        <w:rPr>
          <w:rFonts w:hint="eastAsia" w:ascii="宋体" w:hAnsi="宋体"/>
          <w:color w:val="auto"/>
          <w:szCs w:val="21"/>
        </w:rPr>
        <w:t>7.4 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rPr>
          <w:rFonts w:ascii="宋体" w:hAnsi="宋体"/>
          <w:color w:val="auto"/>
          <w:szCs w:val="21"/>
        </w:rPr>
      </w:pPr>
      <w:r>
        <w:rPr>
          <w:rFonts w:hint="eastAsia" w:ascii="宋体" w:hAnsi="宋体"/>
          <w:color w:val="auto"/>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rPr>
          <w:rFonts w:ascii="宋体" w:hAnsi="宋体"/>
          <w:color w:val="auto"/>
          <w:szCs w:val="21"/>
        </w:rPr>
      </w:pPr>
      <w:r>
        <w:rPr>
          <w:rFonts w:hint="eastAsia" w:ascii="宋体" w:hAnsi="宋体"/>
          <w:color w:val="auto"/>
          <w:szCs w:val="21"/>
        </w:rPr>
        <w:t>7.6 对工期的要求：投标人在投标时对其所投项目应提交详细的《交货进度表》，列明交货计划等，在合同规定的时间内完工验收。</w:t>
      </w:r>
    </w:p>
    <w:p>
      <w:pPr>
        <w:rPr>
          <w:rFonts w:ascii="宋体" w:hAnsi="宋体"/>
          <w:color w:val="auto"/>
          <w:szCs w:val="21"/>
        </w:rPr>
      </w:pPr>
      <w:r>
        <w:rPr>
          <w:rFonts w:hint="eastAsia" w:ascii="宋体" w:hAnsi="宋体"/>
          <w:color w:val="auto"/>
          <w:szCs w:val="21"/>
        </w:rPr>
        <w:t>7.7 除非招标文件另有规定，产品有效期为：密封存放在阴凉、干燥、通风、温度为-5°Ｃ～４０°Ｃ的环境中，有效期八年。特殊要求的另行规定。</w:t>
      </w:r>
    </w:p>
    <w:p>
      <w:pPr>
        <w:rPr>
          <w:rFonts w:ascii="宋体" w:hAnsi="宋体"/>
          <w:color w:val="auto"/>
          <w:szCs w:val="21"/>
        </w:rPr>
      </w:pPr>
      <w:r>
        <w:rPr>
          <w:rFonts w:hint="eastAsia" w:ascii="宋体" w:hAnsi="宋体"/>
          <w:color w:val="auto"/>
          <w:szCs w:val="21"/>
        </w:rPr>
        <w:t>7.8 服务响应期：4小时以内到达采购单位现场。特殊要求的另行规定。</w:t>
      </w:r>
    </w:p>
    <w:p>
      <w:pPr>
        <w:rPr>
          <w:rFonts w:ascii="宋体" w:hAnsi="宋体"/>
          <w:color w:val="auto"/>
          <w:szCs w:val="21"/>
        </w:rPr>
      </w:pPr>
      <w:r>
        <w:rPr>
          <w:rFonts w:hint="eastAsia" w:ascii="宋体" w:hAnsi="宋体"/>
          <w:color w:val="auto"/>
          <w:szCs w:val="21"/>
        </w:rPr>
        <w:t>7.9 投标人必须承担的设备运输、安装调试、验收检测和提供设备操作说明书、图纸等其他相关及类似的义务。</w:t>
      </w:r>
    </w:p>
    <w:p>
      <w:pPr>
        <w:rPr>
          <w:rFonts w:ascii="宋体" w:hAnsi="宋体"/>
          <w:b/>
          <w:bCs/>
          <w:color w:val="auto"/>
          <w:szCs w:val="21"/>
        </w:rPr>
      </w:pPr>
      <w:r>
        <w:rPr>
          <w:rFonts w:hint="eastAsia" w:ascii="宋体" w:hAnsi="宋体"/>
          <w:b/>
          <w:bCs/>
          <w:color w:val="auto"/>
          <w:szCs w:val="21"/>
        </w:rPr>
        <w:t>8.投标费用</w:t>
      </w:r>
    </w:p>
    <w:p>
      <w:pPr>
        <w:rPr>
          <w:rFonts w:ascii="宋体" w:hAnsi="宋体"/>
          <w:color w:val="auto"/>
          <w:szCs w:val="21"/>
        </w:rPr>
      </w:pPr>
      <w:r>
        <w:rPr>
          <w:rFonts w:hint="eastAsia" w:ascii="宋体" w:hAnsi="宋体"/>
          <w:color w:val="auto"/>
          <w:szCs w:val="21"/>
        </w:rPr>
        <w:t>投标人应承担所有与准备和参加投标有关的费用。不论投标的结果如何，政府集中采购机构和采购单位均无义务和责任承担这些费用。</w:t>
      </w:r>
    </w:p>
    <w:p>
      <w:pPr>
        <w:rPr>
          <w:rFonts w:ascii="宋体" w:hAnsi="宋体"/>
          <w:b/>
          <w:color w:val="auto"/>
          <w:szCs w:val="21"/>
        </w:rPr>
      </w:pPr>
      <w:r>
        <w:rPr>
          <w:rFonts w:hint="eastAsia" w:ascii="宋体" w:hAnsi="宋体"/>
          <w:b/>
          <w:color w:val="auto"/>
          <w:szCs w:val="21"/>
        </w:rPr>
        <w:t>9．踏勘现场</w:t>
      </w:r>
    </w:p>
    <w:p>
      <w:pPr>
        <w:rPr>
          <w:rFonts w:ascii="宋体" w:hAnsi="宋体"/>
          <w:color w:val="auto"/>
          <w:szCs w:val="21"/>
        </w:rPr>
      </w:pPr>
      <w:r>
        <w:rPr>
          <w:rFonts w:hint="eastAsia" w:ascii="宋体" w:hAnsi="宋体"/>
          <w:color w:val="auto"/>
          <w:szCs w:val="21"/>
        </w:rPr>
        <w:t>9.1如有需要，政府集中采购机构或采购单位将组织投标人对项目现场及周围环境进行踏勘，以便投标人获取有关编制投标文件和签署合同所需的所有资料。踏勘现场所发生的费用由投标人自己承担，投标人应按</w:t>
      </w:r>
      <w:r>
        <w:rPr>
          <w:rFonts w:hint="eastAsia" w:ascii="宋体" w:hAnsi="宋体"/>
          <w:b/>
          <w:color w:val="auto"/>
          <w:szCs w:val="21"/>
        </w:rPr>
        <w:t>招标公告</w:t>
      </w:r>
      <w:r>
        <w:rPr>
          <w:rFonts w:hint="eastAsia" w:ascii="宋体" w:hAnsi="宋体"/>
          <w:color w:val="auto"/>
          <w:szCs w:val="21"/>
        </w:rPr>
        <w:t>所约定的时间、地点统一踏勘现场。</w:t>
      </w:r>
    </w:p>
    <w:p>
      <w:pPr>
        <w:rPr>
          <w:rFonts w:ascii="宋体" w:hAnsi="宋体"/>
          <w:color w:val="auto"/>
          <w:szCs w:val="21"/>
        </w:rPr>
      </w:pPr>
      <w:r>
        <w:rPr>
          <w:rFonts w:hint="eastAsia" w:ascii="宋体" w:hAnsi="宋体"/>
          <w:color w:val="auto"/>
          <w:szCs w:val="21"/>
        </w:rPr>
        <w:t>9.2投标人及其人员经过采购单位的允许，可以踏勘目的进入采购单位的项目现场。若本项目招标文件要求投标人于统一时间地点踏勘现场的，投标人应当按时前往。</w:t>
      </w:r>
    </w:p>
    <w:p>
      <w:pPr>
        <w:rPr>
          <w:rFonts w:ascii="宋体" w:hAnsi="宋体"/>
          <w:color w:val="auto"/>
          <w:szCs w:val="21"/>
        </w:rPr>
      </w:pPr>
      <w:r>
        <w:rPr>
          <w:rFonts w:hint="eastAsia" w:ascii="宋体" w:hAnsi="宋体"/>
          <w:color w:val="auto"/>
          <w:szCs w:val="21"/>
        </w:rPr>
        <w:t>9.3采购单位必须通过政府集中采购机构向投标人提供有关现场的资料和数据。</w:t>
      </w:r>
    </w:p>
    <w:p>
      <w:pPr>
        <w:rPr>
          <w:rFonts w:ascii="宋体" w:hAnsi="宋体"/>
          <w:color w:val="auto"/>
          <w:szCs w:val="21"/>
        </w:rPr>
      </w:pPr>
      <w:r>
        <w:rPr>
          <w:rFonts w:hint="eastAsia" w:ascii="宋体" w:hAnsi="宋体"/>
          <w:color w:val="auto"/>
          <w:szCs w:val="21"/>
        </w:rPr>
        <w:t>9.4任何人或任何组织在踏勘现场时向投标人提交的任何书面或口头上的资料，未经政府集中采购机构在网上发布或书面通知，均作无效处理。政府集中采购机构对投标人由此而做出的推论、理解和结论概不负责。</w:t>
      </w:r>
    </w:p>
    <w:p>
      <w:pPr>
        <w:rPr>
          <w:rFonts w:ascii="宋体" w:hAnsi="宋体"/>
          <w:color w:val="auto"/>
          <w:szCs w:val="21"/>
        </w:rPr>
      </w:pPr>
      <w:r>
        <w:rPr>
          <w:rFonts w:hint="eastAsia" w:ascii="宋体" w:hAnsi="宋体"/>
          <w:color w:val="auto"/>
          <w:szCs w:val="21"/>
        </w:rPr>
        <w:t>9.5 未参与现场踏勘不作为否定投标人资格的理由。</w:t>
      </w:r>
    </w:p>
    <w:p>
      <w:pPr>
        <w:rPr>
          <w:rFonts w:ascii="宋体" w:hAnsi="宋体"/>
          <w:b/>
          <w:color w:val="auto"/>
          <w:szCs w:val="21"/>
        </w:rPr>
      </w:pPr>
      <w:r>
        <w:rPr>
          <w:rFonts w:hint="eastAsia" w:ascii="宋体" w:hAnsi="宋体"/>
          <w:b/>
          <w:color w:val="auto"/>
          <w:szCs w:val="21"/>
        </w:rPr>
        <w:t>10．招标答疑</w:t>
      </w:r>
    </w:p>
    <w:p>
      <w:pPr>
        <w:rPr>
          <w:rFonts w:ascii="宋体" w:hAnsi="宋体"/>
          <w:color w:val="auto"/>
          <w:szCs w:val="21"/>
        </w:rPr>
      </w:pPr>
      <w:r>
        <w:rPr>
          <w:rFonts w:hint="eastAsia" w:ascii="宋体" w:hAnsi="宋体"/>
          <w:color w:val="auto"/>
          <w:szCs w:val="21"/>
        </w:rPr>
        <w:t>10.1招标答疑的目的是澄清、解答投标人在查阅招标文件后或现场踏勘中可能提出的与投标有关的疑问或询问。</w:t>
      </w:r>
    </w:p>
    <w:p>
      <w:pPr>
        <w:rPr>
          <w:rFonts w:ascii="宋体" w:hAnsi="宋体"/>
          <w:color w:val="auto"/>
          <w:szCs w:val="21"/>
        </w:rPr>
      </w:pPr>
      <w:r>
        <w:rPr>
          <w:rFonts w:hint="eastAsia" w:ascii="宋体" w:hAnsi="宋体"/>
          <w:color w:val="auto"/>
          <w:szCs w:val="21"/>
        </w:rPr>
        <w:t>10.2投标人提出的与投标有关的问题须在招标文件规定的答疑截止时间前以网上提问形式提交给集中采购机构。</w:t>
      </w:r>
    </w:p>
    <w:p>
      <w:pPr>
        <w:rPr>
          <w:rFonts w:ascii="宋体" w:hAnsi="宋体"/>
          <w:color w:val="auto"/>
          <w:szCs w:val="21"/>
        </w:rPr>
      </w:pPr>
      <w:r>
        <w:rPr>
          <w:rFonts w:hint="eastAsia" w:ascii="宋体" w:hAnsi="宋体"/>
          <w:color w:val="auto"/>
          <w:szCs w:val="21"/>
        </w:rPr>
        <w:t>10.3政府集中采购机构对疑问所做出的澄清和解答，以书面答复（包括网站发布信息）为准。答疑纪要的有效性规定按照本通用条款第</w:t>
      </w:r>
      <w:r>
        <w:rPr>
          <w:rFonts w:hint="eastAsia" w:ascii="宋体" w:hAnsi="宋体"/>
          <w:b/>
          <w:color w:val="auto"/>
          <w:szCs w:val="21"/>
        </w:rPr>
        <w:t>13.3、13.4</w:t>
      </w:r>
      <w:r>
        <w:rPr>
          <w:rFonts w:hint="eastAsia" w:ascii="宋体" w:hAnsi="宋体"/>
          <w:color w:val="auto"/>
          <w:szCs w:val="21"/>
        </w:rPr>
        <w:t>款规定执行。</w:t>
      </w:r>
    </w:p>
    <w:p>
      <w:pPr>
        <w:rPr>
          <w:rFonts w:ascii="宋体" w:hAnsi="宋体"/>
          <w:color w:val="auto"/>
          <w:szCs w:val="21"/>
        </w:rPr>
      </w:pPr>
      <w:r>
        <w:rPr>
          <w:rFonts w:hint="eastAsia" w:ascii="宋体" w:hAnsi="宋体"/>
          <w:color w:val="auto"/>
          <w:szCs w:val="21"/>
        </w:rPr>
        <w:t>10.4如政府集中采购机构认为有必要组织现场答疑会，投标人应按照招标文件规定的时间或集中采购机构另行书面通知（包括网站发布的通知）的时间和地点，参与现场答疑会。</w:t>
      </w:r>
    </w:p>
    <w:p>
      <w:pPr>
        <w:rPr>
          <w:rFonts w:ascii="宋体" w:hAnsi="宋体"/>
          <w:color w:val="auto"/>
          <w:szCs w:val="21"/>
        </w:rPr>
      </w:pPr>
      <w:r>
        <w:rPr>
          <w:rFonts w:hint="eastAsia" w:ascii="宋体" w:hAnsi="宋体"/>
          <w:color w:val="auto"/>
          <w:szCs w:val="21"/>
        </w:rPr>
        <w:t>10.5未参与招标答疑不作为否定投标人资格的理由。</w:t>
      </w:r>
    </w:p>
    <w:p>
      <w:pPr>
        <w:rPr>
          <w:rFonts w:ascii="宋体" w:hAnsi="宋体"/>
          <w:color w:val="auto"/>
          <w:szCs w:val="21"/>
        </w:rPr>
      </w:pPr>
    </w:p>
    <w:p>
      <w:pPr>
        <w:pStyle w:val="6"/>
        <w:rPr>
          <w:rFonts w:ascii="宋体" w:hAnsi="宋体"/>
          <w:b/>
          <w:color w:val="auto"/>
          <w:szCs w:val="24"/>
        </w:rPr>
      </w:pPr>
      <w:bookmarkStart w:id="27" w:name="bt招标文件"/>
      <w:bookmarkEnd w:id="27"/>
      <w:r>
        <w:rPr>
          <w:rFonts w:hint="eastAsia" w:ascii="宋体" w:hAnsi="宋体"/>
          <w:b/>
          <w:color w:val="auto"/>
          <w:szCs w:val="24"/>
        </w:rPr>
        <w:t>第二章  招标文件</w:t>
      </w:r>
    </w:p>
    <w:p>
      <w:pPr>
        <w:rPr>
          <w:rFonts w:ascii="宋体" w:hAnsi="宋体"/>
          <w:b/>
          <w:bCs/>
          <w:color w:val="auto"/>
          <w:szCs w:val="21"/>
        </w:rPr>
      </w:pPr>
      <w:r>
        <w:rPr>
          <w:rFonts w:hint="eastAsia" w:ascii="宋体" w:hAnsi="宋体"/>
          <w:b/>
          <w:bCs/>
          <w:color w:val="auto"/>
          <w:szCs w:val="21"/>
        </w:rPr>
        <w:t>11.招标文件构成</w:t>
      </w:r>
    </w:p>
    <w:p>
      <w:pPr>
        <w:rPr>
          <w:rFonts w:ascii="宋体" w:hAnsi="宋体"/>
          <w:color w:val="auto"/>
          <w:szCs w:val="21"/>
        </w:rPr>
      </w:pPr>
      <w:r>
        <w:rPr>
          <w:rFonts w:hint="eastAsia" w:ascii="宋体" w:hAnsi="宋体"/>
          <w:color w:val="auto"/>
          <w:szCs w:val="21"/>
        </w:rPr>
        <w:t>11</w:t>
      </w:r>
      <w:r>
        <w:rPr>
          <w:rFonts w:ascii="宋体" w:hAnsi="宋体"/>
          <w:color w:val="auto"/>
          <w:szCs w:val="21"/>
        </w:rPr>
        <w:t xml:space="preserve">.1  </w:t>
      </w:r>
      <w:r>
        <w:rPr>
          <w:rFonts w:hint="eastAsia" w:ascii="宋体" w:hAnsi="宋体"/>
          <w:color w:val="auto"/>
          <w:szCs w:val="21"/>
        </w:rPr>
        <w:t>要求提供的货物、工程、服务、招标过程和合同条件在招标文件中均有说明。</w:t>
      </w:r>
    </w:p>
    <w:p>
      <w:pPr>
        <w:snapToGrid w:val="0"/>
        <w:ind w:firstLine="420" w:firstLineChars="200"/>
        <w:rPr>
          <w:rFonts w:ascii="宋体" w:hAnsi="宋体"/>
          <w:color w:val="auto"/>
          <w:szCs w:val="21"/>
        </w:rPr>
      </w:pPr>
      <w:r>
        <w:rPr>
          <w:rFonts w:hint="eastAsia" w:ascii="宋体" w:hAnsi="宋体"/>
          <w:color w:val="auto"/>
          <w:szCs w:val="21"/>
        </w:rPr>
        <w:t>招标文件除以下内容外，政府集中采购机构在招标（或谈判）期间发出的答疑纪要和其他补充修改函件，均是招标文件的组成部分，对投标人起约束作用；</w:t>
      </w:r>
    </w:p>
    <w:p>
      <w:pPr>
        <w:ind w:firstLine="411" w:firstLineChars="196"/>
        <w:rPr>
          <w:rFonts w:ascii="宋体" w:hAnsi="宋体"/>
          <w:color w:val="auto"/>
          <w:szCs w:val="21"/>
        </w:rPr>
      </w:pPr>
      <w:r>
        <w:rPr>
          <w:rFonts w:hint="eastAsia" w:ascii="宋体" w:hAnsi="宋体"/>
          <w:color w:val="auto"/>
          <w:szCs w:val="21"/>
        </w:rPr>
        <w:t>招标文件包括下列内容：</w:t>
      </w:r>
    </w:p>
    <w:p>
      <w:pPr>
        <w:ind w:left="630" w:leftChars="300" w:firstLine="1146" w:firstLineChars="546"/>
        <w:rPr>
          <w:rFonts w:ascii="宋体" w:hAnsi="宋体"/>
          <w:color w:val="auto"/>
          <w:szCs w:val="21"/>
        </w:rPr>
      </w:pPr>
      <w:r>
        <w:rPr>
          <w:rFonts w:hint="eastAsia" w:ascii="宋体" w:hAnsi="宋体"/>
          <w:color w:val="auto"/>
          <w:szCs w:val="21"/>
        </w:rPr>
        <w:t>关键信息</w:t>
      </w:r>
    </w:p>
    <w:p>
      <w:pPr>
        <w:ind w:firstLine="840" w:firstLineChars="400"/>
        <w:jc w:val="left"/>
        <w:rPr>
          <w:rFonts w:ascii="宋体" w:hAnsi="宋体"/>
          <w:color w:val="auto"/>
          <w:szCs w:val="21"/>
        </w:rPr>
      </w:pPr>
      <w:r>
        <w:rPr>
          <w:rFonts w:hint="eastAsia" w:ascii="宋体" w:hAnsi="宋体"/>
          <w:color w:val="auto"/>
          <w:szCs w:val="21"/>
        </w:rPr>
        <w:t>第一册  专用条款</w:t>
      </w:r>
    </w:p>
    <w:p>
      <w:pPr>
        <w:ind w:left="630" w:leftChars="300" w:firstLine="1146" w:firstLineChars="546"/>
        <w:rPr>
          <w:rFonts w:ascii="宋体" w:hAnsi="宋体"/>
          <w:color w:val="auto"/>
          <w:szCs w:val="21"/>
        </w:rPr>
      </w:pPr>
      <w:r>
        <w:rPr>
          <w:rFonts w:hint="eastAsia" w:ascii="宋体" w:hAnsi="宋体"/>
          <w:color w:val="auto"/>
          <w:szCs w:val="21"/>
        </w:rPr>
        <w:t>第一章  招标公告</w:t>
      </w:r>
    </w:p>
    <w:p>
      <w:pPr>
        <w:ind w:left="630" w:leftChars="300" w:firstLine="1146" w:firstLineChars="546"/>
        <w:rPr>
          <w:rFonts w:ascii="宋体" w:hAnsi="宋体"/>
          <w:color w:val="auto"/>
          <w:szCs w:val="21"/>
        </w:rPr>
      </w:pPr>
      <w:r>
        <w:rPr>
          <w:rFonts w:hint="eastAsia" w:ascii="宋体" w:hAnsi="宋体"/>
          <w:color w:val="auto"/>
          <w:szCs w:val="21"/>
        </w:rPr>
        <w:t>第二章  用户需求书</w:t>
      </w:r>
    </w:p>
    <w:p>
      <w:pPr>
        <w:ind w:left="630" w:leftChars="300" w:firstLine="1146" w:firstLineChars="546"/>
        <w:rPr>
          <w:rFonts w:ascii="宋体" w:hAnsi="宋体"/>
          <w:color w:val="auto"/>
          <w:szCs w:val="21"/>
        </w:rPr>
      </w:pPr>
      <w:r>
        <w:rPr>
          <w:rFonts w:hint="eastAsia" w:ascii="宋体" w:hAnsi="宋体"/>
          <w:color w:val="auto"/>
          <w:szCs w:val="21"/>
        </w:rPr>
        <w:t>第三章  投标文件的格式、附件</w:t>
      </w:r>
    </w:p>
    <w:p>
      <w:pPr>
        <w:ind w:left="630" w:leftChars="300" w:firstLine="1146" w:firstLineChars="546"/>
        <w:rPr>
          <w:rFonts w:ascii="宋体" w:hAnsi="宋体"/>
          <w:color w:val="auto"/>
          <w:szCs w:val="21"/>
        </w:rPr>
      </w:pPr>
      <w:r>
        <w:rPr>
          <w:rFonts w:hint="eastAsia" w:ascii="宋体" w:hAnsi="宋体"/>
          <w:color w:val="auto"/>
          <w:szCs w:val="21"/>
        </w:rPr>
        <w:t>第四章  政府采购合同的签订、履约及验收</w:t>
      </w:r>
    </w:p>
    <w:p>
      <w:pPr>
        <w:ind w:left="420" w:leftChars="200" w:firstLine="411" w:firstLineChars="196"/>
        <w:rPr>
          <w:rFonts w:ascii="宋体" w:hAnsi="宋体"/>
          <w:color w:val="auto"/>
          <w:szCs w:val="21"/>
        </w:rPr>
      </w:pPr>
      <w:r>
        <w:rPr>
          <w:rFonts w:hint="eastAsia" w:ascii="宋体" w:hAnsi="宋体"/>
          <w:color w:val="auto"/>
          <w:szCs w:val="21"/>
        </w:rPr>
        <w:t>第二册  通用条款</w:t>
      </w:r>
    </w:p>
    <w:p>
      <w:pPr>
        <w:ind w:left="630" w:leftChars="300" w:firstLine="1146" w:firstLineChars="546"/>
        <w:rPr>
          <w:rFonts w:ascii="宋体" w:hAnsi="宋体"/>
          <w:color w:val="auto"/>
          <w:szCs w:val="21"/>
        </w:rPr>
      </w:pPr>
      <w:r>
        <w:rPr>
          <w:rFonts w:hint="eastAsia" w:ascii="宋体" w:hAnsi="宋体"/>
          <w:color w:val="auto"/>
          <w:szCs w:val="21"/>
        </w:rPr>
        <w:t>第一章  总则</w:t>
      </w:r>
    </w:p>
    <w:p>
      <w:pPr>
        <w:ind w:left="630" w:leftChars="300" w:firstLine="1146" w:firstLineChars="546"/>
        <w:rPr>
          <w:rFonts w:ascii="宋体" w:hAnsi="宋体"/>
          <w:color w:val="auto"/>
          <w:szCs w:val="21"/>
        </w:rPr>
      </w:pPr>
      <w:r>
        <w:rPr>
          <w:rFonts w:hint="eastAsia" w:ascii="宋体" w:hAnsi="宋体"/>
          <w:color w:val="auto"/>
          <w:szCs w:val="21"/>
        </w:rPr>
        <w:t>第二章  招标文件</w:t>
      </w:r>
    </w:p>
    <w:p>
      <w:pPr>
        <w:ind w:left="630" w:leftChars="300" w:firstLine="1146" w:firstLineChars="546"/>
        <w:rPr>
          <w:rFonts w:ascii="宋体" w:hAnsi="宋体"/>
          <w:color w:val="auto"/>
          <w:szCs w:val="21"/>
        </w:rPr>
      </w:pPr>
      <w:r>
        <w:rPr>
          <w:rFonts w:hint="eastAsia" w:ascii="宋体" w:hAnsi="宋体"/>
          <w:color w:val="auto"/>
          <w:szCs w:val="21"/>
        </w:rPr>
        <w:t>第三章  投标文件的编制</w:t>
      </w:r>
    </w:p>
    <w:p>
      <w:pPr>
        <w:ind w:left="630" w:leftChars="300" w:firstLine="1146" w:firstLineChars="546"/>
        <w:rPr>
          <w:rFonts w:ascii="宋体" w:hAnsi="宋体"/>
          <w:color w:val="auto"/>
          <w:szCs w:val="21"/>
        </w:rPr>
      </w:pPr>
      <w:r>
        <w:rPr>
          <w:rFonts w:hint="eastAsia" w:ascii="宋体" w:hAnsi="宋体"/>
          <w:color w:val="auto"/>
          <w:szCs w:val="21"/>
        </w:rPr>
        <w:t>第四章  投标文件的递交</w:t>
      </w:r>
    </w:p>
    <w:p>
      <w:pPr>
        <w:ind w:left="630" w:leftChars="300" w:firstLine="1146" w:firstLineChars="546"/>
        <w:rPr>
          <w:rFonts w:ascii="宋体" w:hAnsi="宋体"/>
          <w:color w:val="auto"/>
          <w:szCs w:val="21"/>
        </w:rPr>
      </w:pPr>
      <w:r>
        <w:rPr>
          <w:rFonts w:hint="eastAsia" w:ascii="宋体" w:hAnsi="宋体"/>
          <w:color w:val="auto"/>
          <w:szCs w:val="21"/>
        </w:rPr>
        <w:t>第五章  开标与评标</w:t>
      </w:r>
    </w:p>
    <w:p>
      <w:pPr>
        <w:ind w:left="630" w:leftChars="300" w:firstLine="1146" w:firstLineChars="546"/>
        <w:rPr>
          <w:rFonts w:ascii="宋体" w:hAnsi="宋体"/>
          <w:color w:val="auto"/>
          <w:szCs w:val="21"/>
        </w:rPr>
      </w:pPr>
      <w:r>
        <w:rPr>
          <w:rFonts w:hint="eastAsia" w:ascii="宋体" w:hAnsi="宋体"/>
          <w:color w:val="auto"/>
          <w:szCs w:val="21"/>
        </w:rPr>
        <w:t>第六章  定标及公示</w:t>
      </w:r>
    </w:p>
    <w:p>
      <w:pPr>
        <w:ind w:left="630" w:leftChars="300" w:firstLine="1146" w:firstLineChars="546"/>
        <w:rPr>
          <w:rFonts w:ascii="宋体" w:hAnsi="宋体"/>
          <w:color w:val="auto"/>
          <w:szCs w:val="21"/>
        </w:rPr>
      </w:pPr>
      <w:r>
        <w:rPr>
          <w:rFonts w:hint="eastAsia" w:ascii="宋体" w:hAnsi="宋体"/>
          <w:color w:val="auto"/>
          <w:szCs w:val="21"/>
        </w:rPr>
        <w:t>第七章  公开招标失败的后续处理</w:t>
      </w:r>
    </w:p>
    <w:p>
      <w:pPr>
        <w:ind w:left="630" w:leftChars="300" w:firstLine="1146" w:firstLineChars="546"/>
        <w:rPr>
          <w:rFonts w:ascii="宋体" w:hAnsi="宋体"/>
          <w:color w:val="auto"/>
          <w:szCs w:val="21"/>
        </w:rPr>
      </w:pPr>
      <w:r>
        <w:rPr>
          <w:rFonts w:hint="eastAsia" w:ascii="宋体" w:hAnsi="宋体"/>
          <w:color w:val="auto"/>
          <w:szCs w:val="21"/>
        </w:rPr>
        <w:t>第八章  授予合同</w:t>
      </w:r>
    </w:p>
    <w:p>
      <w:pPr>
        <w:ind w:left="630" w:leftChars="300" w:firstLine="1146" w:firstLineChars="546"/>
        <w:rPr>
          <w:rFonts w:ascii="宋体" w:hAnsi="宋体"/>
          <w:color w:val="auto"/>
          <w:szCs w:val="21"/>
        </w:rPr>
      </w:pPr>
      <w:r>
        <w:rPr>
          <w:rFonts w:hint="eastAsia" w:ascii="宋体" w:hAnsi="宋体"/>
          <w:color w:val="auto"/>
          <w:szCs w:val="21"/>
        </w:rPr>
        <w:t>第九章  质疑处理</w:t>
      </w:r>
    </w:p>
    <w:p>
      <w:pPr>
        <w:rPr>
          <w:rFonts w:ascii="宋体" w:hAnsi="宋体"/>
          <w:b/>
          <w:color w:val="auto"/>
          <w:szCs w:val="21"/>
        </w:rPr>
      </w:pPr>
      <w:r>
        <w:rPr>
          <w:rFonts w:hint="eastAsia" w:ascii="宋体" w:hAnsi="宋体"/>
          <w:b/>
          <w:color w:val="auto"/>
          <w:szCs w:val="21"/>
        </w:rPr>
        <w:t>专用条款与通用条款内容有冲突的，以专用条款为准。</w:t>
      </w:r>
    </w:p>
    <w:p>
      <w:pPr>
        <w:rPr>
          <w:rFonts w:ascii="宋体" w:hAnsi="宋体"/>
          <w:color w:val="auto"/>
          <w:szCs w:val="21"/>
        </w:rPr>
      </w:pPr>
      <w:r>
        <w:rPr>
          <w:rFonts w:hint="eastAsia" w:ascii="宋体" w:hAnsi="宋体"/>
          <w:color w:val="auto"/>
          <w:szCs w:val="21"/>
        </w:rPr>
        <w:t>11</w:t>
      </w:r>
      <w:r>
        <w:rPr>
          <w:rFonts w:ascii="宋体" w:hAnsi="宋体"/>
          <w:color w:val="auto"/>
          <w:szCs w:val="21"/>
        </w:rPr>
        <w:t xml:space="preserve">.2  </w:t>
      </w:r>
      <w:r>
        <w:rPr>
          <w:rFonts w:hint="eastAsia" w:ascii="宋体" w:hAnsi="宋体"/>
          <w:color w:val="auto"/>
          <w:szCs w:val="21"/>
        </w:rPr>
        <w:t>投标人下载招标文件后，应仔细检查招标文件的所有内容，如有残缺应在答疑截止时间之前向政府集中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rPr>
          <w:rFonts w:ascii="宋体" w:hAnsi="宋体"/>
          <w:color w:val="auto"/>
          <w:szCs w:val="21"/>
        </w:rPr>
      </w:pPr>
      <w:r>
        <w:rPr>
          <w:rFonts w:hint="eastAsia" w:ascii="宋体" w:hAnsi="宋体"/>
          <w:color w:val="auto"/>
          <w:szCs w:val="21"/>
        </w:rPr>
        <w:t>11.3  网上报名。为方便开标准备工作，投标人如确定参加投标，应</w:t>
      </w:r>
      <w:r>
        <w:rPr>
          <w:rFonts w:ascii="宋体" w:hAnsi="宋体"/>
          <w:color w:val="auto"/>
          <w:szCs w:val="21"/>
        </w:rPr>
        <w:t>登录深圳政府采购网站</w:t>
      </w:r>
      <w:r>
        <w:rPr>
          <w:rFonts w:hint="eastAsia" w:ascii="宋体" w:hAnsi="宋体"/>
          <w:color w:val="auto"/>
          <w:szCs w:val="21"/>
        </w:rPr>
        <w:t>网上报名参加投标，方法是点击“应标管理</w:t>
      </w:r>
      <w:r>
        <w:rPr>
          <w:rFonts w:ascii="宋体" w:hAnsi="宋体"/>
          <w:color w:val="auto"/>
          <w:szCs w:val="21"/>
        </w:rPr>
        <w:sym w:font="Wingdings" w:char="F0E0"/>
      </w:r>
      <w:r>
        <w:rPr>
          <w:rFonts w:hint="eastAsia" w:ascii="宋体" w:hAnsi="宋体"/>
          <w:color w:val="auto"/>
          <w:szCs w:val="21"/>
        </w:rPr>
        <w:t>投标响应”或“应标管理</w:t>
      </w:r>
      <w:r>
        <w:rPr>
          <w:rFonts w:ascii="宋体" w:hAnsi="宋体"/>
          <w:color w:val="auto"/>
          <w:szCs w:val="21"/>
        </w:rPr>
        <w:sym w:font="Wingdings" w:char="F0E0"/>
      </w:r>
      <w:r>
        <w:rPr>
          <w:rFonts w:hint="eastAsia" w:ascii="宋体" w:hAnsi="宋体"/>
          <w:color w:val="auto"/>
          <w:szCs w:val="21"/>
        </w:rPr>
        <w:t>确认邀请函”；如果网上报名后又不参加投标的，应再点击 “撤销响应”。</w:t>
      </w:r>
    </w:p>
    <w:p>
      <w:pPr>
        <w:rPr>
          <w:rFonts w:ascii="宋体" w:hAnsi="宋体"/>
          <w:color w:val="auto"/>
          <w:szCs w:val="21"/>
        </w:rPr>
      </w:pPr>
      <w:r>
        <w:rPr>
          <w:rFonts w:hint="eastAsia" w:ascii="宋体" w:hAnsi="宋体"/>
          <w:color w:val="auto"/>
          <w:szCs w:val="21"/>
        </w:rPr>
        <w:t>11.4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宋体" w:hAnsi="宋体"/>
          <w:b/>
          <w:bCs/>
          <w:color w:val="auto"/>
          <w:szCs w:val="21"/>
        </w:rPr>
      </w:pPr>
      <w:r>
        <w:rPr>
          <w:rFonts w:hint="eastAsia" w:ascii="宋体" w:hAnsi="宋体"/>
          <w:b/>
          <w:bCs/>
          <w:color w:val="auto"/>
          <w:szCs w:val="21"/>
        </w:rPr>
        <w:t>12.招标文件的澄清</w:t>
      </w:r>
    </w:p>
    <w:p>
      <w:pPr>
        <w:rPr>
          <w:rFonts w:ascii="宋体" w:hAnsi="宋体"/>
          <w:color w:val="auto"/>
          <w:szCs w:val="21"/>
        </w:rPr>
      </w:pPr>
      <w:r>
        <w:rPr>
          <w:rFonts w:hint="eastAsia" w:ascii="宋体" w:hAnsi="宋体"/>
          <w:color w:val="auto"/>
          <w:szCs w:val="21"/>
        </w:rPr>
        <w:t>12</w:t>
      </w:r>
      <w:r>
        <w:rPr>
          <w:rFonts w:ascii="宋体" w:hAnsi="宋体"/>
          <w:color w:val="auto"/>
          <w:szCs w:val="21"/>
        </w:rPr>
        <w:t>.1</w:t>
      </w:r>
      <w:r>
        <w:rPr>
          <w:rFonts w:hint="eastAsia" w:ascii="宋体" w:hAnsi="宋体"/>
          <w:color w:val="auto"/>
          <w:szCs w:val="21"/>
        </w:rPr>
        <w:t>投标人在收到招标文件后，对招标文件任何部分若有任何疑问，或要求澄清招标文件的，均应在招标公告规定的答疑截止时间内，按网上提问的形式向政府集中采购机构提交。不论是政府集中采购机构根据需要主动对招标文件进行必要的澄清或是根据投标人的要求对招标文件做出澄清，政府集中采购机构都将在投标截止日期前以书面形式（包括光明区公共资源交易网站公开发布方式）答复或发送给所有投标人。澄清纪要作为招标文件的组成部分，对投标人起约束作用；</w:t>
      </w:r>
    </w:p>
    <w:p>
      <w:pPr>
        <w:rPr>
          <w:rFonts w:ascii="宋体" w:hAnsi="宋体"/>
          <w:color w:val="auto"/>
          <w:szCs w:val="21"/>
        </w:rPr>
      </w:pPr>
      <w:r>
        <w:rPr>
          <w:rFonts w:hint="eastAsia" w:ascii="宋体" w:hAnsi="宋体"/>
          <w:color w:val="auto"/>
          <w:szCs w:val="21"/>
        </w:rPr>
        <w:t>12.2  对于没有提出澄清又参与了该项目投标的供应商将被视为完全认同该招标文件（含澄清纪要），投标截止期后不再受理针对招标文件的相关质疑或投诉。</w:t>
      </w:r>
    </w:p>
    <w:p>
      <w:pPr>
        <w:rPr>
          <w:rFonts w:ascii="宋体" w:hAnsi="宋体"/>
          <w:color w:val="auto"/>
          <w:szCs w:val="21"/>
        </w:rPr>
      </w:pPr>
      <w:r>
        <w:rPr>
          <w:rFonts w:hint="eastAsia" w:ascii="宋体" w:hAnsi="宋体"/>
          <w:color w:val="auto"/>
          <w:szCs w:val="21"/>
        </w:rPr>
        <w:t>12.3  对招标文件中描述有歧义或前后不一致的地方，评审委员会有权进行评判，但对同一条款的评判应适用于每个投标人。</w:t>
      </w:r>
    </w:p>
    <w:p>
      <w:pPr>
        <w:rPr>
          <w:rFonts w:ascii="宋体" w:hAnsi="宋体"/>
          <w:b/>
          <w:bCs/>
          <w:color w:val="auto"/>
          <w:szCs w:val="21"/>
        </w:rPr>
      </w:pPr>
      <w:r>
        <w:rPr>
          <w:rFonts w:hint="eastAsia" w:ascii="宋体" w:hAnsi="宋体"/>
          <w:b/>
          <w:bCs/>
          <w:color w:val="auto"/>
          <w:szCs w:val="21"/>
        </w:rPr>
        <w:t>13.招标文件的修改</w:t>
      </w:r>
    </w:p>
    <w:p>
      <w:pPr>
        <w:rPr>
          <w:rFonts w:ascii="宋体" w:hAnsi="宋体"/>
          <w:color w:val="auto"/>
          <w:szCs w:val="21"/>
        </w:rPr>
      </w:pPr>
      <w:r>
        <w:rPr>
          <w:rFonts w:hint="eastAsia" w:ascii="宋体" w:hAnsi="宋体"/>
          <w:color w:val="auto"/>
          <w:szCs w:val="21"/>
        </w:rPr>
        <w:t>13.1招标文件发出后，在投标截止日期前任何时候，确需要变更招标内容的，政府集中采购机构可主动地或在解答投标人提出的澄清问题时对招标文件进行修改；</w:t>
      </w:r>
    </w:p>
    <w:p>
      <w:pPr>
        <w:rPr>
          <w:rFonts w:ascii="宋体" w:hAnsi="宋体"/>
          <w:color w:val="auto"/>
          <w:szCs w:val="21"/>
        </w:rPr>
      </w:pPr>
      <w:r>
        <w:rPr>
          <w:rFonts w:hint="eastAsia" w:ascii="宋体" w:hAnsi="宋体"/>
          <w:color w:val="auto"/>
          <w:szCs w:val="21"/>
        </w:rPr>
        <w:t>13.2招标文件的修改以书面形式（包括网站公开发布方式）发送给所有投标人，招标文件的修改内容作为招标文件的组成部分，并具有约束力。</w:t>
      </w:r>
    </w:p>
    <w:p>
      <w:pPr>
        <w:rPr>
          <w:rFonts w:ascii="宋体" w:hAnsi="宋体"/>
          <w:color w:val="auto"/>
          <w:szCs w:val="21"/>
        </w:rPr>
      </w:pPr>
      <w:r>
        <w:rPr>
          <w:rFonts w:hint="eastAsia" w:ascii="宋体" w:hAnsi="宋体"/>
          <w:color w:val="auto"/>
          <w:szCs w:val="21"/>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rPr>
          <w:rFonts w:ascii="宋体" w:hAnsi="宋体"/>
          <w:color w:val="auto"/>
          <w:szCs w:val="21"/>
        </w:rPr>
      </w:pPr>
      <w:r>
        <w:rPr>
          <w:rFonts w:hint="eastAsia" w:ascii="宋体" w:hAnsi="宋体"/>
          <w:color w:val="auto"/>
          <w:szCs w:val="21"/>
        </w:rPr>
        <w:t>13.4政府集中采购机构保证招标文件澄清（答疑）纪要和招标文件修改补充通知在投标截止时间前以网站公开发布形式或书面形式发送给所有投标人。为使投标人在编写投标文件时有充分时间对招标文件的修改部分进行研究，政府集中采购机构可以酌情延长递交投标文件的截止日期，具体时间将在修改补充通知中明确。</w:t>
      </w:r>
    </w:p>
    <w:p>
      <w:pPr>
        <w:rPr>
          <w:rFonts w:ascii="宋体" w:hAnsi="宋体"/>
          <w:color w:val="auto"/>
          <w:szCs w:val="21"/>
        </w:rPr>
      </w:pPr>
    </w:p>
    <w:p>
      <w:pPr>
        <w:pStyle w:val="6"/>
        <w:rPr>
          <w:rFonts w:ascii="宋体" w:hAnsi="宋体"/>
          <w:b/>
          <w:color w:val="auto"/>
          <w:szCs w:val="24"/>
        </w:rPr>
      </w:pPr>
      <w:bookmarkStart w:id="28" w:name="bt投标文件的编制"/>
      <w:bookmarkEnd w:id="28"/>
      <w:r>
        <w:rPr>
          <w:rFonts w:hint="eastAsia" w:ascii="宋体" w:hAnsi="宋体"/>
          <w:b/>
          <w:color w:val="auto"/>
          <w:szCs w:val="24"/>
        </w:rPr>
        <w:t>第三章  投标文件的编制</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4.投标的语言及计量单位</w:t>
      </w:r>
    </w:p>
    <w:p>
      <w:pPr>
        <w:rPr>
          <w:rFonts w:ascii="宋体" w:hAnsi="宋体"/>
          <w:color w:val="auto"/>
          <w:szCs w:val="21"/>
        </w:rPr>
      </w:pPr>
      <w:r>
        <w:rPr>
          <w:rFonts w:ascii="宋体" w:hAnsi="宋体"/>
          <w:color w:val="auto"/>
          <w:szCs w:val="21"/>
        </w:rPr>
        <w:t>1</w:t>
      </w:r>
      <w:r>
        <w:rPr>
          <w:rFonts w:hint="eastAsia" w:ascii="宋体" w:hAnsi="宋体"/>
          <w:color w:val="auto"/>
          <w:szCs w:val="21"/>
        </w:rPr>
        <w:t>4</w:t>
      </w:r>
      <w:r>
        <w:rPr>
          <w:rFonts w:ascii="宋体" w:hAnsi="宋体"/>
          <w:color w:val="auto"/>
          <w:szCs w:val="21"/>
        </w:rPr>
        <w:t xml:space="preserve">.1  </w:t>
      </w:r>
      <w:r>
        <w:rPr>
          <w:rFonts w:hint="eastAsia" w:ascii="宋体" w:hAnsi="宋体"/>
          <w:color w:val="auto"/>
          <w:szCs w:val="21"/>
        </w:rPr>
        <w:t>投标人提交的投标文件以及投标人与政府集中采购机构和采购单位就有关投标的所有来往函电均应使用中文书写。任何非中文的资料，都应提供中文翻译本，在解释时以翻译本为准，但翻译错误的除外。</w:t>
      </w:r>
    </w:p>
    <w:p>
      <w:pPr>
        <w:rPr>
          <w:rFonts w:ascii="宋体" w:hAnsi="宋体"/>
          <w:color w:val="auto"/>
          <w:szCs w:val="21"/>
        </w:rPr>
      </w:pPr>
      <w:r>
        <w:rPr>
          <w:rFonts w:hint="eastAsia" w:ascii="宋体" w:hAnsi="宋体"/>
          <w:color w:val="auto"/>
          <w:szCs w:val="21"/>
        </w:rPr>
        <w:t>14.2  除非下文另有规定，本采购文件使用中华人民共和国法定计量单位。</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5.投标文件构成</w:t>
      </w:r>
    </w:p>
    <w:p>
      <w:pPr>
        <w:rPr>
          <w:rFonts w:ascii="宋体" w:hAnsi="宋体"/>
          <w:color w:val="auto"/>
          <w:szCs w:val="21"/>
        </w:rPr>
      </w:pPr>
      <w:r>
        <w:rPr>
          <w:rFonts w:ascii="宋体" w:hAnsi="宋体"/>
          <w:color w:val="auto"/>
          <w:szCs w:val="21"/>
        </w:rPr>
        <w:t>1</w:t>
      </w:r>
      <w:r>
        <w:rPr>
          <w:rFonts w:hint="eastAsia" w:ascii="宋体" w:hAnsi="宋体"/>
          <w:color w:val="auto"/>
          <w:szCs w:val="21"/>
        </w:rPr>
        <w:t>5</w:t>
      </w:r>
      <w:r>
        <w:rPr>
          <w:rFonts w:ascii="宋体" w:hAnsi="宋体"/>
          <w:color w:val="auto"/>
          <w:szCs w:val="21"/>
        </w:rPr>
        <w:t xml:space="preserve">.1 </w:t>
      </w:r>
      <w:r>
        <w:rPr>
          <w:rFonts w:hint="eastAsia" w:ascii="宋体" w:hAnsi="宋体"/>
          <w:color w:val="auto"/>
          <w:szCs w:val="21"/>
        </w:rPr>
        <w:t>投标人应按本招标文件规定的投标书目录提供招标要求的所有材料。</w:t>
      </w:r>
    </w:p>
    <w:p>
      <w:pPr>
        <w:rPr>
          <w:rFonts w:ascii="宋体" w:hAnsi="宋体"/>
          <w:color w:val="auto"/>
          <w:szCs w:val="21"/>
        </w:rPr>
      </w:pPr>
      <w:r>
        <w:rPr>
          <w:rFonts w:hint="eastAsia" w:ascii="宋体" w:hAnsi="宋体"/>
          <w:color w:val="auto"/>
          <w:szCs w:val="21"/>
        </w:rPr>
        <w:t>15.2 投标文件必须是通过在深圳市政府采购中心网站（www.szzfcg.cn）下载的最新版投标书编制软件制作的，并使用投标人密钥及正确加密规则加密成功的电子档文件（文件格式为BIDX文件）；投标人自行承担错误操作投标书编制软件或使用了旧版本的投标书编制软件制作投标文件使投标文件无法打开、资料缺失、无法显示等情况导致的扣分、投标无效等不良后果；不正确加密的投标文件将导致其投标被拒绝。</w:t>
      </w:r>
    </w:p>
    <w:p>
      <w:pPr>
        <w:rPr>
          <w:rFonts w:ascii="宋体" w:hAnsi="宋体"/>
          <w:b/>
          <w:bCs/>
          <w:color w:val="auto"/>
          <w:szCs w:val="21"/>
        </w:rPr>
      </w:pPr>
      <w:r>
        <w:rPr>
          <w:rFonts w:ascii="宋体" w:hAnsi="宋体"/>
          <w:b/>
          <w:bCs/>
          <w:color w:val="auto"/>
          <w:szCs w:val="21"/>
        </w:rPr>
        <w:t>1</w:t>
      </w:r>
      <w:r>
        <w:rPr>
          <w:rFonts w:hint="eastAsia" w:ascii="宋体" w:hAnsi="宋体"/>
          <w:b/>
          <w:bCs/>
          <w:color w:val="auto"/>
          <w:szCs w:val="21"/>
        </w:rPr>
        <w:t>6.投标文件格式</w:t>
      </w:r>
    </w:p>
    <w:p>
      <w:pPr>
        <w:rPr>
          <w:rFonts w:ascii="宋体" w:hAnsi="宋体"/>
          <w:color w:val="auto"/>
          <w:szCs w:val="21"/>
        </w:rPr>
      </w:pPr>
      <w:r>
        <w:rPr>
          <w:rFonts w:ascii="宋体" w:hAnsi="宋体"/>
          <w:color w:val="auto"/>
          <w:szCs w:val="21"/>
        </w:rPr>
        <w:t>1</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投标人应按招标文件提供的“投标文件的格式”填写。</w:t>
      </w:r>
    </w:p>
    <w:p>
      <w:pPr>
        <w:rPr>
          <w:rFonts w:ascii="宋体" w:hAnsi="宋体"/>
          <w:color w:val="auto"/>
          <w:szCs w:val="21"/>
        </w:rPr>
      </w:pPr>
      <w:r>
        <w:rPr>
          <w:rFonts w:ascii="宋体" w:hAnsi="宋体"/>
          <w:color w:val="auto"/>
          <w:kern w:val="0"/>
          <w:szCs w:val="21"/>
        </w:rPr>
        <w:t>1</w:t>
      </w:r>
      <w:r>
        <w:rPr>
          <w:rFonts w:hint="eastAsia" w:ascii="宋体" w:hAnsi="宋体"/>
          <w:color w:val="auto"/>
          <w:kern w:val="0"/>
          <w:szCs w:val="21"/>
        </w:rPr>
        <w:t>6</w:t>
      </w:r>
      <w:r>
        <w:rPr>
          <w:rFonts w:ascii="宋体" w:hAnsi="宋体"/>
          <w:color w:val="auto"/>
          <w:kern w:val="0"/>
          <w:szCs w:val="21"/>
        </w:rPr>
        <w:t xml:space="preserve">.2 </w:t>
      </w:r>
      <w:r>
        <w:rPr>
          <w:rFonts w:hint="eastAsia" w:ascii="宋体" w:hAnsi="宋体"/>
          <w:color w:val="auto"/>
          <w:szCs w:val="21"/>
        </w:rPr>
        <w:t>本招标文件中的“包”是最小的“标的单位”，投标人可对本“招标文件”中所列的所有货物、工程和服务项进行投标，投标人可只对其中一个包或几个包的内容进行投标（如有的话），但不得将一个包中的内容拆开投标，否则将导致其投标被拒绝。</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7.投标报价和货币</w:t>
      </w:r>
    </w:p>
    <w:p>
      <w:pPr>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1投标报价以人民币为结算单位。</w:t>
      </w:r>
    </w:p>
    <w:p>
      <w:pPr>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 xml:space="preserve">.2  </w:t>
      </w:r>
      <w:r>
        <w:rPr>
          <w:rFonts w:hint="eastAsia" w:ascii="宋体" w:hAnsi="宋体"/>
          <w:color w:val="auto"/>
          <w:szCs w:val="21"/>
        </w:rPr>
        <w:t>国产的有关货物、工程和服务的报价应包括要向中华人民共和国政府缴纳的增值税和其他税。</w:t>
      </w:r>
    </w:p>
    <w:p>
      <w:pPr>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.3  在中华人民共和国境内提供的</w:t>
      </w:r>
      <w:r>
        <w:rPr>
          <w:rFonts w:hint="eastAsia" w:ascii="宋体" w:hAnsi="宋体"/>
          <w:color w:val="auto"/>
          <w:szCs w:val="21"/>
        </w:rPr>
        <w:t>进口货物及其有关工程、服务的报价应包括要向中华人民共和国政府缴纳的关税、增值税和其他税。</w:t>
      </w:r>
    </w:p>
    <w:p>
      <w:pPr>
        <w:rPr>
          <w:rFonts w:ascii="宋体" w:hAnsi="宋体"/>
          <w:color w:val="auto"/>
          <w:szCs w:val="21"/>
        </w:rPr>
      </w:pPr>
      <w:r>
        <w:rPr>
          <w:rFonts w:hint="eastAsia" w:ascii="宋体" w:hAnsi="宋体"/>
          <w:color w:val="auto"/>
          <w:szCs w:val="21"/>
        </w:rPr>
        <w:t>17.4  投标报价为一次性报价，开标后不得更改，投标人对项目的报价必须是唯一的，不接受有任何选择的报价。</w:t>
      </w:r>
    </w:p>
    <w:p>
      <w:pPr>
        <w:rPr>
          <w:rFonts w:ascii="宋体" w:hAnsi="宋体"/>
          <w:b/>
          <w:color w:val="auto"/>
          <w:szCs w:val="21"/>
        </w:rPr>
      </w:pPr>
      <w:r>
        <w:rPr>
          <w:rFonts w:hint="eastAsia" w:ascii="宋体" w:hAnsi="宋体"/>
          <w:b/>
          <w:color w:val="auto"/>
          <w:szCs w:val="21"/>
        </w:rPr>
        <w:t>18.投标人资格的证明文件</w:t>
      </w:r>
    </w:p>
    <w:p>
      <w:pPr>
        <w:rPr>
          <w:rFonts w:ascii="宋体" w:hAnsi="宋体"/>
          <w:color w:val="auto"/>
          <w:szCs w:val="21"/>
        </w:rPr>
      </w:pPr>
      <w:r>
        <w:rPr>
          <w:rFonts w:hint="eastAsia" w:ascii="宋体" w:hAnsi="宋体"/>
          <w:color w:val="auto"/>
          <w:szCs w:val="21"/>
        </w:rPr>
        <w:t>18.1投标人应提交证明其有资格参加投标和中标后有能力履行合同的文件，并作为其投标文件的一部分。</w:t>
      </w:r>
    </w:p>
    <w:p>
      <w:pPr>
        <w:rPr>
          <w:rFonts w:ascii="宋体" w:hAnsi="宋体"/>
          <w:color w:val="auto"/>
          <w:szCs w:val="21"/>
        </w:rPr>
      </w:pPr>
      <w:r>
        <w:rPr>
          <w:rFonts w:hint="eastAsia" w:ascii="宋体" w:hAnsi="宋体"/>
          <w:color w:val="auto"/>
          <w:szCs w:val="21"/>
        </w:rPr>
        <w:t>采用最低价法的采购项目，提供相同品牌产品的不同投标人参加同一合同项下投标的，以其中通过资格审查、符合性审查且报价最低的参加评标；报价相同的，由采购人采取随机抽取方式确定一个参加评标的投标人，其他投标无效。</w:t>
      </w:r>
    </w:p>
    <w:p>
      <w:pPr>
        <w:rPr>
          <w:rFonts w:ascii="宋体" w:hAnsi="宋体"/>
          <w:color w:val="auto"/>
          <w:szCs w:val="21"/>
        </w:rPr>
      </w:pPr>
      <w:r>
        <w:rPr>
          <w:rFonts w:hint="eastAsia" w:ascii="宋体" w:hAnsi="宋体"/>
          <w:color w:val="auto"/>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rPr>
          <w:rFonts w:ascii="宋体" w:hAnsi="宋体"/>
          <w:color w:val="auto"/>
          <w:szCs w:val="21"/>
        </w:rPr>
      </w:pPr>
      <w:r>
        <w:rPr>
          <w:rFonts w:hint="eastAsia" w:ascii="宋体" w:hAnsi="宋体"/>
          <w:color w:val="auto"/>
          <w:szCs w:val="21"/>
        </w:rPr>
        <w:t>非单一产品采购项目，采购人应当根据采购项目技术构成、产品价格比重等合理确定核心产品，并在招标文件中载明。多家投标人提供的核心产品品牌相同的，按前两款规定处理。</w:t>
      </w:r>
    </w:p>
    <w:p>
      <w:pPr>
        <w:rPr>
          <w:rFonts w:ascii="宋体" w:hAnsi="宋体"/>
          <w:color w:val="auto"/>
          <w:szCs w:val="21"/>
        </w:rPr>
      </w:pPr>
      <w:r>
        <w:rPr>
          <w:rFonts w:hint="eastAsia" w:ascii="宋体" w:hAnsi="宋体"/>
          <w:color w:val="auto"/>
          <w:szCs w:val="21"/>
        </w:rPr>
        <w:t>公开招标以外采购方式以及政府采购服务和工程涉及采购货物的项目，也按此方法计算供应商家数。</w:t>
      </w:r>
    </w:p>
    <w:p>
      <w:pPr>
        <w:rPr>
          <w:rFonts w:ascii="宋体" w:hAnsi="宋体"/>
          <w:color w:val="auto"/>
          <w:szCs w:val="21"/>
        </w:rPr>
      </w:pPr>
      <w:r>
        <w:rPr>
          <w:rFonts w:hint="eastAsia" w:ascii="宋体" w:hAnsi="宋体"/>
          <w:b/>
          <w:color w:val="auto"/>
          <w:szCs w:val="21"/>
        </w:rPr>
        <w:t>随机抽取程序：</w:t>
      </w:r>
      <w:r>
        <w:rPr>
          <w:rFonts w:hint="eastAsia" w:ascii="宋体" w:hAnsi="宋体"/>
          <w:color w:val="auto"/>
          <w:szCs w:val="21"/>
        </w:rPr>
        <w:t>采购人代表从01-50号球中抽取一个球：抽到01-25号范围内的球，本项目由号码最小的投标人获得资格；抽到26-50号范围内的球，本项目由号码最大的投标人获得资格。各投标人按照投标时间依次抽签，如最大（小）出现两家或以上投标人同号的情况，则对同号的投标人重新摇签确定获得资格的投标人。抽签过程中遇抽签机器卡球的，被卡球方当轮重新抽签。</w:t>
      </w:r>
    </w:p>
    <w:p>
      <w:pPr>
        <w:rPr>
          <w:rFonts w:ascii="宋体" w:hAnsi="宋体"/>
          <w:color w:val="auto"/>
          <w:szCs w:val="21"/>
        </w:rPr>
      </w:pPr>
      <w:r>
        <w:rPr>
          <w:rFonts w:hint="eastAsia" w:ascii="宋体" w:hAnsi="宋体"/>
          <w:color w:val="auto"/>
          <w:szCs w:val="21"/>
        </w:rPr>
        <w:t>18.2投标人除招标文件规定的资格条件外，还必须符合国家法规规定的强制性条件，并提供相关证明文件，作为投标文件的一部份。</w:t>
      </w:r>
    </w:p>
    <w:p>
      <w:pPr>
        <w:rPr>
          <w:rFonts w:ascii="宋体" w:hAnsi="宋体"/>
          <w:color w:val="auto"/>
          <w:szCs w:val="21"/>
        </w:rPr>
      </w:pPr>
      <w:r>
        <w:rPr>
          <w:rFonts w:hint="eastAsia" w:ascii="宋体" w:hAnsi="宋体"/>
          <w:color w:val="auto"/>
          <w:szCs w:val="21"/>
        </w:rPr>
        <w:t>18.3投标人提交的证明文件应当是合法有效的。</w:t>
      </w:r>
    </w:p>
    <w:p>
      <w:pPr>
        <w:rPr>
          <w:rFonts w:ascii="宋体" w:hAnsi="宋体"/>
          <w:color w:val="auto"/>
          <w:szCs w:val="21"/>
        </w:rPr>
      </w:pPr>
      <w:r>
        <w:rPr>
          <w:rFonts w:hint="eastAsia" w:ascii="宋体" w:hAnsi="宋体"/>
          <w:color w:val="auto"/>
          <w:szCs w:val="21"/>
        </w:rPr>
        <w:t>18.4 投标人应提交参加本次政府采购活动前3年内在经营活动中没有重大违法记录的书面承诺，并作为其投标文件的一部分。</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9.证明投标文件投标技术方案的合格性和符合招标文件规定的文件要求</w:t>
      </w:r>
    </w:p>
    <w:p>
      <w:pPr>
        <w:rPr>
          <w:rFonts w:ascii="宋体" w:hAnsi="宋体"/>
          <w:color w:val="auto"/>
          <w:szCs w:val="21"/>
        </w:rPr>
      </w:pPr>
      <w:r>
        <w:rPr>
          <w:rFonts w:hint="eastAsia" w:ascii="宋体" w:hAnsi="宋体"/>
          <w:color w:val="auto"/>
          <w:szCs w:val="21"/>
        </w:rPr>
        <w:t>19</w:t>
      </w:r>
      <w:r>
        <w:rPr>
          <w:rFonts w:ascii="宋体" w:hAnsi="宋体"/>
          <w:color w:val="auto"/>
          <w:szCs w:val="21"/>
        </w:rPr>
        <w:t xml:space="preserve">.1 </w:t>
      </w:r>
      <w:r>
        <w:rPr>
          <w:rFonts w:hint="eastAsia" w:ascii="宋体" w:hAnsi="宋体"/>
          <w:color w:val="auto"/>
          <w:szCs w:val="21"/>
        </w:rPr>
        <w:t>投标人应提交证明文件证明其投标技术方案项下的货物、工程或服务的合格性符合招标文件规定。该投标技术方案及其证明文件作为投标文件的一部分。</w:t>
      </w:r>
    </w:p>
    <w:p>
      <w:pPr>
        <w:rPr>
          <w:rFonts w:ascii="宋体" w:hAnsi="宋体"/>
          <w:color w:val="auto"/>
          <w:szCs w:val="21"/>
        </w:rPr>
      </w:pPr>
      <w:r>
        <w:rPr>
          <w:rFonts w:ascii="宋体" w:hAnsi="宋体"/>
          <w:color w:val="auto"/>
          <w:szCs w:val="21"/>
        </w:rPr>
        <w:t>1</w:t>
      </w:r>
      <w:r>
        <w:rPr>
          <w:rFonts w:hint="eastAsia" w:ascii="宋体" w:hAnsi="宋体"/>
          <w:color w:val="auto"/>
          <w:szCs w:val="21"/>
        </w:rPr>
        <w:t>9</w:t>
      </w:r>
      <w:r>
        <w:rPr>
          <w:rFonts w:ascii="宋体" w:hAnsi="宋体"/>
          <w:color w:val="auto"/>
          <w:szCs w:val="21"/>
        </w:rPr>
        <w:t xml:space="preserve">.2 </w:t>
      </w:r>
      <w:r>
        <w:rPr>
          <w:rFonts w:hint="eastAsia" w:ascii="宋体" w:hAnsi="宋体"/>
          <w:color w:val="auto"/>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rPr>
          <w:rFonts w:ascii="宋体" w:hAnsi="宋体"/>
          <w:color w:val="auto"/>
          <w:szCs w:val="21"/>
        </w:rPr>
      </w:pPr>
      <w:r>
        <w:rPr>
          <w:rFonts w:hint="eastAsia" w:ascii="宋体" w:hAnsi="宋体"/>
          <w:color w:val="auto"/>
          <w:szCs w:val="21"/>
        </w:rPr>
        <w:t>19.2.1主要技术指标和性能的详细说明。</w:t>
      </w:r>
    </w:p>
    <w:p>
      <w:pPr>
        <w:rPr>
          <w:rFonts w:ascii="宋体" w:hAnsi="宋体"/>
          <w:color w:val="auto"/>
          <w:szCs w:val="21"/>
        </w:rPr>
      </w:pPr>
      <w:r>
        <w:rPr>
          <w:rFonts w:hint="eastAsia" w:ascii="宋体" w:hAnsi="宋体"/>
          <w:color w:val="auto"/>
          <w:szCs w:val="21"/>
        </w:rPr>
        <w:t>19.2.</w:t>
      </w:r>
      <w:r>
        <w:rPr>
          <w:rFonts w:ascii="宋体" w:hAnsi="宋体"/>
          <w:color w:val="auto"/>
          <w:szCs w:val="21"/>
        </w:rPr>
        <w:t>2</w:t>
      </w:r>
      <w:r>
        <w:rPr>
          <w:rFonts w:hint="eastAsia" w:ascii="宋体" w:hAnsi="宋体"/>
          <w:color w:val="auto"/>
          <w:szCs w:val="21"/>
        </w:rPr>
        <w:t>投标产品从采购单位开始使用至招标文件中规定的周期内正常、连续地使用所必须的备件和专用工具清单，包括备件和专用工具的货源及现行价格。</w:t>
      </w:r>
    </w:p>
    <w:p>
      <w:pPr>
        <w:rPr>
          <w:rFonts w:ascii="宋体" w:hAnsi="宋体"/>
          <w:color w:val="auto"/>
          <w:szCs w:val="21"/>
        </w:rPr>
      </w:pPr>
      <w:r>
        <w:rPr>
          <w:rFonts w:hint="eastAsia" w:ascii="宋体" w:hAnsi="宋体"/>
          <w:color w:val="auto"/>
          <w:szCs w:val="21"/>
        </w:rPr>
        <w:t>19.2.</w:t>
      </w:r>
      <w:r>
        <w:rPr>
          <w:rFonts w:ascii="宋体" w:hAnsi="宋体"/>
          <w:color w:val="auto"/>
          <w:szCs w:val="21"/>
        </w:rPr>
        <w:t>3</w:t>
      </w:r>
      <w:r>
        <w:rPr>
          <w:rFonts w:hint="eastAsia" w:ascii="宋体" w:hAnsi="宋体"/>
          <w:color w:val="auto"/>
          <w:szCs w:val="21"/>
        </w:rPr>
        <w:t>对照招标文件技术规格，逐条说明投标技术规格已对采购单位的技术规格做出了实质性的响应，或申明与技术规格条文的偏差和例外。投标人应详细说明投标技术方案中产品的具体参数，不得照搬照抄招标文件的技术要求。</w:t>
      </w:r>
    </w:p>
    <w:p>
      <w:pPr>
        <w:rPr>
          <w:rFonts w:ascii="宋体" w:hAnsi="宋体"/>
          <w:color w:val="auto"/>
          <w:szCs w:val="21"/>
        </w:rPr>
      </w:pPr>
      <w:r>
        <w:rPr>
          <w:rFonts w:hint="eastAsia" w:ascii="宋体" w:hAnsi="宋体"/>
          <w:color w:val="auto"/>
          <w:szCs w:val="21"/>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扫描件，原件备查；</w:t>
      </w:r>
    </w:p>
    <w:p>
      <w:pPr>
        <w:rPr>
          <w:rFonts w:ascii="宋体" w:hAnsi="宋体"/>
          <w:color w:val="auto"/>
          <w:szCs w:val="21"/>
        </w:rPr>
      </w:pPr>
      <w:r>
        <w:rPr>
          <w:rFonts w:hint="eastAsia" w:ascii="宋体" w:hAnsi="宋体"/>
          <w:color w:val="auto"/>
          <w:szCs w:val="21"/>
        </w:rPr>
        <w:t>19.2.5我国政府机构出具的产品检验和核准证件应为证件正面、背面和附件标注的全部具体内容；产品检验和核准证件的尺寸和清晰度应该能够在电脑上被阅读、识别和判断，提供扫描件，原件备查。</w:t>
      </w:r>
    </w:p>
    <w:p>
      <w:pPr>
        <w:rPr>
          <w:rFonts w:ascii="宋体" w:hAnsi="宋体"/>
          <w:color w:val="auto"/>
          <w:szCs w:val="21"/>
        </w:rPr>
      </w:pPr>
      <w:r>
        <w:rPr>
          <w:rFonts w:hint="eastAsia" w:ascii="宋体" w:hAnsi="宋体"/>
          <w:color w:val="auto"/>
          <w:szCs w:val="21"/>
        </w:rPr>
        <w:t>19.3未达到19.2要求提供的，评审委员会有权认定为投标技术方案不合格响应，其相关分数予以扣减或作投标无效处理。</w:t>
      </w:r>
    </w:p>
    <w:p>
      <w:pPr>
        <w:rPr>
          <w:rFonts w:ascii="宋体" w:hAnsi="宋体"/>
          <w:color w:val="auto"/>
          <w:szCs w:val="21"/>
        </w:rPr>
      </w:pPr>
      <w:r>
        <w:rPr>
          <w:rFonts w:hint="eastAsia" w:ascii="宋体" w:hAnsi="宋体"/>
          <w:color w:val="auto"/>
          <w:szCs w:val="21"/>
        </w:rPr>
        <w:t>19.4评审委员会有权对以谋取中标为目的的技术规格模糊响应（如有意照搬照抄招标文件的货物、工程或服务要求）或虚假响应予以认定。供应商上述行为一经发现或查实，除扣分或作投标无效处理外，还可能导致投标保证金不予退还等后果，集中采购机构可视情况报政府采购监督管理部门作进一步处理。</w:t>
      </w:r>
    </w:p>
    <w:p>
      <w:pPr>
        <w:rPr>
          <w:rFonts w:ascii="宋体" w:hAnsi="宋体"/>
          <w:color w:val="auto"/>
          <w:szCs w:val="21"/>
        </w:rPr>
      </w:pPr>
      <w:r>
        <w:rPr>
          <w:rFonts w:ascii="宋体" w:hAnsi="宋体"/>
          <w:color w:val="auto"/>
          <w:szCs w:val="21"/>
        </w:rPr>
        <w:t>1</w:t>
      </w:r>
      <w:r>
        <w:rPr>
          <w:rFonts w:hint="eastAsia" w:ascii="宋体" w:hAnsi="宋体"/>
          <w:color w:val="auto"/>
          <w:szCs w:val="21"/>
        </w:rPr>
        <w:t>9</w:t>
      </w:r>
      <w:r>
        <w:rPr>
          <w:rFonts w:ascii="宋体" w:hAnsi="宋体"/>
          <w:color w:val="auto"/>
          <w:szCs w:val="21"/>
        </w:rPr>
        <w:t>.</w:t>
      </w:r>
      <w:r>
        <w:rPr>
          <w:rFonts w:hint="eastAsia" w:ascii="宋体" w:hAnsi="宋体"/>
          <w:color w:val="auto"/>
          <w:szCs w:val="21"/>
        </w:rPr>
        <w:t>5投标人在阐述上述第19.2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由评审委员会来评判。</w:t>
      </w:r>
    </w:p>
    <w:p>
      <w:pPr>
        <w:rPr>
          <w:rFonts w:ascii="宋体" w:hAnsi="宋体"/>
          <w:color w:val="auto"/>
          <w:szCs w:val="21"/>
        </w:rPr>
      </w:pPr>
      <w:r>
        <w:rPr>
          <w:rFonts w:hint="eastAsia" w:ascii="宋体" w:hAnsi="宋体"/>
          <w:color w:val="auto"/>
          <w:szCs w:val="21"/>
        </w:rPr>
        <w:t>19.6为保证公平公正，除非另有规定或说明，投标人对同一货物、工程或服务投标时，不得同时提供两套或两套以上的投标方案。</w:t>
      </w:r>
    </w:p>
    <w:p>
      <w:pPr>
        <w:rPr>
          <w:rFonts w:ascii="宋体" w:hAnsi="宋体"/>
          <w:b/>
          <w:color w:val="auto"/>
          <w:szCs w:val="21"/>
        </w:rPr>
      </w:pPr>
      <w:r>
        <w:rPr>
          <w:rFonts w:hint="eastAsia" w:ascii="宋体" w:hAnsi="宋体"/>
          <w:b/>
          <w:color w:val="auto"/>
          <w:szCs w:val="21"/>
        </w:rPr>
        <w:t>20.投标文件其他证明文件的要求</w:t>
      </w:r>
    </w:p>
    <w:p>
      <w:pPr>
        <w:rPr>
          <w:rFonts w:ascii="宋体" w:hAnsi="宋体"/>
          <w:color w:val="auto"/>
          <w:szCs w:val="21"/>
        </w:rPr>
      </w:pPr>
      <w:r>
        <w:rPr>
          <w:rFonts w:hint="eastAsia" w:ascii="宋体" w:hAnsi="宋体"/>
          <w:color w:val="auto"/>
          <w:szCs w:val="21"/>
        </w:rPr>
        <w:t>20.1对项目招标文件《评标信息》评分项中涉及的相关业绩、社保情况、银行资信等级和资金流状况等内容以及《投标文件初审表》中涉及的资质证书，投标人应提供相关部门出具的证明材料扫描件，原件备查。有关扫描件的尺寸和清晰度应该能够在电脑上被阅读、识别和判断。若投标人未按要求提供证明材料或提供的是部分证明材料或提供不清晰的扫描件的，评审委员会有权认定其投标文件未对招标文件有关需求进行响应，涉及资格性检查或符合性检查的予以作投标无效处理，涉及《评标信息》打分项的则该项评分予以0分处理。</w:t>
      </w:r>
    </w:p>
    <w:p>
      <w:pPr>
        <w:rPr>
          <w:rFonts w:ascii="宋体" w:hAnsi="宋体"/>
          <w:color w:val="auto"/>
          <w:szCs w:val="21"/>
        </w:rPr>
      </w:pPr>
      <w:r>
        <w:rPr>
          <w:rFonts w:hint="eastAsia" w:ascii="宋体" w:hAnsi="宋体"/>
          <w:color w:val="auto"/>
          <w:szCs w:val="21"/>
        </w:rPr>
        <w:t>20.2本项目涉及提供的有关资质证书，若原有资质证书处于年审期间，投标人提供年审证明的可按原资质投标；若投标人正在申报上一级别资质，在未批准之前，仍按原级别资质投标。</w:t>
      </w:r>
    </w:p>
    <w:p>
      <w:pPr>
        <w:rPr>
          <w:rFonts w:ascii="宋体" w:hAnsi="宋体"/>
          <w:b/>
          <w:color w:val="auto"/>
          <w:szCs w:val="21"/>
        </w:rPr>
      </w:pPr>
      <w:r>
        <w:rPr>
          <w:rFonts w:hint="eastAsia" w:ascii="宋体" w:hAnsi="宋体"/>
          <w:b/>
          <w:color w:val="auto"/>
          <w:szCs w:val="21"/>
        </w:rPr>
        <w:t>21.投标保证金</w:t>
      </w:r>
    </w:p>
    <w:p>
      <w:pPr>
        <w:rPr>
          <w:rFonts w:ascii="宋体" w:hAnsi="宋体"/>
          <w:color w:val="auto"/>
          <w:szCs w:val="21"/>
        </w:rPr>
      </w:pPr>
      <w:r>
        <w:rPr>
          <w:rFonts w:hint="eastAsia" w:ascii="宋体" w:hAnsi="宋体"/>
          <w:color w:val="auto"/>
          <w:szCs w:val="21"/>
        </w:rPr>
        <w:t>21.1 投标保证金的缴纳：</w:t>
      </w:r>
    </w:p>
    <w:p>
      <w:pPr>
        <w:spacing w:after="60"/>
        <w:rPr>
          <w:rFonts w:ascii="宋体" w:hAnsi="宋体"/>
          <w:bCs/>
          <w:color w:val="auto"/>
          <w:szCs w:val="21"/>
        </w:rPr>
      </w:pPr>
      <w:r>
        <w:rPr>
          <w:rFonts w:hint="eastAsia" w:ascii="宋体" w:hAnsi="宋体"/>
          <w:color w:val="auto"/>
          <w:szCs w:val="21"/>
        </w:rPr>
        <w:t>21.1.1（1）根据《深圳市政府采购中心投标（履约）保证金管理办法》，参加本项目投标的供应商须是深圳市政府采购中心注册供应商，并已向深圳市政府采购中心预交了投标保证金，</w:t>
      </w:r>
      <w:r>
        <w:rPr>
          <w:rFonts w:hint="eastAsia" w:ascii="宋体" w:hAnsi="宋体"/>
          <w:bCs/>
          <w:color w:val="auto"/>
          <w:szCs w:val="21"/>
        </w:rPr>
        <w:t>供应商注册办法可查询深圳市政府采购网站（</w:t>
      </w:r>
      <w:r>
        <w:rPr>
          <w:rFonts w:hint="default" w:ascii="宋体" w:hAnsi="宋体"/>
          <w:bCs/>
          <w:color w:val="auto"/>
          <w:szCs w:val="21"/>
          <w:lang w:val="en-US"/>
        </w:rPr>
        <w:t>http://zfcg.szggzy.com:8081/</w:t>
      </w:r>
      <w:r>
        <w:rPr>
          <w:rFonts w:hint="eastAsia" w:ascii="宋体" w:hAnsi="宋体"/>
          <w:bCs/>
          <w:color w:val="auto"/>
          <w:szCs w:val="21"/>
        </w:rPr>
        <w:t>），或拨打咨询电话0755-83938966。</w:t>
      </w:r>
    </w:p>
    <w:p>
      <w:pPr>
        <w:rPr>
          <w:rFonts w:ascii="宋体" w:hAnsi="宋体"/>
          <w:color w:val="auto"/>
          <w:szCs w:val="21"/>
          <w:lang w:val="zh-CN"/>
        </w:rPr>
      </w:pPr>
      <w:r>
        <w:rPr>
          <w:rFonts w:hint="eastAsia" w:ascii="宋体" w:hAnsi="宋体"/>
          <w:color w:val="auto"/>
          <w:szCs w:val="21"/>
          <w:lang w:val="zh-CN"/>
        </w:rPr>
        <w:t>（2）一般项目，投标保证金为一万元；</w:t>
      </w:r>
    </w:p>
    <w:p>
      <w:pPr>
        <w:rPr>
          <w:rFonts w:ascii="宋体" w:hAnsi="宋体"/>
          <w:color w:val="auto"/>
          <w:szCs w:val="21"/>
          <w:lang w:val="zh-CN"/>
        </w:rPr>
      </w:pPr>
      <w:r>
        <w:rPr>
          <w:rFonts w:hint="eastAsia" w:ascii="宋体" w:hAnsi="宋体"/>
          <w:color w:val="auto"/>
          <w:szCs w:val="21"/>
          <w:lang w:val="zh-CN"/>
        </w:rPr>
        <w:t>（3）投标保证金必须在项目开标日前两个工作日到账；</w:t>
      </w:r>
      <w:r>
        <w:rPr>
          <w:rFonts w:hint="eastAsia" w:ascii="宋体" w:hAnsi="宋体"/>
          <w:color w:val="auto"/>
          <w:szCs w:val="21"/>
        </w:rPr>
        <w:t>深圳市政府采购中心</w:t>
      </w:r>
      <w:r>
        <w:rPr>
          <w:rFonts w:hint="eastAsia" w:ascii="宋体" w:hAnsi="宋体"/>
          <w:color w:val="auto"/>
          <w:szCs w:val="21"/>
          <w:lang w:val="zh-CN"/>
        </w:rPr>
        <w:t>将于投标保证金到账后两个工作日内开通“上传投标文件”权限。请供应商根据项目的开标时间，提前安排保证金交纳工作，供应商若因保证金到账太迟，导致无法及时上传标书的，责任自负。</w:t>
      </w:r>
    </w:p>
    <w:p>
      <w:pPr>
        <w:rPr>
          <w:rFonts w:ascii="宋体" w:hAnsi="宋体"/>
          <w:color w:val="auto"/>
          <w:szCs w:val="21"/>
          <w:lang w:val="zh-CN"/>
        </w:rPr>
      </w:pPr>
      <w:r>
        <w:rPr>
          <w:rFonts w:hint="eastAsia" w:ascii="宋体" w:hAnsi="宋体"/>
          <w:color w:val="auto"/>
          <w:szCs w:val="21"/>
          <w:lang w:val="zh-CN"/>
        </w:rPr>
        <w:t>（4）自2013年6月1日起，交纳投标保证金应一律从投标供应商基本账户转出,否则按隐瞒真实情况，提供虚假资料处理。取消现金汇款等交纳方式，禁止个人银行结算账户转出和第三方代交；</w:t>
      </w:r>
    </w:p>
    <w:p>
      <w:pPr>
        <w:rPr>
          <w:rFonts w:ascii="宋体" w:hAnsi="宋体"/>
          <w:color w:val="auto"/>
          <w:szCs w:val="21"/>
        </w:rPr>
      </w:pPr>
      <w:r>
        <w:rPr>
          <w:rFonts w:hint="eastAsia" w:ascii="宋体" w:hAnsi="宋体"/>
          <w:color w:val="auto"/>
          <w:szCs w:val="21"/>
        </w:rPr>
        <w:t>（5）投标供应商只有在深圳市政府采购中心预交或缴纳保证金后才能获取在网上“上传投标文件”的权限。投标供应商必须确认在投标截止时间前已获得“上传投标文件”的权限并成功上传投标文件。</w:t>
      </w:r>
    </w:p>
    <w:p>
      <w:pPr>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6</w:t>
      </w:r>
      <w:r>
        <w:rPr>
          <w:rFonts w:hint="eastAsia" w:ascii="宋体" w:hAnsi="宋体"/>
          <w:color w:val="auto"/>
          <w:szCs w:val="21"/>
          <w:lang w:val="zh-CN"/>
        </w:rPr>
        <w:t>）以上相关要求必须严格遵守，否则，由此造成的后果由供应商自行负责；</w:t>
      </w:r>
    </w:p>
    <w:p>
      <w:pPr>
        <w:rPr>
          <w:rFonts w:ascii="宋体" w:hAnsi="宋体"/>
          <w:color w:val="auto"/>
          <w:szCs w:val="21"/>
        </w:rPr>
      </w:pPr>
      <w:r>
        <w:rPr>
          <w:rFonts w:hint="eastAsia" w:ascii="宋体" w:hAnsi="宋体"/>
          <w:color w:val="auto"/>
          <w:szCs w:val="21"/>
        </w:rPr>
        <w:t>21.1.2 若为重大项目，政府集中采购机构可自行决定另外收取投标保证金，不受21.1.1款限制。</w:t>
      </w:r>
    </w:p>
    <w:p>
      <w:pPr>
        <w:rPr>
          <w:rFonts w:ascii="宋体" w:hAnsi="宋体"/>
          <w:color w:val="auto"/>
          <w:szCs w:val="21"/>
        </w:rPr>
      </w:pPr>
      <w:r>
        <w:rPr>
          <w:rFonts w:hint="eastAsia" w:ascii="宋体" w:hAnsi="宋体"/>
          <w:color w:val="auto"/>
          <w:szCs w:val="21"/>
        </w:rPr>
        <w:t>21.2投标保证金是为了保护政府集中采购机构和采购单位免因投标人的行为而蒙受损失。政府集中采购机构和采购单位因投标人的行为受到损害时可根据本通用条款第21.3款的规定不予退还投标人的投标保证金。</w:t>
      </w:r>
    </w:p>
    <w:p>
      <w:pPr>
        <w:rPr>
          <w:rFonts w:ascii="宋体" w:hAnsi="宋体"/>
          <w:color w:val="auto"/>
          <w:szCs w:val="21"/>
        </w:rPr>
      </w:pPr>
      <w:r>
        <w:rPr>
          <w:rFonts w:hint="eastAsia" w:ascii="宋体" w:hAnsi="宋体"/>
          <w:color w:val="auto"/>
          <w:szCs w:val="21"/>
        </w:rPr>
        <w:t>21.3如下列任何情况发生时，不予退还投标人的投标保证金：</w:t>
      </w:r>
    </w:p>
    <w:p>
      <w:pPr>
        <w:rPr>
          <w:rFonts w:ascii="宋体" w:hAnsi="宋体"/>
          <w:color w:val="auto"/>
          <w:szCs w:val="21"/>
        </w:rPr>
      </w:pPr>
      <w:r>
        <w:rPr>
          <w:rFonts w:hint="eastAsia" w:ascii="宋体" w:hAnsi="宋体"/>
          <w:color w:val="auto"/>
          <w:szCs w:val="21"/>
        </w:rPr>
        <w:t>1）投标人在招标文件中规定的投标有效期内撤回其投标；</w:t>
      </w:r>
    </w:p>
    <w:p>
      <w:pPr>
        <w:rPr>
          <w:rFonts w:ascii="宋体" w:hAnsi="宋体"/>
          <w:color w:val="auto"/>
          <w:szCs w:val="21"/>
        </w:rPr>
      </w:pPr>
      <w:r>
        <w:rPr>
          <w:rFonts w:hint="eastAsia" w:ascii="宋体" w:hAnsi="宋体"/>
          <w:color w:val="auto"/>
          <w:szCs w:val="21"/>
        </w:rPr>
        <w:t>2）中标人在规定期限内未能根据招标文件要求签订合同；</w:t>
      </w:r>
    </w:p>
    <w:p>
      <w:pPr>
        <w:rPr>
          <w:rFonts w:ascii="宋体" w:hAnsi="宋体"/>
          <w:color w:val="auto"/>
          <w:szCs w:val="21"/>
        </w:rPr>
      </w:pPr>
      <w:r>
        <w:rPr>
          <w:rFonts w:hint="eastAsia" w:ascii="宋体" w:hAnsi="宋体"/>
          <w:color w:val="auto"/>
          <w:szCs w:val="21"/>
        </w:rPr>
        <w:t>3）投标人提供虚假投标文件或虚假补充文件；</w:t>
      </w:r>
    </w:p>
    <w:p>
      <w:pPr>
        <w:rPr>
          <w:rFonts w:ascii="宋体" w:hAnsi="宋体"/>
          <w:color w:val="auto"/>
          <w:szCs w:val="21"/>
        </w:rPr>
      </w:pPr>
      <w:r>
        <w:rPr>
          <w:rFonts w:hint="eastAsia" w:ascii="宋体" w:hAnsi="宋体"/>
          <w:color w:val="auto"/>
          <w:szCs w:val="21"/>
        </w:rPr>
        <w:t>4）投标人以谋取中标为目的的技术规格模糊响应（如有意照搬照抄招标文件的技术要求）或虚假响应的；</w:t>
      </w:r>
    </w:p>
    <w:p>
      <w:pPr>
        <w:rPr>
          <w:rFonts w:ascii="宋体" w:hAnsi="宋体"/>
          <w:color w:val="auto"/>
          <w:szCs w:val="21"/>
        </w:rPr>
      </w:pPr>
      <w:r>
        <w:rPr>
          <w:rFonts w:hint="eastAsia" w:ascii="宋体" w:hAnsi="宋体"/>
          <w:color w:val="auto"/>
          <w:szCs w:val="21"/>
        </w:rPr>
        <w:t>5）投标人质疑投诉提供虚假情况。</w:t>
      </w:r>
    </w:p>
    <w:p>
      <w:pPr>
        <w:rPr>
          <w:rFonts w:ascii="宋体" w:hAnsi="宋体"/>
          <w:b/>
          <w:color w:val="auto"/>
          <w:szCs w:val="21"/>
        </w:rPr>
      </w:pPr>
      <w:r>
        <w:rPr>
          <w:rFonts w:hint="eastAsia" w:ascii="宋体" w:hAnsi="宋体"/>
          <w:b/>
          <w:color w:val="auto"/>
          <w:szCs w:val="21"/>
        </w:rPr>
        <w:t>22.投标有效期</w:t>
      </w:r>
    </w:p>
    <w:p>
      <w:pPr>
        <w:rPr>
          <w:rFonts w:ascii="宋体" w:hAnsi="宋体"/>
          <w:color w:val="auto"/>
          <w:szCs w:val="21"/>
        </w:rPr>
      </w:pPr>
      <w:r>
        <w:rPr>
          <w:rFonts w:hint="eastAsia" w:ascii="宋体" w:hAnsi="宋体"/>
          <w:color w:val="auto"/>
          <w:kern w:val="0"/>
          <w:szCs w:val="21"/>
        </w:rPr>
        <w:t>22</w:t>
      </w:r>
      <w:r>
        <w:rPr>
          <w:rFonts w:ascii="宋体" w:hAnsi="宋体"/>
          <w:color w:val="auto"/>
          <w:kern w:val="0"/>
          <w:szCs w:val="21"/>
        </w:rPr>
        <w:t xml:space="preserve">.1 </w:t>
      </w:r>
      <w:r>
        <w:rPr>
          <w:rFonts w:hint="eastAsia" w:ascii="宋体" w:hAnsi="宋体"/>
          <w:color w:val="auto"/>
          <w:szCs w:val="21"/>
        </w:rPr>
        <w:t>在未有特别要求的情况下，投标有效期一律为90个日历日，投标应在规定的投标有效期内保持有效。投标有效期为从投标截止之日算起的日历天数，具体见专用条款中投标有效期的天数要求。在此期限内，所有投标文件均保持有效；</w:t>
      </w:r>
    </w:p>
    <w:p>
      <w:pPr>
        <w:rPr>
          <w:rFonts w:ascii="宋体" w:hAnsi="宋体"/>
          <w:color w:val="auto"/>
          <w:szCs w:val="21"/>
        </w:rPr>
      </w:pPr>
      <w:r>
        <w:rPr>
          <w:rFonts w:hint="eastAsia" w:ascii="宋体" w:hAnsi="宋体"/>
          <w:color w:val="auto"/>
          <w:kern w:val="0"/>
          <w:szCs w:val="21"/>
        </w:rPr>
        <w:t>22.2</w:t>
      </w:r>
      <w:r>
        <w:rPr>
          <w:rFonts w:hint="eastAsia" w:ascii="宋体" w:hAnsi="宋体"/>
          <w:color w:val="auto"/>
          <w:szCs w:val="21"/>
        </w:rPr>
        <w:t>特殊情况下，在原投标有效期截止之前，政府集中采购机构可要求投标人同意延长投标有效期。这种要求与答复均应以书面形式提交。投标人可拒绝政府集中采购机构的这种要求，其投标保证金将不会被没收。接受延长投标有效期的投标人将不会被要求和允许修正其投标，而只会被要求相应地延长其投标保证金的有效期。在这种情况下，通用条款第21条有关投标保证金的退还和没收的规定将在延长了的有效期内继续有效。</w:t>
      </w:r>
    </w:p>
    <w:p>
      <w:pPr>
        <w:rPr>
          <w:rFonts w:ascii="宋体" w:hAnsi="宋体"/>
          <w:color w:val="auto"/>
          <w:szCs w:val="21"/>
        </w:rPr>
      </w:pPr>
      <w:r>
        <w:rPr>
          <w:rFonts w:hint="eastAsia" w:ascii="宋体" w:hAnsi="宋体"/>
          <w:color w:val="auto"/>
          <w:szCs w:val="21"/>
        </w:rPr>
        <w:t>22.3中标单位的投标书有效期，截止于完成本招标文件规定的全部项目内容，并通过竣工验收及保修结束。</w:t>
      </w:r>
    </w:p>
    <w:p>
      <w:pPr>
        <w:rPr>
          <w:rFonts w:ascii="宋体" w:hAnsi="宋体"/>
          <w:color w:val="auto"/>
          <w:szCs w:val="21"/>
        </w:rPr>
      </w:pPr>
      <w:r>
        <w:rPr>
          <w:rFonts w:hint="eastAsia" w:ascii="宋体" w:hAnsi="宋体"/>
          <w:b/>
          <w:color w:val="auto"/>
          <w:szCs w:val="21"/>
        </w:rPr>
        <w:t>23.</w:t>
      </w:r>
      <w:r>
        <w:rPr>
          <w:rFonts w:ascii="宋体" w:hAnsi="宋体"/>
          <w:b/>
          <w:color w:val="auto"/>
          <w:szCs w:val="21"/>
        </w:rPr>
        <w:t>投标文件的书写要求</w:t>
      </w:r>
    </w:p>
    <w:p>
      <w:pPr>
        <w:rPr>
          <w:rFonts w:ascii="宋体" w:hAnsi="宋体"/>
          <w:color w:val="auto"/>
          <w:szCs w:val="21"/>
        </w:rPr>
      </w:pPr>
      <w:r>
        <w:rPr>
          <w:rFonts w:hint="eastAsia" w:ascii="宋体" w:hAnsi="宋体"/>
          <w:color w:val="auto"/>
          <w:szCs w:val="21"/>
        </w:rPr>
        <w:t>23.1投标人应准备所投投标项目的电子投标文件一份。此电子投标文件须由投标人根据招标人提供的后缀名为.zbs的电子采购文件、《投标书编制软件》编制。（要下载安装《投标书编辑软件》及其配套软件，可在深圳市政府采购网右下角“相关软件下载”中下载并安装最新版本的投标书编制软件，须先安装</w:t>
      </w:r>
      <w:r>
        <w:rPr>
          <w:rFonts w:ascii="宋体" w:hAnsi="宋体"/>
          <w:color w:val="auto"/>
          <w:szCs w:val="21"/>
        </w:rPr>
        <w:t xml:space="preserve">Adobe Reader </w:t>
      </w:r>
      <w:r>
        <w:rPr>
          <w:rFonts w:hint="eastAsia" w:ascii="宋体" w:hAnsi="宋体"/>
          <w:color w:val="auto"/>
          <w:szCs w:val="21"/>
        </w:rPr>
        <w:t>9</w:t>
      </w:r>
      <w:r>
        <w:rPr>
          <w:rFonts w:ascii="宋体" w:hAnsi="宋体"/>
          <w:color w:val="auto"/>
          <w:szCs w:val="21"/>
        </w:rPr>
        <w:t>.0</w:t>
      </w:r>
      <w:r>
        <w:rPr>
          <w:rFonts w:hint="eastAsia" w:ascii="宋体" w:hAnsi="宋体"/>
          <w:color w:val="auto"/>
          <w:szCs w:val="21"/>
        </w:rPr>
        <w:t>以上。）</w:t>
      </w:r>
      <w:r>
        <w:rPr>
          <w:rFonts w:hint="eastAsia" w:ascii="宋体" w:hAnsi="宋体" w:cs="Arial"/>
          <w:b/>
          <w:color w:val="auto"/>
          <w:szCs w:val="21"/>
        </w:rPr>
        <w:t>投标人应使用最新版本的投标书编制软件制作投标文件，因投标人未及时更新投标书编制软件造成投标文件出错（如：开标一览表空白，无法正常导入投标书浏览软件等）而导致投标无效的，后果由投标人自负。（请投标人制作投标文件前，在深圳市政府采购网右下角“相关软件下载”中下载并安装最新版本的投标书编制软件，或在打开新版投标书编制软件时按自动升级提示要求安装投标书编制软件至最新版本）</w:t>
      </w:r>
      <w:r>
        <w:rPr>
          <w:rFonts w:hint="eastAsia" w:ascii="宋体" w:hAnsi="宋体"/>
          <w:b/>
          <w:bCs/>
          <w:color w:val="auto"/>
          <w:szCs w:val="21"/>
        </w:rPr>
        <w:t>。</w:t>
      </w:r>
    </w:p>
    <w:p>
      <w:pPr>
        <w:rPr>
          <w:rFonts w:ascii="宋体" w:hAnsi="宋体"/>
          <w:color w:val="auto"/>
          <w:szCs w:val="21"/>
        </w:rPr>
      </w:pPr>
      <w:r>
        <w:rPr>
          <w:rFonts w:hint="eastAsia" w:ascii="宋体" w:hAnsi="宋体"/>
          <w:color w:val="auto"/>
          <w:szCs w:val="21"/>
        </w:rPr>
        <w:t>23.2 投标人在利用《投标书编制软件》编制投标书时须注意：</w:t>
      </w:r>
    </w:p>
    <w:p>
      <w:pPr>
        <w:ind w:firstLine="420" w:firstLineChars="200"/>
        <w:rPr>
          <w:rFonts w:ascii="宋体" w:hAnsi="宋体"/>
          <w:color w:val="auto"/>
          <w:szCs w:val="21"/>
        </w:rPr>
      </w:pPr>
      <w:r>
        <w:rPr>
          <w:rFonts w:hint="eastAsia" w:ascii="宋体" w:hAnsi="宋体"/>
          <w:color w:val="auto"/>
          <w:szCs w:val="21"/>
        </w:rPr>
        <w:t>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color w:val="auto"/>
          <w:szCs w:val="21"/>
        </w:rPr>
      </w:pPr>
      <w:r>
        <w:rPr>
          <w:rFonts w:hint="eastAsia" w:ascii="宋体" w:hAnsi="宋体"/>
          <w:color w:val="auto"/>
          <w:szCs w:val="21"/>
        </w:rPr>
        <w:t>2、不能用非本公司的电子密钥加密本公司的投标文件，或者用其它公司的用户登录上传本公司的投标文件。</w:t>
      </w:r>
    </w:p>
    <w:p>
      <w:pPr>
        <w:ind w:firstLine="420" w:firstLineChars="200"/>
        <w:rPr>
          <w:rFonts w:ascii="宋体" w:hAnsi="宋体"/>
          <w:color w:val="auto"/>
          <w:szCs w:val="21"/>
        </w:rPr>
      </w:pPr>
      <w:r>
        <w:rPr>
          <w:rFonts w:hint="eastAsia" w:ascii="宋体" w:hAnsi="宋体"/>
          <w:color w:val="auto"/>
          <w:szCs w:val="21"/>
        </w:rPr>
        <w:t>3、要求用《投标书编制软件》编制投标书的包，不能用其它方式编制投标书。编制投标文件时，电脑须连通互联网。</w:t>
      </w:r>
    </w:p>
    <w:p>
      <w:pPr>
        <w:ind w:firstLine="420" w:firstLineChars="200"/>
        <w:rPr>
          <w:rFonts w:ascii="宋体" w:hAnsi="宋体"/>
          <w:color w:val="auto"/>
          <w:szCs w:val="21"/>
        </w:rPr>
      </w:pPr>
      <w:r>
        <w:rPr>
          <w:rFonts w:hint="eastAsia" w:ascii="宋体" w:hAnsi="宋体"/>
          <w:color w:val="auto"/>
          <w:szCs w:val="21"/>
        </w:rPr>
        <w:t>4、投标文件不能带病毒。政府集中采购机构将用杀毒软件对投标文件进行病毒检测，如果杀毒软件报告发现病毒，则政府集中采购机构认为该投标文件带病毒。</w:t>
      </w:r>
    </w:p>
    <w:p>
      <w:pPr>
        <w:ind w:firstLine="420" w:firstLineChars="200"/>
        <w:rPr>
          <w:rFonts w:ascii="宋体" w:hAnsi="宋体"/>
          <w:color w:val="auto"/>
          <w:szCs w:val="21"/>
        </w:rPr>
      </w:pPr>
      <w:r>
        <w:rPr>
          <w:rFonts w:hint="eastAsia" w:ascii="宋体" w:hAnsi="宋体"/>
          <w:color w:val="auto"/>
          <w:szCs w:val="21"/>
        </w:rPr>
        <w:t>5、完整填写“投标关键信息”，如下图所示：</w:t>
      </w:r>
    </w:p>
    <w:p>
      <w:pPr>
        <w:jc w:val="center"/>
        <w:rPr>
          <w:rFonts w:ascii="宋体" w:hAnsi="宋体"/>
          <w:color w:val="auto"/>
          <w:szCs w:val="21"/>
        </w:rPr>
      </w:pPr>
      <w:r>
        <w:rPr>
          <w:rFonts w:ascii="宋体" w:hAnsi="宋体"/>
          <w:b/>
          <w:color w:val="auto"/>
          <w:szCs w:val="21"/>
        </w:rPr>
        <w:drawing>
          <wp:inline distT="0" distB="0" distL="114300" distR="114300">
            <wp:extent cx="5275580" cy="35788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5580" cy="3578860"/>
                    </a:xfrm>
                    <a:prstGeom prst="rect">
                      <a:avLst/>
                    </a:prstGeom>
                    <a:noFill/>
                    <a:ln>
                      <a:noFill/>
                    </a:ln>
                  </pic:spPr>
                </pic:pic>
              </a:graphicData>
            </a:graphic>
          </wp:inline>
        </w:drawing>
      </w:r>
    </w:p>
    <w:p>
      <w:pPr>
        <w:rPr>
          <w:rFonts w:ascii="宋体" w:hAnsi="宋体"/>
          <w:b/>
          <w:color w:val="auto"/>
          <w:szCs w:val="21"/>
        </w:rPr>
      </w:pPr>
      <w:r>
        <w:rPr>
          <w:rFonts w:hint="eastAsia" w:ascii="宋体" w:hAnsi="宋体"/>
          <w:b/>
          <w:color w:val="auto"/>
          <w:szCs w:val="21"/>
        </w:rPr>
        <w:tab/>
      </w:r>
      <w:r>
        <w:rPr>
          <w:rFonts w:hint="eastAsia" w:ascii="宋体" w:hAnsi="宋体"/>
          <w:b/>
          <w:color w:val="auto"/>
          <w:szCs w:val="21"/>
        </w:rPr>
        <w:t>如果在投标文件的其它地方有与“投标关键信息”内容相冲突的，以“投标关键信息”为准。</w:t>
      </w:r>
    </w:p>
    <w:p>
      <w:pPr>
        <w:rPr>
          <w:rFonts w:ascii="宋体" w:hAnsi="宋体"/>
          <w:color w:val="auto"/>
          <w:szCs w:val="21"/>
        </w:rPr>
      </w:pPr>
      <w:r>
        <w:rPr>
          <w:rFonts w:hint="eastAsia" w:ascii="宋体" w:hAnsi="宋体"/>
          <w:color w:val="auto"/>
          <w:szCs w:val="21"/>
        </w:rPr>
        <w:tab/>
      </w:r>
      <w:r>
        <w:rPr>
          <w:rFonts w:hint="eastAsia" w:ascii="宋体" w:hAnsi="宋体"/>
          <w:b/>
          <w:color w:val="auto"/>
          <w:szCs w:val="21"/>
        </w:rPr>
        <w:t xml:space="preserve"> 6、投标人在编辑投标文件时，在投标文件目录中属于本节点内容的必须在本节点中填写，填写到其他节点或附件的将可能导致评审委员会对该投标文件作出不利判断或投标无效，一切后果由供应商自行承担。</w:t>
      </w:r>
      <w:r>
        <w:rPr>
          <w:rFonts w:hint="eastAsia" w:ascii="宋体" w:hAnsi="宋体"/>
          <w:color w:val="auto"/>
          <w:szCs w:val="21"/>
        </w:rPr>
        <w:t>填写完投标文件后，要检查每一个章节中图片的清晰程度，如果图片中字体的笔划不连贯，难以辨识的，请及时更换，以确保图片清晰可辨，</w:t>
      </w:r>
      <w:r>
        <w:rPr>
          <w:rFonts w:hint="eastAsia" w:ascii="宋体" w:hAnsi="宋体"/>
          <w:b/>
          <w:color w:val="auto"/>
          <w:szCs w:val="21"/>
        </w:rPr>
        <w:t>无法辨识的图片将可能导致评审委员会对该投标文件作出不利判断或投标无效</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     7、投标书编写完成后，必须用属于本公司的电子密钥进行加密，否则视同未盖公章，将导致投标文件无效。</w:t>
      </w:r>
    </w:p>
    <w:p>
      <w:pPr>
        <w:rPr>
          <w:rFonts w:ascii="宋体" w:hAnsi="宋体"/>
          <w:color w:val="auto"/>
          <w:szCs w:val="21"/>
        </w:rPr>
      </w:pPr>
      <w:r>
        <w:rPr>
          <w:rFonts w:hint="eastAsia" w:ascii="宋体" w:hAnsi="宋体"/>
          <w:color w:val="auto"/>
          <w:szCs w:val="21"/>
        </w:rPr>
        <w:t xml:space="preserve">     8、深圳市光明区公共资源交易中心不接受投标截止时间后递交的纸质、电子、传真等所有形式的投标文件。由于对网上招投标操作不熟悉或自身电脑、网络等原因导致不能在投标截止时间之前上传投标文件，深圳市光明区公共资源交易中心不负任何责任。</w:t>
      </w:r>
      <w:r>
        <w:rPr>
          <w:rFonts w:hint="eastAsia" w:ascii="宋体" w:hAnsi="宋体"/>
          <w:b/>
          <w:color w:val="auto"/>
          <w:szCs w:val="21"/>
        </w:rPr>
        <w:t>建议于开标前一个工作日完成投标文件的制作与上传，如果上传有困难，请及时咨询（电话：0755-88212595）。</w:t>
      </w:r>
    </w:p>
    <w:p>
      <w:pPr>
        <w:rPr>
          <w:rFonts w:ascii="宋体" w:hAnsi="宋体"/>
          <w:color w:val="auto"/>
          <w:szCs w:val="21"/>
        </w:rPr>
      </w:pPr>
      <w:r>
        <w:rPr>
          <w:rFonts w:hint="eastAsia" w:ascii="宋体" w:hAnsi="宋体"/>
          <w:color w:val="auto"/>
          <w:szCs w:val="21"/>
        </w:rPr>
        <w:t xml:space="preserve">     9、如果开标时出现网络故障、技术故障，影响了招投标活动，深圳市光明区公共资源交易中心有权采取措施如延期、接受无法从网上上传的投标书等，以保障招投标活动的公开、公平和公正，投标供应商不得对此持有异议。</w:t>
      </w:r>
    </w:p>
    <w:p>
      <w:pPr>
        <w:rPr>
          <w:rFonts w:ascii="宋体" w:hAnsi="宋体"/>
          <w:b/>
          <w:color w:val="auto"/>
          <w:szCs w:val="21"/>
        </w:rPr>
      </w:pPr>
      <w:r>
        <w:rPr>
          <w:rFonts w:hint="eastAsia" w:ascii="宋体" w:hAnsi="宋体"/>
          <w:b/>
          <w:color w:val="auto"/>
          <w:szCs w:val="21"/>
        </w:rPr>
        <w:t xml:space="preserve">     以上九条，如有违悖，深圳市光明区公共资源交易中心将不接受该投标文件。</w:t>
      </w:r>
    </w:p>
    <w:p>
      <w:pPr>
        <w:rPr>
          <w:rFonts w:ascii="宋体" w:hAnsi="宋体"/>
          <w:color w:val="auto"/>
          <w:szCs w:val="21"/>
        </w:rPr>
      </w:pPr>
      <w:r>
        <w:rPr>
          <w:rFonts w:hint="eastAsia" w:ascii="宋体" w:hAnsi="宋体"/>
          <w:color w:val="auto"/>
          <w:szCs w:val="21"/>
        </w:rPr>
        <w:t>23.3 电报、电话、传真形式的投标概不接受。</w:t>
      </w:r>
    </w:p>
    <w:p>
      <w:pPr>
        <w:rPr>
          <w:rFonts w:ascii="宋体" w:hAnsi="宋体"/>
          <w:color w:val="auto"/>
          <w:szCs w:val="21"/>
        </w:rPr>
      </w:pPr>
      <w:r>
        <w:rPr>
          <w:rFonts w:hint="eastAsia" w:ascii="宋体" w:hAnsi="宋体"/>
          <w:color w:val="auto"/>
          <w:szCs w:val="21"/>
        </w:rPr>
        <w:t>23.4投标文件不用盖章或签字（招标文件另有特殊要求除外），资格证明文件按招标要求提供扫描件。</w:t>
      </w:r>
    </w:p>
    <w:p>
      <w:pPr>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第四章  投标文件的递交</w:t>
      </w:r>
    </w:p>
    <w:p>
      <w:pPr>
        <w:rPr>
          <w:rFonts w:ascii="宋体" w:hAnsi="宋体"/>
          <w:b/>
          <w:color w:val="auto"/>
          <w:szCs w:val="21"/>
        </w:rPr>
      </w:pPr>
      <w:r>
        <w:rPr>
          <w:rFonts w:hint="eastAsia" w:ascii="宋体" w:hAnsi="宋体"/>
          <w:b/>
          <w:color w:val="auto"/>
          <w:szCs w:val="21"/>
        </w:rPr>
        <w:t>24.投标文件的加密</w:t>
      </w:r>
    </w:p>
    <w:p>
      <w:pPr>
        <w:rPr>
          <w:rFonts w:ascii="宋体" w:hAnsi="宋体"/>
          <w:color w:val="auto"/>
          <w:szCs w:val="21"/>
        </w:rPr>
      </w:pPr>
      <w:r>
        <w:rPr>
          <w:rFonts w:hint="eastAsia" w:ascii="宋体" w:hAnsi="宋体"/>
          <w:color w:val="auto"/>
          <w:szCs w:val="21"/>
        </w:rPr>
        <w:t>24</w:t>
      </w:r>
      <w:r>
        <w:rPr>
          <w:rFonts w:ascii="宋体" w:hAnsi="宋体"/>
          <w:color w:val="auto"/>
          <w:szCs w:val="21"/>
        </w:rPr>
        <w:t>.</w:t>
      </w:r>
      <w:r>
        <w:rPr>
          <w:rFonts w:hint="eastAsia" w:ascii="宋体" w:hAnsi="宋体"/>
          <w:color w:val="auto"/>
          <w:szCs w:val="21"/>
        </w:rPr>
        <w:t>1.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hint="eastAsia" w:ascii="宋体" w:hAnsi="宋体"/>
          <w:b/>
          <w:color w:val="auto"/>
          <w:szCs w:val="21"/>
        </w:rPr>
        <w:t>如果误选了非本项目的规则文件导致不能在开标时解密投标文件，该投标文件将被深圳市光明区公共资源交易中心拒绝</w:t>
      </w:r>
      <w:r>
        <w:rPr>
          <w:rFonts w:hint="eastAsia" w:ascii="宋体" w:hAnsi="宋体"/>
          <w:color w:val="auto"/>
          <w:szCs w:val="21"/>
        </w:rPr>
        <w:t>。选取项目加密规则文件的界面如下图所示：</w:t>
      </w:r>
    </w:p>
    <w:p>
      <w:pPr>
        <w:jc w:val="center"/>
        <w:rPr>
          <w:rFonts w:ascii="宋体" w:hAnsi="宋体"/>
          <w:b/>
          <w:color w:val="auto"/>
          <w:szCs w:val="21"/>
        </w:rPr>
      </w:pPr>
      <w:r>
        <w:rPr>
          <w:rFonts w:ascii="宋体" w:hAnsi="宋体"/>
          <w:b/>
          <w:color w:val="auto"/>
          <w:szCs w:val="21"/>
        </w:rPr>
        <w:drawing>
          <wp:inline distT="0" distB="0" distL="114300" distR="114300">
            <wp:extent cx="5320665" cy="3383280"/>
            <wp:effectExtent l="0" t="0" r="1333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320665" cy="3383280"/>
                    </a:xfrm>
                    <a:prstGeom prst="rect">
                      <a:avLst/>
                    </a:prstGeom>
                    <a:noFill/>
                    <a:ln>
                      <a:noFill/>
                    </a:ln>
                  </pic:spPr>
                </pic:pic>
              </a:graphicData>
            </a:graphic>
          </wp:inline>
        </w:drawing>
      </w:r>
    </w:p>
    <w:p>
      <w:pPr>
        <w:spacing w:after="60"/>
        <w:jc w:val="center"/>
        <w:rPr>
          <w:rFonts w:ascii="宋体" w:hAnsi="宋体"/>
          <w:b/>
          <w:color w:val="auto"/>
          <w:szCs w:val="21"/>
        </w:rPr>
      </w:pPr>
      <w:r>
        <w:rPr>
          <w:rFonts w:hint="eastAsia" w:ascii="宋体" w:hAnsi="宋体"/>
          <w:b/>
          <w:color w:val="auto"/>
          <w:szCs w:val="21"/>
        </w:rPr>
        <w:t>（图1：标书加密）</w:t>
      </w:r>
    </w:p>
    <w:p>
      <w:pPr>
        <w:spacing w:after="60"/>
        <w:jc w:val="center"/>
        <w:rPr>
          <w:rFonts w:ascii="宋体" w:hAnsi="宋体"/>
          <w:color w:val="auto"/>
          <w:szCs w:val="21"/>
        </w:rPr>
      </w:pPr>
      <w:r>
        <w:rPr>
          <w:rFonts w:hint="eastAsia" w:ascii="宋体" w:hAnsi="宋体"/>
          <w:color w:val="auto"/>
          <w:szCs w:val="21"/>
        </w:rPr>
        <w:t>点击“开始”按钮进行标书加密，根据软件的提示信息完成标书的加密。</w:t>
      </w:r>
    </w:p>
    <w:p>
      <w:pPr>
        <w:jc w:val="center"/>
        <w:rPr>
          <w:rFonts w:ascii="宋体" w:hAnsi="宋体"/>
          <w:b/>
          <w:color w:val="auto"/>
          <w:szCs w:val="21"/>
        </w:rPr>
      </w:pPr>
      <w:r>
        <w:rPr>
          <w:rFonts w:ascii="宋体" w:hAnsi="宋体" w:cs="宋体"/>
          <w:color w:val="auto"/>
          <w:kern w:val="0"/>
          <w:szCs w:val="21"/>
        </w:rPr>
        <w:drawing>
          <wp:inline distT="0" distB="0" distL="114300" distR="114300">
            <wp:extent cx="5320030" cy="3840480"/>
            <wp:effectExtent l="0" t="0" r="13970"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320030" cy="3840480"/>
                    </a:xfrm>
                    <a:prstGeom prst="rect">
                      <a:avLst/>
                    </a:prstGeom>
                    <a:noFill/>
                    <a:ln>
                      <a:noFill/>
                    </a:ln>
                  </pic:spPr>
                </pic:pic>
              </a:graphicData>
            </a:graphic>
          </wp:inline>
        </w:drawing>
      </w:r>
    </w:p>
    <w:p>
      <w:pPr>
        <w:jc w:val="center"/>
        <w:rPr>
          <w:rFonts w:ascii="宋体" w:hAnsi="宋体"/>
          <w:b/>
          <w:color w:val="auto"/>
          <w:szCs w:val="21"/>
        </w:rPr>
      </w:pPr>
      <w:r>
        <w:rPr>
          <w:rFonts w:hint="eastAsia" w:ascii="宋体" w:hAnsi="宋体"/>
          <w:b/>
          <w:color w:val="auto"/>
          <w:szCs w:val="21"/>
        </w:rPr>
        <w:t>（图2：标书加密成功）</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5投标</w:t>
      </w:r>
    </w:p>
    <w:p>
      <w:pPr>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w:t>
      </w:r>
      <w:r>
        <w:rPr>
          <w:rFonts w:hint="eastAsia" w:ascii="宋体" w:hAnsi="宋体"/>
          <w:color w:val="auto"/>
          <w:szCs w:val="21"/>
        </w:rPr>
        <w:t>网上投标</w:t>
      </w:r>
    </w:p>
    <w:p>
      <w:pPr>
        <w:rPr>
          <w:rFonts w:ascii="宋体" w:hAnsi="宋体"/>
          <w:color w:val="auto"/>
          <w:szCs w:val="21"/>
        </w:rPr>
      </w:pPr>
      <w:r>
        <w:rPr>
          <w:rFonts w:ascii="宋体" w:hAnsi="宋体"/>
          <w:color w:val="auto"/>
          <w:szCs w:val="21"/>
        </w:rPr>
        <w:t>投标人必须</w:t>
      </w:r>
      <w:r>
        <w:rPr>
          <w:rFonts w:hint="eastAsia" w:ascii="宋体" w:hAnsi="宋体"/>
          <w:color w:val="auto"/>
          <w:szCs w:val="21"/>
        </w:rPr>
        <w:t>在</w:t>
      </w:r>
      <w:r>
        <w:rPr>
          <w:rFonts w:ascii="宋体" w:hAnsi="宋体"/>
          <w:color w:val="auto"/>
          <w:szCs w:val="21"/>
        </w:rPr>
        <w:t>采购文件规定的投标截止时间前</w:t>
      </w:r>
      <w:r>
        <w:rPr>
          <w:rFonts w:hint="eastAsia" w:ascii="宋体" w:hAnsi="宋体"/>
          <w:color w:val="auto"/>
          <w:szCs w:val="21"/>
        </w:rPr>
        <w:t>用电子密钥登录“深圳市光明区公共资源交易中心”（gm.szzfcg.cn），用“应标管理”</w:t>
      </w:r>
      <w:r>
        <w:rPr>
          <w:rFonts w:ascii="宋体" w:hAnsi="宋体"/>
          <w:color w:val="auto"/>
          <w:szCs w:val="21"/>
        </w:rPr>
        <w:t>—</w:t>
      </w:r>
      <w:r>
        <w:rPr>
          <w:rFonts w:hint="eastAsia" w:ascii="宋体" w:hAnsi="宋体"/>
          <w:color w:val="auto"/>
          <w:szCs w:val="21"/>
        </w:rPr>
        <w:t>》“上传投标文件”功能点上传投标文件。如果没有该功能点，请用本公司的机构管理员密钥在 “系统维护”</w:t>
      </w:r>
      <w:r>
        <w:rPr>
          <w:rFonts w:ascii="宋体" w:hAnsi="宋体"/>
          <w:color w:val="auto"/>
          <w:szCs w:val="21"/>
        </w:rPr>
        <w:t>—</w:t>
      </w:r>
      <w:r>
        <w:rPr>
          <w:rFonts w:hint="eastAsia" w:ascii="宋体" w:hAnsi="宋体"/>
          <w:color w:val="auto"/>
          <w:szCs w:val="21"/>
        </w:rPr>
        <w:t>》“修改用户权限”中增加该功能点，如果增加不成功，请核查贵公司的投标保证金是否到帐，并在工作日与深圳市政府采购中心联系，联系电话：0755-83948155。如果确有困难，多次上传均告失败，请在投标截止时间之前携带加密后的电子投标文件送达深圳市光明区公共资源交易中心，联系电话：0755-88212595。</w:t>
      </w:r>
    </w:p>
    <w:p>
      <w:pPr>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.2</w:t>
      </w:r>
      <w:r>
        <w:rPr>
          <w:rFonts w:hint="eastAsia" w:ascii="宋体" w:hAnsi="宋体"/>
          <w:color w:val="auto"/>
          <w:szCs w:val="21"/>
        </w:rPr>
        <w:t>深圳市光明区公共资源交易中心可以按通用条款第13条规定，通过修改招标文件自行决定酌情延长投标截止期。在此情况下，深圳市光明区公共资源交易中心、采购单位和投标人受投标截止期制约的所有权利和义务均应延长至新的截止期。在项目延期后，出于投标文件的保密考虑，投标人必须重新加密投标文件，重新上传。</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6.迟交的投标文件</w:t>
      </w:r>
    </w:p>
    <w:p>
      <w:pPr>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.1</w:t>
      </w:r>
      <w:r>
        <w:rPr>
          <w:rFonts w:hint="eastAsia" w:ascii="宋体" w:hAnsi="宋体"/>
          <w:color w:val="auto"/>
          <w:szCs w:val="21"/>
        </w:rPr>
        <w:t>投标截止时间以后不得上传投标文件。</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7.投标文件的修改与撤回</w:t>
      </w:r>
    </w:p>
    <w:p>
      <w:pPr>
        <w:rPr>
          <w:rFonts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w:t>
      </w:r>
      <w:r>
        <w:rPr>
          <w:rFonts w:ascii="宋体" w:hAnsi="宋体"/>
          <w:color w:val="auto"/>
          <w:szCs w:val="21"/>
        </w:rPr>
        <w:t>投标方在提交投标文件后可对其投标文件进行修改</w:t>
      </w:r>
      <w:r>
        <w:rPr>
          <w:rFonts w:hint="eastAsia" w:ascii="宋体" w:hAnsi="宋体"/>
          <w:color w:val="auto"/>
          <w:szCs w:val="21"/>
        </w:rPr>
        <w:t>并重新上传投标文件</w:t>
      </w:r>
      <w:r>
        <w:rPr>
          <w:rFonts w:ascii="宋体" w:hAnsi="宋体"/>
          <w:color w:val="auto"/>
          <w:szCs w:val="21"/>
        </w:rPr>
        <w:t>或</w:t>
      </w:r>
      <w:r>
        <w:rPr>
          <w:rFonts w:hint="eastAsia" w:ascii="宋体" w:hAnsi="宋体"/>
          <w:color w:val="auto"/>
          <w:szCs w:val="21"/>
        </w:rPr>
        <w:t>在网上进行</w:t>
      </w:r>
      <w:r>
        <w:rPr>
          <w:rFonts w:ascii="宋体" w:hAnsi="宋体"/>
          <w:color w:val="auto"/>
          <w:szCs w:val="21"/>
        </w:rPr>
        <w:t>撤销</w:t>
      </w:r>
      <w:r>
        <w:rPr>
          <w:rFonts w:hint="eastAsia" w:ascii="宋体" w:hAnsi="宋体"/>
          <w:color w:val="auto"/>
          <w:szCs w:val="21"/>
        </w:rPr>
        <w:t>投标的操作</w:t>
      </w:r>
      <w:r>
        <w:rPr>
          <w:rFonts w:ascii="宋体" w:hAnsi="宋体"/>
          <w:color w:val="auto"/>
          <w:szCs w:val="21"/>
        </w:rPr>
        <w:t>。</w:t>
      </w:r>
    </w:p>
    <w:p>
      <w:pPr>
        <w:rPr>
          <w:rFonts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2</w:t>
      </w:r>
      <w:r>
        <w:rPr>
          <w:rFonts w:ascii="宋体" w:hAnsi="宋体"/>
          <w:color w:val="auto"/>
          <w:szCs w:val="21"/>
        </w:rPr>
        <w:t>投标截止时间以后不得修改投标文件。</w:t>
      </w:r>
    </w:p>
    <w:p>
      <w:pPr>
        <w:rPr>
          <w:rFonts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3从投标截止期至投标人在投标书格式中确定的投标有效期之间的这段时间内，投标人不得撤回其投标，否则其投标保证金将按照通用条款第21</w:t>
      </w:r>
      <w:r>
        <w:rPr>
          <w:rFonts w:ascii="宋体" w:hAnsi="宋体"/>
          <w:color w:val="auto"/>
          <w:szCs w:val="21"/>
        </w:rPr>
        <w:t>.3</w:t>
      </w:r>
      <w:r>
        <w:rPr>
          <w:rFonts w:hint="eastAsia" w:ascii="宋体" w:hAnsi="宋体"/>
          <w:color w:val="auto"/>
          <w:szCs w:val="21"/>
        </w:rPr>
        <w:t>条的规定不予退还。</w:t>
      </w:r>
    </w:p>
    <w:p>
      <w:pPr>
        <w:rPr>
          <w:rFonts w:ascii="宋体" w:hAnsi="宋体"/>
          <w:color w:val="auto"/>
          <w:szCs w:val="21"/>
        </w:rPr>
      </w:pPr>
      <w:r>
        <w:rPr>
          <w:rFonts w:hint="eastAsia" w:ascii="宋体" w:hAnsi="宋体"/>
          <w:color w:val="auto"/>
          <w:szCs w:val="21"/>
        </w:rPr>
        <w:t>27.4 评审委员会不退还投标文件。</w:t>
      </w:r>
    </w:p>
    <w:p>
      <w:pPr>
        <w:rPr>
          <w:rFonts w:ascii="宋体" w:hAnsi="宋体"/>
          <w:color w:val="auto"/>
          <w:szCs w:val="21"/>
        </w:rPr>
      </w:pPr>
    </w:p>
    <w:p>
      <w:pPr>
        <w:pStyle w:val="6"/>
        <w:rPr>
          <w:rFonts w:ascii="宋体" w:hAnsi="宋体"/>
          <w:b/>
          <w:color w:val="auto"/>
          <w:szCs w:val="24"/>
        </w:rPr>
      </w:pPr>
      <w:bookmarkStart w:id="29" w:name="bt开标与评标"/>
      <w:bookmarkEnd w:id="29"/>
      <w:r>
        <w:rPr>
          <w:rFonts w:hint="eastAsia" w:ascii="宋体" w:hAnsi="宋体"/>
          <w:b/>
          <w:color w:val="auto"/>
          <w:szCs w:val="24"/>
        </w:rPr>
        <w:t>第五章  开标与评标</w:t>
      </w:r>
    </w:p>
    <w:p>
      <w:pPr>
        <w:rPr>
          <w:rFonts w:ascii="宋体" w:hAnsi="宋体"/>
          <w:b/>
          <w:bCs/>
          <w:color w:val="auto"/>
          <w:szCs w:val="21"/>
        </w:rPr>
      </w:pPr>
      <w:r>
        <w:rPr>
          <w:rFonts w:ascii="宋体" w:hAnsi="宋体"/>
          <w:b/>
          <w:bCs/>
          <w:color w:val="auto"/>
          <w:szCs w:val="21"/>
        </w:rPr>
        <w:t>2</w:t>
      </w:r>
      <w:r>
        <w:rPr>
          <w:rFonts w:hint="eastAsia" w:ascii="宋体" w:hAnsi="宋体"/>
          <w:b/>
          <w:bCs/>
          <w:color w:val="auto"/>
          <w:szCs w:val="21"/>
        </w:rPr>
        <w:t>8.开标</w:t>
      </w:r>
    </w:p>
    <w:p>
      <w:pPr>
        <w:rPr>
          <w:rFonts w:ascii="宋体" w:hAnsi="宋体"/>
          <w:color w:val="auto"/>
          <w:szCs w:val="21"/>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1</w:t>
      </w:r>
      <w:r>
        <w:rPr>
          <w:rFonts w:ascii="宋体" w:hAnsi="宋体"/>
          <w:color w:val="auto"/>
          <w:szCs w:val="21"/>
        </w:rPr>
        <w:t>招标人根据采购文件规定的时间、地点</w:t>
      </w:r>
      <w:r>
        <w:rPr>
          <w:rFonts w:hint="eastAsia" w:ascii="宋体" w:hAnsi="宋体"/>
          <w:color w:val="auto"/>
          <w:szCs w:val="21"/>
        </w:rPr>
        <w:t>对投标文件进行解密，开标，并在网上发布开标一览表。</w:t>
      </w:r>
    </w:p>
    <w:p>
      <w:pPr>
        <w:rPr>
          <w:rFonts w:ascii="宋体" w:hAnsi="宋体"/>
          <w:color w:val="auto"/>
          <w:szCs w:val="21"/>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2</w:t>
      </w:r>
      <w:r>
        <w:rPr>
          <w:rFonts w:ascii="宋体" w:hAnsi="宋体"/>
          <w:color w:val="auto"/>
          <w:szCs w:val="21"/>
        </w:rPr>
        <w:t>按照第2</w:t>
      </w:r>
      <w:r>
        <w:rPr>
          <w:rFonts w:hint="eastAsia" w:ascii="宋体" w:hAnsi="宋体"/>
          <w:color w:val="auto"/>
          <w:szCs w:val="21"/>
        </w:rPr>
        <w:t>7.1</w:t>
      </w:r>
      <w:r>
        <w:rPr>
          <w:rFonts w:ascii="宋体" w:hAnsi="宋体"/>
          <w:color w:val="auto"/>
          <w:szCs w:val="21"/>
        </w:rPr>
        <w:t>条规定，</w:t>
      </w:r>
      <w:r>
        <w:rPr>
          <w:rFonts w:hint="eastAsia" w:ascii="宋体" w:hAnsi="宋体"/>
          <w:color w:val="auto"/>
          <w:szCs w:val="21"/>
        </w:rPr>
        <w:t>在网上进行了“</w:t>
      </w:r>
      <w:r>
        <w:rPr>
          <w:rFonts w:ascii="宋体" w:hAnsi="宋体"/>
          <w:color w:val="auto"/>
          <w:szCs w:val="21"/>
        </w:rPr>
        <w:t>撤销</w:t>
      </w:r>
      <w:r>
        <w:rPr>
          <w:rFonts w:hint="eastAsia" w:ascii="宋体" w:hAnsi="宋体"/>
          <w:color w:val="auto"/>
          <w:szCs w:val="21"/>
        </w:rPr>
        <w:t>响应”和“撤标”的操作</w:t>
      </w:r>
      <w:r>
        <w:rPr>
          <w:rFonts w:ascii="宋体" w:hAnsi="宋体"/>
          <w:color w:val="auto"/>
          <w:szCs w:val="21"/>
        </w:rPr>
        <w:t>的投标将不予开封。</w:t>
      </w:r>
    </w:p>
    <w:p>
      <w:pPr>
        <w:rPr>
          <w:rFonts w:ascii="宋体" w:hAnsi="宋体"/>
          <w:color w:val="auto"/>
          <w:szCs w:val="21"/>
        </w:rPr>
      </w:pPr>
      <w:r>
        <w:rPr>
          <w:rFonts w:hint="eastAsia" w:ascii="宋体" w:hAnsi="宋体"/>
          <w:color w:val="auto"/>
          <w:szCs w:val="21"/>
        </w:rPr>
        <w:t>28.3 进行网上投标，当招标人开标后，投标人即可登录“深圳市政府采购网”，用“采购项目查询及管理</w:t>
      </w:r>
      <w:r>
        <w:rPr>
          <w:rFonts w:ascii="宋体" w:hAnsi="宋体"/>
          <w:color w:val="auto"/>
          <w:szCs w:val="21"/>
        </w:rPr>
        <w:sym w:font="Wingdings" w:char="F0E0"/>
      </w:r>
      <w:r>
        <w:rPr>
          <w:rFonts w:hint="eastAsia" w:ascii="宋体" w:hAnsi="宋体"/>
          <w:color w:val="auto"/>
          <w:szCs w:val="21"/>
        </w:rPr>
        <w:t>查看开标一览表</w:t>
      </w:r>
      <w:r>
        <w:rPr>
          <w:rFonts w:ascii="宋体" w:hAnsi="宋体"/>
          <w:color w:val="auto"/>
          <w:szCs w:val="21"/>
        </w:rPr>
        <w:t>”</w:t>
      </w:r>
      <w:r>
        <w:rPr>
          <w:rFonts w:hint="eastAsia" w:ascii="宋体" w:hAnsi="宋体"/>
          <w:color w:val="auto"/>
          <w:szCs w:val="21"/>
        </w:rPr>
        <w:t xml:space="preserve">功能查看开标一览表。  </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9.评审委员会</w:t>
      </w:r>
    </w:p>
    <w:p>
      <w:pPr>
        <w:rPr>
          <w:rFonts w:ascii="宋体" w:hAnsi="宋体"/>
          <w:color w:val="auto"/>
          <w:szCs w:val="21"/>
        </w:rPr>
      </w:pPr>
      <w:r>
        <w:rPr>
          <w:rFonts w:ascii="宋体" w:hAnsi="宋体"/>
          <w:color w:val="auto"/>
          <w:szCs w:val="21"/>
        </w:rPr>
        <w:t>2</w:t>
      </w:r>
      <w:r>
        <w:rPr>
          <w:rFonts w:hint="eastAsia" w:ascii="宋体" w:hAnsi="宋体"/>
          <w:color w:val="auto"/>
          <w:szCs w:val="21"/>
        </w:rPr>
        <w:t>9</w:t>
      </w:r>
      <w:r>
        <w:rPr>
          <w:rFonts w:ascii="宋体" w:hAnsi="宋体"/>
          <w:color w:val="auto"/>
          <w:szCs w:val="21"/>
        </w:rPr>
        <w:t xml:space="preserve">.1 </w:t>
      </w:r>
      <w:r>
        <w:rPr>
          <w:rFonts w:hint="eastAsia" w:ascii="宋体" w:hAnsi="宋体"/>
          <w:color w:val="auto"/>
          <w:szCs w:val="21"/>
        </w:rPr>
        <w:t>网上开标结束后召开评标会议，评审委员会由政府集中采购机构依法组建，负责评标活动。</w:t>
      </w:r>
    </w:p>
    <w:p>
      <w:pPr>
        <w:rPr>
          <w:rFonts w:ascii="宋体" w:hAnsi="宋体"/>
          <w:color w:val="auto"/>
          <w:szCs w:val="21"/>
        </w:rPr>
      </w:pPr>
      <w:r>
        <w:rPr>
          <w:rFonts w:hint="eastAsia" w:ascii="宋体" w:hAnsi="宋体"/>
          <w:color w:val="auto"/>
          <w:szCs w:val="21"/>
        </w:rPr>
        <w:t>依法组成评审委员会，评审委员会由采购单位代表和有关技术、经济等方面的专家组成，成员人数为五人以上单数，其中技术、经济等方面的专家不少于成员总数的三分之二。</w:t>
      </w:r>
    </w:p>
    <w:p>
      <w:pPr>
        <w:rPr>
          <w:rFonts w:ascii="宋体" w:hAnsi="宋体"/>
          <w:color w:val="auto"/>
          <w:szCs w:val="21"/>
        </w:rPr>
      </w:pPr>
      <w:r>
        <w:rPr>
          <w:rFonts w:hint="eastAsia" w:ascii="宋体" w:hAnsi="宋体"/>
          <w:color w:val="auto"/>
          <w:szCs w:val="21"/>
        </w:rPr>
        <w:t>为保证评委人选的专业性，以及评标中的公平公正性，评审委员会成员从深圳市财政委员会评标专家库中或由教育局专家代表中随机抽取。</w:t>
      </w:r>
    </w:p>
    <w:p>
      <w:pPr>
        <w:rPr>
          <w:rFonts w:ascii="宋体" w:hAnsi="宋体"/>
          <w:color w:val="auto"/>
          <w:szCs w:val="21"/>
        </w:rPr>
      </w:pPr>
      <w:r>
        <w:rPr>
          <w:rFonts w:hint="eastAsia" w:ascii="宋体" w:hAnsi="宋体"/>
          <w:color w:val="auto"/>
          <w:szCs w:val="21"/>
        </w:rPr>
        <w:t>采购单位代表持本单位签发的《评标授权书》及身份证明材料参加评标。</w:t>
      </w:r>
    </w:p>
    <w:p>
      <w:pPr>
        <w:rPr>
          <w:rFonts w:ascii="宋体" w:hAnsi="宋体"/>
          <w:color w:val="auto"/>
          <w:szCs w:val="21"/>
        </w:rPr>
      </w:pPr>
      <w:r>
        <w:rPr>
          <w:rFonts w:hint="eastAsia" w:ascii="宋体" w:hAnsi="宋体"/>
          <w:color w:val="auto"/>
          <w:szCs w:val="21"/>
        </w:rPr>
        <w:t>采购单位不派代表参与评标，应在开标前三天提交《采购单位不派评委参与项目评标承诺书》给政府集中采购机构。</w:t>
      </w:r>
    </w:p>
    <w:p>
      <w:pPr>
        <w:rPr>
          <w:rFonts w:ascii="宋体" w:hAnsi="宋体"/>
          <w:bCs/>
          <w:color w:val="auto"/>
          <w:szCs w:val="21"/>
        </w:rPr>
      </w:pPr>
      <w:r>
        <w:rPr>
          <w:rFonts w:hint="eastAsia" w:ascii="宋体" w:hAnsi="宋体"/>
          <w:bCs/>
          <w:color w:val="auto"/>
          <w:szCs w:val="21"/>
        </w:rPr>
        <w:t>29.2评标定标应当遵循公平、公正、科学、择优的原则。</w:t>
      </w:r>
    </w:p>
    <w:p>
      <w:pPr>
        <w:rPr>
          <w:rFonts w:ascii="宋体" w:hAnsi="宋体"/>
          <w:bCs/>
          <w:color w:val="auto"/>
          <w:szCs w:val="21"/>
        </w:rPr>
      </w:pPr>
      <w:r>
        <w:rPr>
          <w:rFonts w:hint="eastAsia" w:ascii="宋体" w:hAnsi="宋体"/>
          <w:bCs/>
          <w:color w:val="auto"/>
          <w:szCs w:val="21"/>
        </w:rPr>
        <w:t>29.3评标活动依法进行，任何单位和个人不得非法干预评标过程和结果。</w:t>
      </w:r>
    </w:p>
    <w:p>
      <w:pPr>
        <w:rPr>
          <w:rFonts w:ascii="宋体" w:hAnsi="宋体"/>
          <w:bCs/>
          <w:color w:val="auto"/>
          <w:szCs w:val="21"/>
        </w:rPr>
      </w:pPr>
      <w:r>
        <w:rPr>
          <w:rFonts w:hint="eastAsia" w:ascii="宋体" w:hAnsi="宋体"/>
          <w:bCs/>
          <w:color w:val="auto"/>
          <w:szCs w:val="21"/>
        </w:rPr>
        <w:t>29.4评标过程中不允许违背评标程序或采用招标文件未载明的评标方法或评标因素进行评标。</w:t>
      </w:r>
    </w:p>
    <w:p>
      <w:pPr>
        <w:rPr>
          <w:rFonts w:ascii="宋体" w:hAnsi="宋体"/>
          <w:bCs/>
          <w:color w:val="auto"/>
          <w:szCs w:val="21"/>
        </w:rPr>
      </w:pPr>
      <w:r>
        <w:rPr>
          <w:rFonts w:hint="eastAsia" w:ascii="宋体" w:hAnsi="宋体"/>
          <w:bCs/>
          <w:color w:val="auto"/>
          <w:szCs w:val="21"/>
        </w:rPr>
        <w:t>29.5凡属于对投标文件的审查、澄清、评价和比较的有关资料以及中标候选人的推荐情况、与评标有关的其他任何情况均严格保密。</w:t>
      </w:r>
    </w:p>
    <w:p>
      <w:pPr>
        <w:rPr>
          <w:rFonts w:ascii="宋体" w:hAnsi="宋体"/>
          <w:b/>
          <w:bCs/>
          <w:color w:val="auto"/>
          <w:szCs w:val="21"/>
        </w:rPr>
      </w:pPr>
      <w:r>
        <w:rPr>
          <w:rFonts w:hint="eastAsia" w:ascii="宋体" w:hAnsi="宋体"/>
          <w:b/>
          <w:bCs/>
          <w:color w:val="auto"/>
          <w:szCs w:val="21"/>
        </w:rPr>
        <w:t>30.向评审委员会提供的资料</w:t>
      </w:r>
    </w:p>
    <w:p>
      <w:pPr>
        <w:rPr>
          <w:rFonts w:ascii="宋体" w:hAnsi="宋体"/>
          <w:bCs/>
          <w:color w:val="auto"/>
          <w:szCs w:val="21"/>
        </w:rPr>
      </w:pPr>
      <w:r>
        <w:rPr>
          <w:rFonts w:hint="eastAsia" w:ascii="宋体" w:hAnsi="宋体"/>
          <w:bCs/>
          <w:color w:val="auto"/>
          <w:szCs w:val="21"/>
        </w:rPr>
        <w:t>30.1公开发布的招标文件，包括图纸、服务清单、答疑文件等；</w:t>
      </w:r>
    </w:p>
    <w:p>
      <w:pPr>
        <w:rPr>
          <w:rFonts w:ascii="宋体" w:hAnsi="宋体"/>
          <w:bCs/>
          <w:color w:val="auto"/>
          <w:szCs w:val="21"/>
        </w:rPr>
      </w:pPr>
      <w:r>
        <w:rPr>
          <w:rFonts w:hint="eastAsia" w:ascii="宋体" w:hAnsi="宋体"/>
          <w:bCs/>
          <w:color w:val="auto"/>
          <w:szCs w:val="21"/>
        </w:rPr>
        <w:t>30.2其他评标必须的资料。</w:t>
      </w:r>
    </w:p>
    <w:p>
      <w:pPr>
        <w:rPr>
          <w:rFonts w:ascii="宋体" w:hAnsi="宋体"/>
          <w:bCs/>
          <w:color w:val="auto"/>
          <w:szCs w:val="21"/>
        </w:rPr>
      </w:pPr>
      <w:r>
        <w:rPr>
          <w:rFonts w:hint="eastAsia" w:ascii="宋体" w:hAnsi="宋体"/>
          <w:bCs/>
          <w:color w:val="auto"/>
          <w:szCs w:val="21"/>
        </w:rPr>
        <w:t>30.3评审委员会应当认真研究招标文件，至少应了解熟悉以下内容：</w:t>
      </w:r>
    </w:p>
    <w:p>
      <w:pPr>
        <w:rPr>
          <w:rFonts w:ascii="宋体" w:hAnsi="宋体"/>
          <w:bCs/>
          <w:color w:val="auto"/>
          <w:szCs w:val="21"/>
        </w:rPr>
      </w:pPr>
      <w:r>
        <w:rPr>
          <w:rFonts w:hint="eastAsia" w:ascii="宋体" w:hAnsi="宋体"/>
          <w:bCs/>
          <w:color w:val="auto"/>
          <w:szCs w:val="21"/>
        </w:rPr>
        <w:t>（1）招标的目的；</w:t>
      </w:r>
    </w:p>
    <w:p>
      <w:pPr>
        <w:rPr>
          <w:rFonts w:ascii="宋体" w:hAnsi="宋体"/>
          <w:bCs/>
          <w:color w:val="auto"/>
          <w:szCs w:val="21"/>
        </w:rPr>
      </w:pPr>
      <w:r>
        <w:rPr>
          <w:rFonts w:hint="eastAsia" w:ascii="宋体" w:hAnsi="宋体"/>
          <w:bCs/>
          <w:color w:val="auto"/>
          <w:szCs w:val="21"/>
        </w:rPr>
        <w:t>（2）招标项目需求的范围和性质；</w:t>
      </w:r>
    </w:p>
    <w:p>
      <w:pPr>
        <w:rPr>
          <w:rFonts w:ascii="宋体" w:hAnsi="宋体"/>
          <w:bCs/>
          <w:color w:val="auto"/>
          <w:szCs w:val="21"/>
        </w:rPr>
      </w:pPr>
      <w:r>
        <w:rPr>
          <w:rFonts w:hint="eastAsia" w:ascii="宋体" w:hAnsi="宋体"/>
          <w:bCs/>
          <w:color w:val="auto"/>
          <w:szCs w:val="21"/>
        </w:rPr>
        <w:t>（3）招标文件规定的投标人的资格、财政预算限额、商务条款；</w:t>
      </w:r>
    </w:p>
    <w:p>
      <w:pPr>
        <w:rPr>
          <w:rFonts w:ascii="宋体" w:hAnsi="宋体"/>
          <w:bCs/>
          <w:color w:val="auto"/>
          <w:szCs w:val="21"/>
        </w:rPr>
      </w:pPr>
      <w:r>
        <w:rPr>
          <w:rFonts w:hint="eastAsia" w:ascii="宋体" w:hAnsi="宋体"/>
          <w:bCs/>
          <w:color w:val="auto"/>
          <w:szCs w:val="21"/>
        </w:rPr>
        <w:t>（4）招标文件规定的评标程序、评标方法和评标因素；</w:t>
      </w:r>
    </w:p>
    <w:p>
      <w:pPr>
        <w:rPr>
          <w:rFonts w:ascii="宋体" w:hAnsi="宋体"/>
          <w:bCs/>
          <w:color w:val="auto"/>
          <w:szCs w:val="21"/>
        </w:rPr>
      </w:pPr>
      <w:r>
        <w:rPr>
          <w:rFonts w:hint="eastAsia" w:ascii="宋体" w:hAnsi="宋体"/>
          <w:bCs/>
          <w:color w:val="auto"/>
          <w:szCs w:val="21"/>
        </w:rPr>
        <w:t>（5）招标文件所列示的投标无效条款。</w:t>
      </w:r>
    </w:p>
    <w:p>
      <w:pPr>
        <w:rPr>
          <w:rFonts w:ascii="宋体" w:hAnsi="宋体"/>
          <w:b/>
          <w:bCs/>
          <w:color w:val="auto"/>
          <w:szCs w:val="21"/>
        </w:rPr>
      </w:pPr>
      <w:r>
        <w:rPr>
          <w:rFonts w:hint="eastAsia" w:ascii="宋体" w:hAnsi="宋体"/>
          <w:b/>
          <w:bCs/>
          <w:color w:val="auto"/>
          <w:szCs w:val="21"/>
        </w:rPr>
        <w:t>31.独立评标</w:t>
      </w:r>
    </w:p>
    <w:p>
      <w:pPr>
        <w:rPr>
          <w:rFonts w:ascii="宋体" w:hAnsi="宋体"/>
          <w:bCs/>
          <w:color w:val="auto"/>
          <w:szCs w:val="21"/>
        </w:rPr>
      </w:pPr>
      <w:r>
        <w:rPr>
          <w:rFonts w:hint="eastAsia" w:ascii="宋体" w:hAnsi="宋体"/>
          <w:bCs/>
          <w:color w:val="auto"/>
          <w:szCs w:val="21"/>
        </w:rPr>
        <w:t>30.1评审委员会成员的评标活动应当独立进行，并应遵循投标文件初审、澄清有关问题、比较与评价、确定中标供应商、编写评标报告的工作程序。</w:t>
      </w:r>
    </w:p>
    <w:p>
      <w:pPr>
        <w:rPr>
          <w:rFonts w:ascii="宋体" w:hAnsi="宋体"/>
          <w:b/>
          <w:bCs/>
          <w:color w:val="auto"/>
          <w:szCs w:val="21"/>
        </w:rPr>
      </w:pPr>
      <w:r>
        <w:rPr>
          <w:rFonts w:hint="eastAsia" w:ascii="宋体" w:hAnsi="宋体"/>
          <w:b/>
          <w:bCs/>
          <w:color w:val="auto"/>
          <w:szCs w:val="21"/>
        </w:rPr>
        <w:t>32.投标文件的澄清</w:t>
      </w:r>
    </w:p>
    <w:p>
      <w:pPr>
        <w:rPr>
          <w:rFonts w:ascii="宋体" w:hAnsi="宋体"/>
          <w:color w:val="auto"/>
          <w:szCs w:val="21"/>
        </w:rPr>
      </w:pPr>
      <w:r>
        <w:rPr>
          <w:rFonts w:hint="eastAsia" w:ascii="宋体" w:hAnsi="宋体"/>
          <w:color w:val="auto"/>
          <w:szCs w:val="21"/>
        </w:rPr>
        <w:t>32</w:t>
      </w:r>
      <w:r>
        <w:rPr>
          <w:rFonts w:ascii="宋体" w:hAnsi="宋体"/>
          <w:color w:val="auto"/>
          <w:szCs w:val="21"/>
        </w:rPr>
        <w:t xml:space="preserve">.1 </w:t>
      </w:r>
      <w:r>
        <w:rPr>
          <w:rFonts w:hint="eastAsia" w:ascii="宋体" w:hAnsi="宋体"/>
          <w:color w:val="auto"/>
          <w:szCs w:val="21"/>
        </w:rPr>
        <w:t>在评标期间，评审委员会可要求投标人对其投标文件进行澄清，但不得寻求、提供或允许对投标价格等实质性内容做任何更改。有关澄清的要求和答复均应以书面形式提交，并加盖公章，或者由法定代表人或其授权的代表签字。</w:t>
      </w:r>
    </w:p>
    <w:p>
      <w:pPr>
        <w:rPr>
          <w:rFonts w:ascii="宋体" w:hAnsi="宋体"/>
          <w:b/>
          <w:bCs/>
          <w:color w:val="auto"/>
          <w:szCs w:val="21"/>
        </w:rPr>
      </w:pPr>
      <w:r>
        <w:rPr>
          <w:rFonts w:hint="eastAsia" w:ascii="宋体" w:hAnsi="宋体"/>
          <w:b/>
          <w:bCs/>
          <w:color w:val="auto"/>
          <w:szCs w:val="21"/>
        </w:rPr>
        <w:t>33.投标文件的初审</w:t>
      </w:r>
    </w:p>
    <w:p>
      <w:pPr>
        <w:rPr>
          <w:rFonts w:ascii="宋体" w:hAnsi="宋体"/>
          <w:color w:val="auto"/>
          <w:szCs w:val="21"/>
        </w:rPr>
      </w:pPr>
      <w:r>
        <w:rPr>
          <w:rFonts w:hint="eastAsia" w:ascii="宋体" w:hAnsi="宋体"/>
          <w:color w:val="auto"/>
          <w:szCs w:val="21"/>
        </w:rPr>
        <w:t>33.1</w:t>
      </w:r>
      <w:r>
        <w:rPr>
          <w:rFonts w:hint="eastAsia" w:ascii="宋体" w:hAnsi="宋体"/>
          <w:b/>
          <w:color w:val="auto"/>
          <w:szCs w:val="21"/>
        </w:rPr>
        <w:t xml:space="preserve"> 投标文件初审包括资格性审查和符合性审查</w:t>
      </w:r>
      <w:r>
        <w:rPr>
          <w:rFonts w:hint="eastAsia" w:ascii="宋体" w:hAnsi="宋体"/>
          <w:color w:val="auto"/>
          <w:szCs w:val="21"/>
        </w:rPr>
        <w:t>。资格性审查：依据法律法规和招标文件的规定，对投标文件中的资格证明、投标保证金等进行审查，以确定投标供应商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rPr>
          <w:rFonts w:ascii="宋体" w:hAnsi="宋体" w:cs="宋体"/>
          <w:color w:val="auto"/>
          <w:szCs w:val="21"/>
          <w:lang w:val="zh-CN"/>
        </w:rPr>
      </w:pPr>
      <w:r>
        <w:rPr>
          <w:rFonts w:hint="eastAsia" w:ascii="宋体" w:hAnsi="宋体" w:cs="宋体"/>
          <w:color w:val="auto"/>
          <w:szCs w:val="21"/>
        </w:rPr>
        <w:t>33</w:t>
      </w:r>
      <w:r>
        <w:rPr>
          <w:rFonts w:ascii="宋体" w:hAnsi="宋体" w:cs="宋体"/>
          <w:color w:val="auto"/>
          <w:szCs w:val="21"/>
          <w:lang w:val="zh-CN"/>
        </w:rPr>
        <w:t>.2</w:t>
      </w:r>
      <w:r>
        <w:rPr>
          <w:rFonts w:hint="eastAsia" w:ascii="宋体" w:hAnsi="宋体" w:cs="宋体"/>
          <w:b/>
          <w:color w:val="auto"/>
          <w:szCs w:val="21"/>
          <w:lang w:val="zh-CN"/>
        </w:rPr>
        <w:t>投标文件报价出现前后不一致、存在明显文字或计算错误的</w:t>
      </w:r>
      <w:r>
        <w:rPr>
          <w:rFonts w:hint="eastAsia" w:ascii="宋体" w:hAnsi="宋体" w:cs="宋体"/>
          <w:color w:val="auto"/>
          <w:szCs w:val="21"/>
          <w:lang w:val="zh-CN"/>
        </w:rPr>
        <w:t>将按以下方法依序更正：</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.2.1</w:t>
      </w:r>
      <w:r>
        <w:rPr>
          <w:rFonts w:hint="eastAsia" w:ascii="宋体" w:hAnsi="宋体" w:cs="宋体"/>
          <w:color w:val="auto"/>
          <w:szCs w:val="21"/>
          <w:lang w:val="zh-CN"/>
        </w:rPr>
        <w:t>若开标一览表中报价与投标价格表中投标总价不一致，以开标一览表报价为准；</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.2.2</w:t>
      </w:r>
      <w:r>
        <w:rPr>
          <w:rFonts w:hint="eastAsia" w:ascii="宋体" w:hAnsi="宋体" w:cs="宋体"/>
          <w:color w:val="auto"/>
          <w:szCs w:val="21"/>
          <w:lang w:val="zh-CN"/>
        </w:rPr>
        <w:t>大写金额和小写金额不一致的，以大写金额为准；</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.2.3</w:t>
      </w:r>
      <w:r>
        <w:rPr>
          <w:rFonts w:hint="eastAsia" w:ascii="宋体" w:hAnsi="宋体" w:cs="宋体"/>
          <w:color w:val="auto"/>
          <w:szCs w:val="21"/>
          <w:lang w:val="zh-CN"/>
        </w:rPr>
        <w:t>单价金额小数点或者百分比有明显错位的，以开标一览表的总价为准，并修改单价；</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.2.4</w:t>
      </w:r>
      <w:r>
        <w:rPr>
          <w:rFonts w:hint="eastAsia" w:ascii="宋体" w:hAnsi="宋体" w:cs="宋体"/>
          <w:color w:val="auto"/>
          <w:szCs w:val="21"/>
          <w:lang w:val="zh-CN"/>
        </w:rPr>
        <w:t>总价金额与按单价汇总金额不一致的，以单价金额计算结果为准。</w:t>
      </w:r>
    </w:p>
    <w:p>
      <w:pPr>
        <w:autoSpaceDE w:val="0"/>
        <w:autoSpaceDN w:val="0"/>
        <w:adjustRightInd w:val="0"/>
        <w:rPr>
          <w:rFonts w:ascii="宋体" w:hAnsi="宋体" w:cs="宋体"/>
          <w:b/>
          <w:color w:val="auto"/>
          <w:szCs w:val="21"/>
          <w:lang w:val="zh-CN"/>
        </w:rPr>
      </w:pPr>
      <w:r>
        <w:rPr>
          <w:rFonts w:hint="eastAsia" w:ascii="宋体" w:hAnsi="宋体" w:cs="宋体"/>
          <w:b/>
          <w:color w:val="auto"/>
          <w:szCs w:val="21"/>
          <w:lang w:val="zh-CN"/>
        </w:rPr>
        <w:t>修正后的报价按照32.1的规定经投标人确认后产生约束力，投标人不确认的，其投标无效。</w:t>
      </w:r>
    </w:p>
    <w:p>
      <w:pPr>
        <w:rPr>
          <w:rFonts w:ascii="宋体" w:hAnsi="宋体"/>
          <w:color w:val="auto"/>
          <w:szCs w:val="21"/>
        </w:rPr>
      </w:pPr>
      <w:r>
        <w:rPr>
          <w:rFonts w:hint="eastAsia" w:ascii="宋体" w:hAnsi="宋体"/>
          <w:color w:val="auto"/>
          <w:szCs w:val="21"/>
        </w:rPr>
        <w:t>33.3资格性审查：依据法律法规和招标文件的规定，对投标文件进行审查，内容</w:t>
      </w:r>
      <w:r>
        <w:rPr>
          <w:rFonts w:hint="eastAsia" w:ascii="宋体" w:hAnsi="宋体"/>
          <w:bCs/>
          <w:color w:val="auto"/>
          <w:szCs w:val="21"/>
        </w:rPr>
        <w:t>详见《关键信息》→《资格性审查表》</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33.4</w:t>
      </w:r>
      <w:r>
        <w:rPr>
          <w:rFonts w:ascii="宋体" w:hAnsi="宋体"/>
          <w:color w:val="auto"/>
          <w:szCs w:val="21"/>
        </w:rPr>
        <w:t>符合性</w:t>
      </w:r>
      <w:r>
        <w:rPr>
          <w:rFonts w:hint="eastAsia" w:ascii="宋体" w:hAnsi="宋体"/>
          <w:color w:val="auto"/>
          <w:szCs w:val="21"/>
        </w:rPr>
        <w:t>审</w:t>
      </w:r>
      <w:r>
        <w:rPr>
          <w:rFonts w:ascii="宋体" w:hAnsi="宋体"/>
          <w:color w:val="auto"/>
          <w:szCs w:val="21"/>
        </w:rPr>
        <w:t>查</w:t>
      </w:r>
      <w:r>
        <w:rPr>
          <w:rFonts w:hint="eastAsia" w:ascii="宋体" w:hAnsi="宋体"/>
          <w:color w:val="auto"/>
          <w:szCs w:val="21"/>
        </w:rPr>
        <w:t>：依据招标文件的规定，从投标文件的有效性、完整性和对招标文件的响应程度进行审查，以确定是否对招标文件的实质性要求作出响应。</w:t>
      </w:r>
      <w:r>
        <w:rPr>
          <w:rFonts w:ascii="宋体" w:hAnsi="宋体"/>
          <w:color w:val="auto"/>
          <w:szCs w:val="21"/>
        </w:rPr>
        <w:t>内容</w:t>
      </w:r>
      <w:r>
        <w:rPr>
          <w:rFonts w:hint="eastAsia" w:ascii="宋体" w:hAnsi="宋体"/>
          <w:bCs/>
          <w:color w:val="auto"/>
          <w:szCs w:val="21"/>
        </w:rPr>
        <w:t>详见《关键信息》→《符合性审查表》。</w:t>
      </w:r>
    </w:p>
    <w:p>
      <w:pPr>
        <w:rPr>
          <w:rFonts w:ascii="宋体" w:hAnsi="宋体"/>
          <w:b/>
          <w:bCs/>
          <w:color w:val="auto"/>
          <w:szCs w:val="21"/>
        </w:rPr>
      </w:pPr>
      <w:r>
        <w:rPr>
          <w:rFonts w:hint="eastAsia" w:ascii="宋体" w:hAnsi="宋体"/>
          <w:b/>
          <w:bCs/>
          <w:color w:val="auto"/>
          <w:szCs w:val="21"/>
        </w:rPr>
        <w:t>注：①《投标文件初审表》的所有条款均为投标无效条款，出现《资格性审查表》、《符合性审查表》中的情形，将导致投标无效，对不属于投标无效条款所列的其它情形，除法律法规另有规定外，不得作为投标无效的理由。</w:t>
      </w:r>
    </w:p>
    <w:p>
      <w:pPr>
        <w:pStyle w:val="181"/>
        <w:shd w:val="clear" w:color="auto" w:fill="FFFFFF"/>
        <w:spacing w:before="0" w:beforeAutospacing="0" w:after="0" w:afterAutospacing="0"/>
        <w:ind w:firstLine="0"/>
        <w:jc w:val="both"/>
        <w:rPr>
          <w:rFonts w:ascii="宋体" w:hAnsi="宋体" w:eastAsia="宋体" w:cs="Times New Roman"/>
          <w:color w:val="auto"/>
        </w:rPr>
      </w:pPr>
      <w:r>
        <w:rPr>
          <w:rFonts w:hint="eastAsia" w:ascii="宋体" w:hAnsi="宋体"/>
          <w:b/>
          <w:bCs/>
          <w:color w:val="auto"/>
        </w:rPr>
        <w:t>②</w:t>
      </w:r>
      <w:r>
        <w:rPr>
          <w:rFonts w:hint="eastAsia" w:ascii="宋体" w:hAnsi="Times New Roman" w:eastAsia="宋体"/>
          <w:b/>
          <w:color w:val="auto"/>
          <w:kern w:val="2"/>
          <w:lang w:val="zh-CN"/>
        </w:rPr>
        <w:t>政府集中采购机构在评标前</w:t>
      </w:r>
      <w:r>
        <w:rPr>
          <w:rFonts w:hint="eastAsia" w:ascii="宋体" w:hAnsi="Times New Roman" w:eastAsia="宋体"/>
          <w:b/>
          <w:color w:val="auto"/>
          <w:kern w:val="2"/>
        </w:rPr>
        <w:t>，</w:t>
      </w:r>
      <w:r>
        <w:rPr>
          <w:rFonts w:hint="eastAsia" w:ascii="宋体" w:hAnsi="Times New Roman" w:eastAsia="宋体"/>
          <w:b/>
          <w:color w:val="auto"/>
          <w:kern w:val="2"/>
          <w:lang w:val="zh-CN"/>
        </w:rPr>
        <w:t>应当在</w:t>
      </w:r>
      <w:r>
        <w:rPr>
          <w:rFonts w:hint="eastAsia" w:ascii="宋体" w:hAnsi="Times New Roman" w:eastAsia="宋体"/>
          <w:b/>
          <w:color w:val="auto"/>
          <w:kern w:val="2"/>
        </w:rPr>
        <w:t>深圳市政府采购网、</w:t>
      </w:r>
      <w:r>
        <w:rPr>
          <w:rFonts w:hint="eastAsia" w:ascii="宋体" w:hAnsi="Times New Roman" w:eastAsia="宋体"/>
          <w:b/>
          <w:color w:val="auto"/>
          <w:kern w:val="2"/>
          <w:lang w:val="zh-CN"/>
        </w:rPr>
        <w:t>深圳市政府采购监管网</w:t>
      </w:r>
      <w:r>
        <w:rPr>
          <w:rFonts w:hint="eastAsia" w:ascii="宋体" w:hAnsi="Times New Roman" w:eastAsia="宋体"/>
          <w:b/>
          <w:color w:val="auto"/>
          <w:kern w:val="2"/>
        </w:rPr>
        <w:t>“</w:t>
      </w:r>
      <w:r>
        <w:rPr>
          <w:rFonts w:hint="eastAsia" w:ascii="宋体" w:hAnsi="Times New Roman" w:eastAsia="宋体"/>
          <w:b/>
          <w:color w:val="auto"/>
          <w:kern w:val="2"/>
          <w:lang w:val="zh-CN"/>
        </w:rPr>
        <w:t>诚信档案</w:t>
      </w:r>
      <w:r>
        <w:rPr>
          <w:rFonts w:hint="eastAsia" w:ascii="宋体" w:hAnsi="Times New Roman" w:eastAsia="宋体"/>
          <w:b/>
          <w:color w:val="auto"/>
          <w:kern w:val="2"/>
        </w:rPr>
        <w:t>”</w:t>
      </w:r>
      <w:r>
        <w:rPr>
          <w:rFonts w:hint="eastAsia" w:ascii="宋体" w:hAnsi="Times New Roman" w:eastAsia="宋体"/>
          <w:b/>
          <w:color w:val="auto"/>
          <w:kern w:val="2"/>
          <w:lang w:val="zh-CN"/>
        </w:rPr>
        <w:t>栏目以及信用中国官网</w:t>
      </w:r>
      <w:r>
        <w:rPr>
          <w:rFonts w:hint="eastAsia" w:ascii="宋体" w:hAnsi="Times New Roman" w:eastAsia="宋体"/>
          <w:b/>
          <w:color w:val="auto"/>
          <w:kern w:val="2"/>
        </w:rPr>
        <w:t>（www.creditchina.gov.cn）</w:t>
      </w:r>
      <w:r>
        <w:rPr>
          <w:rFonts w:hint="eastAsia" w:ascii="宋体" w:hAnsi="Times New Roman" w:eastAsia="宋体"/>
          <w:b/>
          <w:color w:val="auto"/>
          <w:kern w:val="2"/>
          <w:lang w:val="zh-CN"/>
        </w:rPr>
        <w:t>集中查询投标供应商的诚信状况</w:t>
      </w:r>
      <w:r>
        <w:rPr>
          <w:rFonts w:hint="eastAsia" w:ascii="宋体" w:hAnsi="Times New Roman" w:eastAsia="宋体"/>
          <w:b/>
          <w:color w:val="auto"/>
          <w:kern w:val="2"/>
        </w:rPr>
        <w:t>，</w:t>
      </w:r>
      <w:r>
        <w:rPr>
          <w:rFonts w:hint="eastAsia" w:ascii="宋体" w:hAnsi="Times New Roman" w:eastAsia="宋体"/>
          <w:b/>
          <w:color w:val="auto"/>
          <w:kern w:val="2"/>
          <w:lang w:val="zh-CN"/>
        </w:rPr>
        <w:t>并将供应商诚信状况提供给评审委员会</w:t>
      </w:r>
      <w:r>
        <w:rPr>
          <w:rFonts w:hint="eastAsia" w:ascii="宋体" w:hAnsi="Times New Roman" w:eastAsia="宋体"/>
          <w:b/>
          <w:color w:val="auto"/>
          <w:kern w:val="2"/>
        </w:rPr>
        <w:t>，</w:t>
      </w:r>
      <w:r>
        <w:rPr>
          <w:rFonts w:hint="eastAsia" w:ascii="宋体" w:hAnsi="Times New Roman" w:eastAsia="宋体"/>
          <w:b/>
          <w:color w:val="auto"/>
          <w:kern w:val="2"/>
          <w:lang w:val="zh-CN"/>
        </w:rPr>
        <w:t>由评审委员会根据招标文件的规定进行评审。</w:t>
      </w:r>
    </w:p>
    <w:p>
      <w:pPr>
        <w:rPr>
          <w:rFonts w:ascii="宋体" w:hAnsi="宋体"/>
          <w:b/>
          <w:bCs/>
          <w:color w:val="auto"/>
          <w:szCs w:val="21"/>
        </w:rPr>
      </w:pPr>
      <w:r>
        <w:rPr>
          <w:rFonts w:hint="eastAsia" w:ascii="宋体" w:hAnsi="宋体"/>
          <w:b/>
          <w:bCs/>
          <w:color w:val="auto"/>
          <w:szCs w:val="21"/>
        </w:rPr>
        <w:t>34.投标文件的比较与评价</w:t>
      </w:r>
    </w:p>
    <w:p>
      <w:pPr>
        <w:rPr>
          <w:rFonts w:ascii="宋体" w:hAnsi="宋体"/>
          <w:bCs/>
          <w:color w:val="auto"/>
          <w:szCs w:val="21"/>
        </w:rPr>
      </w:pPr>
      <w:r>
        <w:rPr>
          <w:rFonts w:hint="eastAsia" w:ascii="宋体" w:hAnsi="宋体"/>
          <w:bCs/>
          <w:color w:val="auto"/>
          <w:szCs w:val="21"/>
        </w:rPr>
        <w:t>评审委员会将按照《深圳经济特区政府采购条例》及《深圳市政府采购评审委员会和评标方法暂行规定》，参照相关法律、法规、规定，仅对通过资格性审查和符合性审查的投标文件进行综合比较与评价。</w:t>
      </w:r>
    </w:p>
    <w:p>
      <w:pPr>
        <w:rPr>
          <w:rFonts w:ascii="宋体" w:hAnsi="宋体"/>
          <w:b/>
          <w:bCs/>
          <w:color w:val="auto"/>
          <w:szCs w:val="21"/>
        </w:rPr>
      </w:pPr>
      <w:r>
        <w:rPr>
          <w:rFonts w:hint="eastAsia" w:ascii="宋体" w:hAnsi="宋体"/>
          <w:b/>
          <w:bCs/>
          <w:color w:val="auto"/>
          <w:szCs w:val="21"/>
        </w:rPr>
        <w:t>35.实地考察、演示或设备测试</w:t>
      </w:r>
    </w:p>
    <w:p>
      <w:pPr>
        <w:rPr>
          <w:rFonts w:ascii="宋体" w:hAnsi="宋体"/>
          <w:bCs/>
          <w:color w:val="auto"/>
          <w:szCs w:val="21"/>
        </w:rPr>
      </w:pPr>
      <w:r>
        <w:rPr>
          <w:rFonts w:hint="eastAsia" w:ascii="宋体" w:hAnsi="宋体"/>
          <w:bCs/>
          <w:color w:val="auto"/>
          <w:szCs w:val="21"/>
        </w:rPr>
        <w:t>35.1在招标过程中，评审委员会有权决定是否对本项目投标人进行现场勘察或实地考察或检验有关证明材料的原件。投标人应随时做好接受检查的准备。</w:t>
      </w:r>
    </w:p>
    <w:p>
      <w:pPr>
        <w:rPr>
          <w:rFonts w:ascii="宋体" w:hAnsi="宋体"/>
          <w:bCs/>
          <w:color w:val="auto"/>
          <w:szCs w:val="21"/>
        </w:rPr>
      </w:pPr>
      <w:r>
        <w:rPr>
          <w:rFonts w:hint="eastAsia" w:ascii="宋体" w:hAnsi="宋体"/>
          <w:bCs/>
          <w:color w:val="auto"/>
          <w:szCs w:val="21"/>
        </w:rPr>
        <w:t>35.2若招标文件要求进行现场演示或设备测试的，投标人应做好相应准备。</w:t>
      </w:r>
    </w:p>
    <w:p>
      <w:pPr>
        <w:rPr>
          <w:rFonts w:ascii="宋体" w:hAnsi="宋体"/>
          <w:b/>
          <w:bCs/>
          <w:color w:val="auto"/>
          <w:szCs w:val="21"/>
        </w:rPr>
      </w:pPr>
      <w:r>
        <w:rPr>
          <w:rFonts w:hint="eastAsia" w:ascii="宋体" w:hAnsi="宋体"/>
          <w:b/>
          <w:bCs/>
          <w:color w:val="auto"/>
          <w:szCs w:val="21"/>
        </w:rPr>
        <w:t>36.评标方法（本项目具体所采用的评标方法详见 《关键信息》→《评标信息》）</w:t>
      </w:r>
    </w:p>
    <w:p>
      <w:pPr>
        <w:rPr>
          <w:rFonts w:ascii="宋体" w:hAnsi="宋体"/>
          <w:color w:val="auto"/>
          <w:szCs w:val="21"/>
        </w:rPr>
      </w:pPr>
      <w:r>
        <w:rPr>
          <w:rFonts w:hint="eastAsia" w:ascii="宋体" w:hAnsi="宋体"/>
          <w:color w:val="auto"/>
          <w:szCs w:val="21"/>
        </w:rPr>
        <w:t>项目评标方法分为最低价法、综合评分法、定性评审法及法律、法规允许的其它评标办法。</w:t>
      </w:r>
    </w:p>
    <w:p>
      <w:pPr>
        <w:rPr>
          <w:rFonts w:ascii="宋体" w:hAnsi="宋体"/>
          <w:color w:val="auto"/>
          <w:szCs w:val="21"/>
        </w:rPr>
      </w:pPr>
      <w:r>
        <w:rPr>
          <w:rFonts w:hint="eastAsia" w:ascii="宋体" w:hAnsi="宋体"/>
          <w:color w:val="auto"/>
          <w:szCs w:val="21"/>
        </w:rPr>
        <w:t>36.1最低价法</w:t>
      </w:r>
    </w:p>
    <w:p>
      <w:pPr>
        <w:rPr>
          <w:rFonts w:ascii="宋体" w:hAnsi="宋体"/>
          <w:color w:val="auto"/>
          <w:szCs w:val="21"/>
        </w:rPr>
      </w:pPr>
      <w:r>
        <w:rPr>
          <w:rFonts w:hint="eastAsia" w:ascii="宋体" w:hAnsi="宋体"/>
          <w:color w:val="auto"/>
          <w:szCs w:val="21"/>
        </w:rPr>
        <w:t>36.1.1最低价法是指评审委员会按照以下方法对投标文件进行评审：完全满足招标文件的实质性要求，按照报价由低到高的顺序，依据招标文件中规定的数量或者比例推荐候选中标供应商。投标报价相同的，按技术指标优劣顺序排列；投标报价且技术指标相同的，则现场由采购人在开标现场随机抽取决定排名。（</w:t>
      </w:r>
      <w:r>
        <w:rPr>
          <w:rFonts w:hint="eastAsia" w:ascii="宋体" w:hAnsi="宋体"/>
          <w:b/>
          <w:color w:val="auto"/>
          <w:szCs w:val="21"/>
        </w:rPr>
        <w:t>随机抽取程序：</w:t>
      </w:r>
      <w:r>
        <w:rPr>
          <w:rFonts w:hint="eastAsia" w:ascii="宋体" w:hAnsi="宋体"/>
          <w:color w:val="auto"/>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p>
    <w:p>
      <w:pPr>
        <w:rPr>
          <w:rFonts w:ascii="宋体" w:hAnsi="宋体"/>
          <w:color w:val="auto"/>
          <w:szCs w:val="21"/>
        </w:rPr>
      </w:pPr>
      <w:r>
        <w:rPr>
          <w:rFonts w:hint="eastAsia" w:ascii="宋体" w:hAnsi="宋体"/>
          <w:color w:val="auto"/>
          <w:szCs w:val="21"/>
        </w:rPr>
        <w:t>36.1.2 如评审委员会认为，排在前面的供应商的最低投标报价或者某些分项报价明显不合理或者低于成本，有可能影响商品质量和不能诚信履约的，应当要求其在规定的期限内提供书面文件予以解释说明，并提交相关证明材料；供商未能提供合理说明的（是否合理由评审委员会判定），评审委员会可以取消该投标供应商的中标资格，按顺序由排在后面的供应商递补，以此类推。对是否满足实质性要求或报价是否合理或是低于成本，评委会意见不一致时，按少数服从多数原则作出决定。</w:t>
      </w:r>
    </w:p>
    <w:p>
      <w:pPr>
        <w:rPr>
          <w:rFonts w:ascii="宋体" w:hAnsi="宋体"/>
          <w:color w:val="auto"/>
          <w:szCs w:val="21"/>
        </w:rPr>
      </w:pPr>
      <w:r>
        <w:rPr>
          <w:rFonts w:hint="eastAsia" w:ascii="宋体" w:hAnsi="宋体"/>
          <w:color w:val="auto"/>
          <w:szCs w:val="21"/>
        </w:rPr>
        <w:t>36.2综合评分法</w:t>
      </w:r>
    </w:p>
    <w:p>
      <w:pPr>
        <w:rPr>
          <w:rFonts w:ascii="宋体" w:hAnsi="宋体"/>
          <w:color w:val="auto"/>
          <w:szCs w:val="21"/>
        </w:rPr>
      </w:pPr>
      <w:r>
        <w:rPr>
          <w:rFonts w:hint="eastAsia" w:ascii="宋体" w:hAnsi="宋体"/>
          <w:color w:val="auto"/>
          <w:szCs w:val="21"/>
        </w:rPr>
        <w:t>36.2.1综合评分法，是指在最大限度满足招标文件实质性要求前提下，按照招标文件规定的各项因素进行量化打分，以评标总得分最高的投标供应商作为中标候选供应商。得分相同的，按投标报价由低到高排列，报价最低者为中标候选供应商。投标报价相同的，按技术指标优劣顺序排列，技术得分且投标报价相同的，则现场由采购人在开标现场抽签决定排名。（</w:t>
      </w:r>
      <w:r>
        <w:rPr>
          <w:rFonts w:hint="eastAsia" w:ascii="宋体" w:hAnsi="宋体"/>
          <w:b/>
          <w:color w:val="auto"/>
          <w:szCs w:val="21"/>
        </w:rPr>
        <w:t>随机抽取程序：</w:t>
      </w:r>
      <w:r>
        <w:rPr>
          <w:rFonts w:hint="eastAsia" w:ascii="宋体" w:hAnsi="宋体"/>
          <w:color w:val="auto"/>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r>
        <w:rPr>
          <w:rFonts w:ascii="宋体" w:hAnsi="宋体"/>
          <w:color w:val="auto"/>
          <w:szCs w:val="21"/>
        </w:rPr>
        <w:t>）</w:t>
      </w:r>
    </w:p>
    <w:p>
      <w:pPr>
        <w:rPr>
          <w:rFonts w:ascii="宋体" w:hAnsi="宋体"/>
          <w:color w:val="auto"/>
          <w:szCs w:val="21"/>
        </w:rPr>
      </w:pPr>
      <w:r>
        <w:rPr>
          <w:rFonts w:hint="eastAsia" w:ascii="宋体" w:hAnsi="宋体"/>
          <w:color w:val="auto"/>
          <w:szCs w:val="21"/>
        </w:rPr>
        <w:t>36.3定性评审法</w:t>
      </w:r>
    </w:p>
    <w:p>
      <w:pPr>
        <w:rPr>
          <w:rFonts w:ascii="宋体" w:hAnsi="宋体"/>
          <w:color w:val="auto"/>
          <w:szCs w:val="21"/>
        </w:rPr>
      </w:pPr>
      <w:r>
        <w:rPr>
          <w:rFonts w:hint="eastAsia" w:ascii="宋体" w:hAnsi="宋体"/>
          <w:color w:val="auto"/>
          <w:szCs w:val="21"/>
        </w:rPr>
        <w:t>定性评审法是指评审委员会按照以下方法对投标文件进行评审：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rPr>
          <w:rFonts w:ascii="宋体" w:hAnsi="宋体"/>
          <w:color w:val="auto"/>
          <w:szCs w:val="21"/>
        </w:rPr>
      </w:pPr>
      <w:r>
        <w:rPr>
          <w:rFonts w:hint="eastAsia" w:ascii="宋体" w:hAnsi="宋体"/>
          <w:color w:val="auto"/>
          <w:szCs w:val="21"/>
        </w:rPr>
        <w:t>36.4 本项目采用的评标方法见本项目招标文件专用条款的相关内容。</w:t>
      </w:r>
    </w:p>
    <w:p>
      <w:pPr>
        <w:rPr>
          <w:rFonts w:ascii="宋体" w:hAnsi="宋体"/>
          <w:b/>
          <w:bCs/>
          <w:color w:val="auto"/>
          <w:szCs w:val="21"/>
        </w:rPr>
      </w:pPr>
      <w:r>
        <w:rPr>
          <w:rFonts w:hint="eastAsia" w:ascii="宋体" w:hAnsi="宋体"/>
          <w:b/>
          <w:bCs/>
          <w:color w:val="auto"/>
          <w:szCs w:val="21"/>
        </w:rPr>
        <w:t>36.5其它采购方式的采购程序</w:t>
      </w:r>
    </w:p>
    <w:p>
      <w:pPr>
        <w:rPr>
          <w:rFonts w:ascii="宋体" w:hAnsi="宋体"/>
          <w:color w:val="auto"/>
          <w:szCs w:val="21"/>
        </w:rPr>
      </w:pPr>
      <w:r>
        <w:rPr>
          <w:rFonts w:hint="eastAsia" w:ascii="宋体" w:hAnsi="宋体"/>
          <w:color w:val="auto"/>
          <w:szCs w:val="21"/>
        </w:rPr>
        <w:t>36.5.1  同一包号需多个供应商中标的情形</w:t>
      </w:r>
    </w:p>
    <w:p>
      <w:pPr>
        <w:rPr>
          <w:rFonts w:ascii="宋体" w:hAnsi="宋体"/>
          <w:color w:val="auto"/>
          <w:szCs w:val="21"/>
        </w:rPr>
      </w:pPr>
      <w:r>
        <w:rPr>
          <w:rFonts w:hint="eastAsia" w:ascii="宋体" w:hAnsi="宋体"/>
          <w:color w:val="auto"/>
          <w:szCs w:val="21"/>
        </w:rPr>
        <w:t xml:space="preserve">同一包号需多个中标供应商的，应在《专用条款》中作特别说明。评审委员会根据评标方法评审的结果从优到劣进行排序，并按招标文件规定的中标供应商数量择优推荐或确定中标供应商。 </w:t>
      </w:r>
    </w:p>
    <w:p>
      <w:pPr>
        <w:rPr>
          <w:rFonts w:ascii="宋体" w:hAnsi="宋体"/>
          <w:color w:val="auto"/>
          <w:szCs w:val="21"/>
        </w:rPr>
      </w:pPr>
      <w:r>
        <w:rPr>
          <w:rFonts w:hint="eastAsia" w:ascii="宋体" w:hAnsi="宋体"/>
          <w:color w:val="auto"/>
          <w:szCs w:val="21"/>
        </w:rPr>
        <w:t>36.5.2 其它评标方法</w:t>
      </w:r>
    </w:p>
    <w:p>
      <w:pPr>
        <w:rPr>
          <w:rFonts w:ascii="宋体" w:hAnsi="宋体"/>
          <w:color w:val="auto"/>
          <w:szCs w:val="21"/>
        </w:rPr>
      </w:pPr>
      <w:r>
        <w:rPr>
          <w:rFonts w:hint="eastAsia" w:ascii="宋体" w:hAnsi="宋体"/>
          <w:color w:val="auto"/>
          <w:szCs w:val="21"/>
        </w:rPr>
        <w:t>采用上述评标方法以外的评标定标方法的，必须事先征得政府采购主管部门的批准，并在招标文件作特别说明。</w:t>
      </w:r>
    </w:p>
    <w:p>
      <w:pPr>
        <w:rPr>
          <w:rFonts w:ascii="宋体" w:hAnsi="宋体"/>
          <w:b/>
          <w:bCs/>
          <w:color w:val="auto"/>
          <w:szCs w:val="21"/>
        </w:rPr>
      </w:pPr>
      <w:r>
        <w:rPr>
          <w:rFonts w:hint="eastAsia" w:ascii="宋体" w:hAnsi="宋体"/>
          <w:b/>
          <w:bCs/>
          <w:color w:val="auto"/>
          <w:szCs w:val="21"/>
        </w:rPr>
        <w:t>37资格后审</w:t>
      </w:r>
    </w:p>
    <w:p>
      <w:pPr>
        <w:rPr>
          <w:rFonts w:ascii="宋体" w:hAnsi="宋体"/>
          <w:color w:val="auto"/>
          <w:szCs w:val="21"/>
        </w:rPr>
      </w:pPr>
      <w:r>
        <w:rPr>
          <w:rFonts w:hint="eastAsia" w:ascii="宋体" w:hAnsi="宋体"/>
          <w:color w:val="auto"/>
          <w:szCs w:val="21"/>
        </w:rPr>
        <w:t>37</w:t>
      </w:r>
      <w:r>
        <w:rPr>
          <w:rFonts w:ascii="宋体" w:hAnsi="宋体"/>
          <w:color w:val="auto"/>
          <w:szCs w:val="21"/>
        </w:rPr>
        <w:t xml:space="preserve">.1 </w:t>
      </w:r>
      <w:r>
        <w:rPr>
          <w:rFonts w:hint="eastAsia" w:ascii="宋体" w:hAnsi="宋体"/>
          <w:color w:val="auto"/>
          <w:szCs w:val="21"/>
        </w:rPr>
        <w:t>评审委员会保留审查中标供应商投标文件响应及承诺是否与实际一致的权利，包括对中标供应商投标的真实可靠性、规模、人员、场地、货物等方面的核实或现场考察。如发现虚假投标或弄虚作假的，评审委员会将根据相关法律法规确定最终结果。</w:t>
      </w:r>
    </w:p>
    <w:p>
      <w:pPr>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第六章  定标及公示</w:t>
      </w:r>
    </w:p>
    <w:p>
      <w:pPr>
        <w:rPr>
          <w:rFonts w:ascii="宋体" w:hAnsi="宋体"/>
          <w:b/>
          <w:color w:val="auto"/>
          <w:szCs w:val="21"/>
        </w:rPr>
      </w:pPr>
      <w:r>
        <w:rPr>
          <w:rFonts w:hint="eastAsia" w:ascii="宋体" w:hAnsi="宋体"/>
          <w:b/>
          <w:color w:val="auto"/>
          <w:szCs w:val="21"/>
        </w:rPr>
        <w:t>38．定标方法</w:t>
      </w:r>
    </w:p>
    <w:p>
      <w:pPr>
        <w:rPr>
          <w:rFonts w:ascii="宋体" w:hAnsi="宋体"/>
          <w:color w:val="auto"/>
          <w:szCs w:val="21"/>
        </w:rPr>
      </w:pPr>
      <w:r>
        <w:rPr>
          <w:rFonts w:hint="eastAsia" w:ascii="宋体" w:hAnsi="宋体"/>
          <w:color w:val="auto"/>
          <w:szCs w:val="21"/>
        </w:rPr>
        <w:t>38.1采购人授权评审委员会确定中标供应商的，评审委员会依据本项目招标文件及通用条款36条所约定的评标方法进行评审和比较，向政府集中采购机构提交书面评标报告，并根据评标方法比较评价结果从优到劣进行排序，确定中标供应商；</w:t>
      </w:r>
    </w:p>
    <w:p>
      <w:pPr>
        <w:rPr>
          <w:rFonts w:ascii="宋体" w:hAnsi="宋体"/>
          <w:color w:val="auto"/>
          <w:szCs w:val="21"/>
        </w:rPr>
      </w:pPr>
      <w:r>
        <w:rPr>
          <w:rFonts w:hint="eastAsia" w:ascii="宋体" w:hAnsi="宋体"/>
          <w:color w:val="auto"/>
          <w:szCs w:val="21"/>
        </w:rPr>
        <w:t>38.2 采购人采用评定分离方法确定中标供应商的，评审委员会依据本项目招标文件及通用条款36条所约定的评标方法进行评审和比较，向政府集中采购机构提交书面评标报告，并根据评标方法比较评价结果从优到劣进行排序，推荐候选中标供应商；采购人根据招标文件专用条款明确的定标方法在候选中标供应商中确定中标供应商。</w:t>
      </w:r>
    </w:p>
    <w:p>
      <w:pPr>
        <w:rPr>
          <w:rFonts w:ascii="宋体" w:hAnsi="宋体"/>
          <w:b/>
          <w:color w:val="auto"/>
          <w:szCs w:val="21"/>
        </w:rPr>
      </w:pPr>
      <w:r>
        <w:rPr>
          <w:rFonts w:hint="eastAsia" w:ascii="宋体" w:hAnsi="宋体"/>
          <w:b/>
          <w:color w:val="auto"/>
          <w:szCs w:val="21"/>
        </w:rPr>
        <w:t>39．编写评标报告</w:t>
      </w:r>
    </w:p>
    <w:p>
      <w:pPr>
        <w:rPr>
          <w:rFonts w:ascii="宋体" w:hAnsi="宋体"/>
          <w:color w:val="auto"/>
          <w:szCs w:val="21"/>
        </w:rPr>
      </w:pPr>
      <w:r>
        <w:rPr>
          <w:rFonts w:hint="eastAsia" w:ascii="宋体" w:hAnsi="宋体"/>
          <w:color w:val="auto"/>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pPr>
        <w:rPr>
          <w:rFonts w:ascii="宋体" w:hAnsi="宋体"/>
          <w:b/>
          <w:bCs/>
          <w:color w:val="auto"/>
          <w:szCs w:val="21"/>
        </w:rPr>
      </w:pPr>
      <w:r>
        <w:rPr>
          <w:rFonts w:hint="eastAsia" w:ascii="宋体" w:hAnsi="宋体"/>
          <w:b/>
          <w:bCs/>
          <w:color w:val="auto"/>
          <w:szCs w:val="21"/>
        </w:rPr>
        <w:t>40. 中标结果公示</w:t>
      </w:r>
    </w:p>
    <w:p>
      <w:pPr>
        <w:rPr>
          <w:rFonts w:ascii="宋体" w:hAnsi="宋体"/>
          <w:color w:val="auto"/>
          <w:szCs w:val="21"/>
        </w:rPr>
      </w:pPr>
      <w:r>
        <w:rPr>
          <w:rFonts w:hint="eastAsia" w:ascii="宋体" w:hAnsi="宋体"/>
          <w:color w:val="auto"/>
          <w:szCs w:val="21"/>
        </w:rPr>
        <w:t>40.1评标定标结束后，政府集中采购机构和招标人将在“深圳市光明区公共资源交易中心”（gm.szzfcg.cn）上公布中标结果，公示期为三天。若投标人对中标结果有异议，投标人可以用书面形式向深圳市光明区公共资源交易中心提出书面质疑，若中标结果公示之日起五个工作日内未提出质疑，则视为认同中标结果。</w:t>
      </w:r>
    </w:p>
    <w:p>
      <w:pPr>
        <w:rPr>
          <w:rFonts w:ascii="宋体" w:hAnsi="宋体"/>
          <w:color w:val="auto"/>
          <w:szCs w:val="21"/>
        </w:rPr>
      </w:pPr>
      <w:r>
        <w:rPr>
          <w:rFonts w:hint="eastAsia" w:ascii="宋体" w:hAnsi="宋体"/>
          <w:color w:val="auto"/>
          <w:szCs w:val="21"/>
        </w:rPr>
        <w:t>40.2提出质疑的供应商应保证其质疑的真实性和可靠性，并承担相应的法律责任。</w:t>
      </w:r>
    </w:p>
    <w:p>
      <w:pPr>
        <w:rPr>
          <w:rFonts w:ascii="宋体" w:hAnsi="宋体"/>
          <w:color w:val="auto"/>
          <w:szCs w:val="21"/>
        </w:rPr>
      </w:pPr>
    </w:p>
    <w:p>
      <w:pPr>
        <w:pStyle w:val="6"/>
        <w:rPr>
          <w:rFonts w:ascii="宋体" w:hAnsi="宋体"/>
          <w:b/>
          <w:color w:val="auto"/>
          <w:szCs w:val="24"/>
        </w:rPr>
      </w:pPr>
      <w:bookmarkStart w:id="30" w:name="bt授予合同"/>
      <w:bookmarkEnd w:id="30"/>
      <w:r>
        <w:rPr>
          <w:rFonts w:hint="eastAsia" w:ascii="宋体" w:hAnsi="宋体"/>
          <w:b/>
          <w:color w:val="auto"/>
          <w:szCs w:val="24"/>
        </w:rPr>
        <w:t>第七章  公开招标失败的后续处理</w:t>
      </w:r>
    </w:p>
    <w:p>
      <w:pPr>
        <w:rPr>
          <w:rFonts w:ascii="宋体" w:hAnsi="宋体"/>
          <w:b/>
          <w:color w:val="auto"/>
          <w:szCs w:val="21"/>
        </w:rPr>
      </w:pPr>
      <w:r>
        <w:rPr>
          <w:rFonts w:hint="eastAsia" w:ascii="宋体" w:hAnsi="宋体"/>
          <w:b/>
          <w:color w:val="auto"/>
          <w:szCs w:val="21"/>
        </w:rPr>
        <w:t>41．公开招标失败的处理</w:t>
      </w:r>
    </w:p>
    <w:p>
      <w:pPr>
        <w:rPr>
          <w:rFonts w:ascii="宋体" w:hAnsi="宋体"/>
          <w:color w:val="auto"/>
          <w:szCs w:val="21"/>
        </w:rPr>
      </w:pPr>
      <w:r>
        <w:rPr>
          <w:rFonts w:hint="eastAsia" w:ascii="宋体" w:hAnsi="宋体"/>
          <w:color w:val="auto"/>
          <w:szCs w:val="21"/>
        </w:rPr>
        <w:t>41.1本项目公开招标过程中若由于投标截止后实际递交</w:t>
      </w:r>
      <w:r>
        <w:rPr>
          <w:rFonts w:ascii="宋体" w:hAnsi="宋体"/>
          <w:color w:val="auto"/>
          <w:szCs w:val="21"/>
        </w:rPr>
        <w:t>投标</w:t>
      </w:r>
      <w:r>
        <w:rPr>
          <w:rFonts w:hint="eastAsia" w:ascii="宋体" w:hAnsi="宋体"/>
          <w:color w:val="auto"/>
          <w:szCs w:val="21"/>
        </w:rPr>
        <w:t>文件的供应商数量不足、经评审委员会评审对招标文件作实质响应的供应商不足等原因造成公开招标失败，可由政府集中采购机构重新组织采购。</w:t>
      </w:r>
    </w:p>
    <w:p>
      <w:pPr>
        <w:autoSpaceDE w:val="0"/>
        <w:autoSpaceDN w:val="0"/>
        <w:adjustRightInd w:val="0"/>
        <w:jc w:val="left"/>
        <w:rPr>
          <w:rFonts w:ascii="宋体" w:hAnsi="宋体"/>
          <w:color w:val="auto"/>
          <w:szCs w:val="21"/>
        </w:rPr>
      </w:pPr>
      <w:r>
        <w:rPr>
          <w:rFonts w:ascii="宋体" w:hAnsi="宋体"/>
          <w:color w:val="auto"/>
          <w:szCs w:val="21"/>
        </w:rPr>
        <w:t xml:space="preserve">41.2 </w:t>
      </w:r>
      <w:r>
        <w:rPr>
          <w:rFonts w:hint="eastAsia" w:ascii="宋体" w:hAnsi="宋体"/>
          <w:color w:val="auto"/>
          <w:szCs w:val="21"/>
        </w:rPr>
        <w:t>对公开招标失败的项目，评审委员会在出具该项目招标失败结论的同时，提出重新采购组织形式的建议，以及进一步完善招标文件的资格、技术、商务要求的修改建议。</w:t>
      </w:r>
    </w:p>
    <w:p>
      <w:pPr>
        <w:rPr>
          <w:rFonts w:ascii="宋体" w:hAnsi="宋体"/>
          <w:color w:val="auto"/>
          <w:szCs w:val="21"/>
        </w:rPr>
      </w:pPr>
      <w:r>
        <w:rPr>
          <w:rFonts w:hint="eastAsia" w:ascii="宋体" w:hAnsi="宋体"/>
          <w:color w:val="auto"/>
          <w:szCs w:val="21"/>
        </w:rPr>
        <w:t>41.2重新组织采购有以下两种组织形式：</w:t>
      </w:r>
    </w:p>
    <w:p>
      <w:pPr>
        <w:ind w:firstLine="411" w:firstLineChars="196"/>
        <w:rPr>
          <w:rFonts w:ascii="宋体" w:hAnsi="宋体"/>
          <w:color w:val="auto"/>
          <w:szCs w:val="21"/>
        </w:rPr>
      </w:pPr>
      <w:r>
        <w:rPr>
          <w:rFonts w:hint="eastAsia" w:ascii="宋体" w:hAnsi="宋体"/>
          <w:color w:val="auto"/>
          <w:szCs w:val="21"/>
        </w:rPr>
        <w:t>（1）由政府集中采购机构重新组织公开招标；</w:t>
      </w:r>
    </w:p>
    <w:p>
      <w:pPr>
        <w:ind w:firstLine="411" w:firstLineChars="196"/>
        <w:rPr>
          <w:rFonts w:ascii="宋体" w:hAnsi="宋体"/>
          <w:color w:val="auto"/>
          <w:szCs w:val="21"/>
        </w:rPr>
      </w:pPr>
      <w:r>
        <w:rPr>
          <w:rFonts w:hint="eastAsia" w:ascii="宋体" w:hAnsi="宋体"/>
          <w:color w:val="auto"/>
          <w:szCs w:val="21"/>
        </w:rPr>
        <w:t>（2）根据实际情况需要向政府采购监督管理部门提出非公开招标方式申请，经政府采购监督管理部门批准公开招标失败采购项目可转为竞争性谈判或单一来源谈判方式采购。</w:t>
      </w:r>
    </w:p>
    <w:p>
      <w:pPr>
        <w:rPr>
          <w:rFonts w:ascii="宋体" w:hAnsi="宋体"/>
          <w:color w:val="auto"/>
          <w:szCs w:val="21"/>
        </w:rPr>
      </w:pPr>
      <w:r>
        <w:rPr>
          <w:rFonts w:hint="eastAsia" w:ascii="宋体" w:hAnsi="宋体"/>
          <w:color w:val="auto"/>
          <w:szCs w:val="21"/>
        </w:rPr>
        <w:t>41.3公开招标失败的采购项目重新组织公开招标，政府集中采购机构要重新按公开招标流程发布招标公告和招标文件、组成评审委员会等组织采购活动。</w:t>
      </w:r>
    </w:p>
    <w:p>
      <w:pPr>
        <w:rPr>
          <w:rFonts w:ascii="宋体" w:hAnsi="宋体"/>
          <w:color w:val="auto"/>
          <w:szCs w:val="21"/>
        </w:rPr>
      </w:pPr>
      <w:r>
        <w:rPr>
          <w:rFonts w:hint="eastAsia" w:ascii="宋体" w:hAnsi="宋体"/>
          <w:color w:val="auto"/>
          <w:szCs w:val="21"/>
        </w:rPr>
        <w:t>41.4公开招标失败的采购项目经政府采购监督管理部门批准转为竞争性谈判或单一来源谈判方式采购的，可不另行制作谈判应答文件，政府集中采购机构可就原招标文件中资质、技术及评标方法等变动情况向拟谈判对象发出谈判邀请，与原招标文件具同等效力，变动部分以谈判邀请文件为准。</w:t>
      </w:r>
    </w:p>
    <w:p>
      <w:pPr>
        <w:rPr>
          <w:rFonts w:ascii="宋体" w:hAnsi="宋体"/>
          <w:b/>
          <w:color w:val="auto"/>
          <w:szCs w:val="21"/>
        </w:rPr>
      </w:pPr>
      <w:r>
        <w:rPr>
          <w:rFonts w:hint="eastAsia" w:ascii="宋体" w:hAnsi="宋体"/>
          <w:b/>
          <w:color w:val="auto"/>
          <w:szCs w:val="21"/>
        </w:rPr>
        <w:t>42．公开招标失败项目转为竞争性谈判方式采购</w:t>
      </w:r>
    </w:p>
    <w:p>
      <w:pPr>
        <w:rPr>
          <w:rFonts w:ascii="宋体" w:hAnsi="宋体"/>
          <w:color w:val="auto"/>
          <w:szCs w:val="21"/>
        </w:rPr>
      </w:pPr>
      <w:r>
        <w:rPr>
          <w:rFonts w:hint="eastAsia" w:ascii="宋体" w:hAnsi="宋体"/>
          <w:color w:val="auto"/>
          <w:szCs w:val="21"/>
        </w:rPr>
        <w:t>42.1谈判应答文件</w:t>
      </w:r>
    </w:p>
    <w:p>
      <w:pPr>
        <w:rPr>
          <w:rFonts w:ascii="宋体" w:hAnsi="宋体"/>
          <w:color w:val="auto"/>
          <w:szCs w:val="21"/>
        </w:rPr>
      </w:pPr>
      <w:r>
        <w:rPr>
          <w:rFonts w:hint="eastAsia" w:ascii="宋体" w:hAnsi="宋体"/>
          <w:color w:val="auto"/>
          <w:szCs w:val="21"/>
        </w:rPr>
        <w:t>42.1.1公开招标失败后，供应商的投标文件即转为谈判应答文件。</w:t>
      </w:r>
    </w:p>
    <w:p>
      <w:pPr>
        <w:rPr>
          <w:rFonts w:ascii="宋体" w:hAnsi="宋体"/>
          <w:b/>
          <w:color w:val="auto"/>
          <w:szCs w:val="21"/>
        </w:rPr>
      </w:pPr>
      <w:r>
        <w:rPr>
          <w:rFonts w:hint="eastAsia" w:ascii="宋体" w:hAnsi="宋体"/>
          <w:color w:val="auto"/>
          <w:szCs w:val="21"/>
        </w:rPr>
        <w:t>42</w:t>
      </w:r>
      <w:r>
        <w:rPr>
          <w:rFonts w:hint="eastAsia" w:ascii="宋体" w:hAnsi="宋体"/>
          <w:b/>
          <w:color w:val="auto"/>
          <w:szCs w:val="21"/>
        </w:rPr>
        <w:t>.2谈判小组</w:t>
      </w:r>
    </w:p>
    <w:p>
      <w:pPr>
        <w:rPr>
          <w:rFonts w:ascii="宋体" w:hAnsi="宋体"/>
          <w:color w:val="auto"/>
          <w:szCs w:val="21"/>
        </w:rPr>
      </w:pPr>
      <w:r>
        <w:rPr>
          <w:rFonts w:hint="eastAsia" w:ascii="宋体" w:hAnsi="宋体"/>
          <w:color w:val="auto"/>
          <w:szCs w:val="21"/>
        </w:rPr>
        <w:t>42.2.1公开招标失败项目转为竞争性谈判方式采购后，谈判小组成员由采购单位代表和有关专家共3人以上（含3人）的单数组成；其中专家的人数不得少于成员总数的三分之二。</w:t>
      </w:r>
    </w:p>
    <w:p>
      <w:pPr>
        <w:tabs>
          <w:tab w:val="left" w:pos="-1080"/>
        </w:tabs>
        <w:rPr>
          <w:rFonts w:ascii="宋体" w:hAnsi="宋体"/>
          <w:color w:val="auto"/>
          <w:szCs w:val="21"/>
        </w:rPr>
      </w:pPr>
      <w:r>
        <w:rPr>
          <w:rFonts w:hint="eastAsia" w:ascii="宋体" w:hAnsi="宋体"/>
          <w:color w:val="auto"/>
          <w:szCs w:val="21"/>
        </w:rPr>
        <w:t>42.2.2谈判前，谈判小组将对各供应商的谈判应答文件进行审查，</w:t>
      </w:r>
      <w:r>
        <w:rPr>
          <w:rFonts w:hint="eastAsia" w:ascii="宋体" w:hAnsi="宋体"/>
          <w:bCs/>
          <w:color w:val="auto"/>
          <w:szCs w:val="21"/>
        </w:rPr>
        <w:t>当谈判应答文件出现下列情况之一的将视为无效，按投标无效处理，不得进入谈判，</w:t>
      </w:r>
      <w:r>
        <w:rPr>
          <w:rFonts w:hint="eastAsia" w:ascii="宋体" w:hAnsi="宋体"/>
          <w:color w:val="auto"/>
          <w:szCs w:val="21"/>
        </w:rPr>
        <w:t>具体内容见</w:t>
      </w:r>
      <w:r>
        <w:rPr>
          <w:rFonts w:hint="eastAsia" w:ascii="宋体" w:hAnsi="宋体"/>
          <w:bCs/>
          <w:color w:val="auto"/>
          <w:szCs w:val="21"/>
        </w:rPr>
        <w:t>《资格性审查表》和《符合性审查表》</w:t>
      </w:r>
      <w:r>
        <w:rPr>
          <w:rFonts w:hint="eastAsia" w:ascii="宋体" w:hAnsi="宋体"/>
          <w:color w:val="auto"/>
          <w:szCs w:val="21"/>
        </w:rPr>
        <w:t>。</w:t>
      </w:r>
    </w:p>
    <w:p>
      <w:pPr>
        <w:rPr>
          <w:rFonts w:ascii="宋体" w:hAnsi="宋体"/>
          <w:b/>
          <w:color w:val="auto"/>
          <w:szCs w:val="21"/>
        </w:rPr>
      </w:pPr>
      <w:r>
        <w:rPr>
          <w:rFonts w:hint="eastAsia" w:ascii="宋体" w:hAnsi="宋体"/>
          <w:color w:val="auto"/>
          <w:szCs w:val="21"/>
        </w:rPr>
        <w:t>42</w:t>
      </w:r>
      <w:r>
        <w:rPr>
          <w:rFonts w:hint="eastAsia" w:ascii="宋体" w:hAnsi="宋体"/>
          <w:b/>
          <w:color w:val="auto"/>
          <w:szCs w:val="21"/>
        </w:rPr>
        <w:t>.3谈判程序</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1谈判小组主持人宣布谈判规则和谈判纪律。</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2在谈判中，谈判小组将就以下谈判内容跟供应商进行谈判：</w:t>
      </w:r>
    </w:p>
    <w:p>
      <w:pPr>
        <w:ind w:firstLine="411" w:firstLineChars="196"/>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）投标价格；</w:t>
      </w:r>
    </w:p>
    <w:p>
      <w:pPr>
        <w:ind w:firstLine="411" w:firstLineChars="196"/>
        <w:rPr>
          <w:rFonts w:ascii="宋体" w:hAnsi="宋体"/>
          <w:color w:val="auto"/>
          <w:szCs w:val="21"/>
        </w:rPr>
      </w:pPr>
      <w:r>
        <w:rPr>
          <w:rFonts w:hint="eastAsia" w:ascii="宋体" w:hAnsi="宋体"/>
          <w:color w:val="auto"/>
          <w:szCs w:val="21"/>
        </w:rPr>
        <w:t>（2）项目实施方案；</w:t>
      </w:r>
    </w:p>
    <w:p>
      <w:pPr>
        <w:ind w:firstLine="411" w:firstLineChars="196"/>
        <w:rPr>
          <w:rFonts w:ascii="宋体" w:hAnsi="宋体"/>
          <w:color w:val="auto"/>
          <w:szCs w:val="21"/>
        </w:rPr>
      </w:pPr>
      <w:r>
        <w:rPr>
          <w:rFonts w:hint="eastAsia" w:ascii="宋体" w:hAnsi="宋体"/>
          <w:color w:val="auto"/>
          <w:szCs w:val="21"/>
        </w:rPr>
        <w:t>（3）售后服务方案；</w:t>
      </w:r>
    </w:p>
    <w:p>
      <w:pPr>
        <w:ind w:firstLine="411" w:firstLineChars="196"/>
        <w:rPr>
          <w:rFonts w:ascii="宋体" w:hAnsi="宋体"/>
          <w:color w:val="auto"/>
          <w:szCs w:val="21"/>
        </w:rPr>
      </w:pPr>
      <w:r>
        <w:rPr>
          <w:rFonts w:hint="eastAsia" w:ascii="宋体" w:hAnsi="宋体"/>
          <w:color w:val="auto"/>
          <w:szCs w:val="21"/>
        </w:rPr>
        <w:t>（4）其它相关事项。</w:t>
      </w:r>
    </w:p>
    <w:p>
      <w:pPr>
        <w:ind w:firstLine="411" w:firstLineChars="196"/>
        <w:rPr>
          <w:rFonts w:ascii="宋体" w:hAnsi="宋体"/>
          <w:color w:val="auto"/>
          <w:szCs w:val="21"/>
        </w:rPr>
      </w:pPr>
      <w:r>
        <w:rPr>
          <w:rFonts w:hint="eastAsia" w:ascii="宋体" w:hAnsi="宋体"/>
          <w:color w:val="auto"/>
          <w:szCs w:val="21"/>
        </w:rPr>
        <w:t>原招标文件或谈判邀请文件有实质性变动的，谈判小组应当通过政府集中采购机构通知所有参加谈判的供应商。</w:t>
      </w:r>
    </w:p>
    <w:p>
      <w:pPr>
        <w:rPr>
          <w:rFonts w:ascii="宋体" w:hAnsi="宋体"/>
          <w:color w:val="auto"/>
          <w:szCs w:val="21"/>
        </w:rPr>
      </w:pPr>
      <w:r>
        <w:rPr>
          <w:rFonts w:hint="eastAsia" w:ascii="宋体" w:hAnsi="宋体"/>
          <w:color w:val="auto"/>
          <w:szCs w:val="21"/>
        </w:rPr>
        <w:t>42.3.3谈判小组可以用书面形式要求各供应商对其谈判应答文件含义不明确的内容作必要的澄清或者说明，供应商应主要以书面形式进行澄清、说明。</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4 允许供应商在谈判结束之前根据谈判小组提出的内容进行澄清、修改或完善，以及对项目方案进行相应的调整。</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5供应商对谈判应答文件进行修改，都应形成文字材料，并经供应商谈判授权人签字认可。</w:t>
      </w:r>
    </w:p>
    <w:p>
      <w:pPr>
        <w:rPr>
          <w:rFonts w:ascii="宋体" w:hAnsi="宋体"/>
          <w:color w:val="auto"/>
          <w:szCs w:val="21"/>
        </w:rPr>
      </w:pPr>
      <w:r>
        <w:rPr>
          <w:rFonts w:hint="eastAsia" w:ascii="宋体" w:hAnsi="宋体"/>
          <w:color w:val="auto"/>
          <w:szCs w:val="21"/>
        </w:rPr>
        <w:t>42.3.6谈判小组所有成员集中与单一供应商分别进行谈判。在谈判中，谈判的任何一方不得透露与谈判有关的其它供应商的技术资料、价格或者其他信息；参加谈判的供应商有三次更改机会；供应商应在规定的时间内提出最后更改及书面承诺。</w:t>
      </w:r>
    </w:p>
    <w:p>
      <w:pPr>
        <w:rPr>
          <w:rFonts w:ascii="宋体" w:hAnsi="宋体"/>
          <w:color w:val="auto"/>
          <w:szCs w:val="21"/>
        </w:rPr>
      </w:pPr>
      <w:r>
        <w:rPr>
          <w:rFonts w:hint="eastAsia" w:ascii="宋体" w:hAnsi="宋体"/>
          <w:color w:val="auto"/>
          <w:szCs w:val="21"/>
        </w:rPr>
        <w:t>42.3.7有下列情形之一的，该供应商的谈判结果作投标无效处理，具体内容见</w:t>
      </w:r>
      <w:r>
        <w:rPr>
          <w:rFonts w:hint="eastAsia" w:ascii="宋体" w:hAnsi="宋体"/>
          <w:bCs/>
          <w:color w:val="auto"/>
          <w:szCs w:val="21"/>
        </w:rPr>
        <w:t>《资格性审查表》和《符合性审查表》</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8谈判结束后，谈判小组根据供应商提供的谈判应答文件、谈判过程中产生的相关资料，对供应商谈判应答文件进行评估与比较，提出书面评审意见。</w:t>
      </w:r>
    </w:p>
    <w:p>
      <w:pPr>
        <w:rPr>
          <w:rFonts w:ascii="宋体" w:hAnsi="宋体"/>
          <w:color w:val="auto"/>
          <w:szCs w:val="21"/>
        </w:rPr>
      </w:pPr>
      <w:r>
        <w:rPr>
          <w:rFonts w:hint="eastAsia" w:ascii="宋体" w:hAnsi="宋体"/>
          <w:color w:val="auto"/>
          <w:szCs w:val="21"/>
        </w:rPr>
        <w:t>42.3.9谈判小组将对谈判过程进行记录，以存档备查。</w:t>
      </w:r>
    </w:p>
    <w:p>
      <w:pPr>
        <w:rPr>
          <w:rFonts w:ascii="宋体" w:hAnsi="宋体"/>
          <w:b/>
          <w:color w:val="auto"/>
          <w:szCs w:val="21"/>
        </w:rPr>
      </w:pPr>
      <w:r>
        <w:rPr>
          <w:rFonts w:hint="eastAsia" w:ascii="宋体" w:hAnsi="宋体"/>
          <w:color w:val="auto"/>
          <w:szCs w:val="21"/>
        </w:rPr>
        <w:t>42</w:t>
      </w:r>
      <w:r>
        <w:rPr>
          <w:rFonts w:hint="eastAsia" w:ascii="宋体" w:hAnsi="宋体"/>
          <w:b/>
          <w:color w:val="auto"/>
          <w:szCs w:val="21"/>
        </w:rPr>
        <w:t>.4评标方法和定标原则</w:t>
      </w:r>
    </w:p>
    <w:p>
      <w:pPr>
        <w:tabs>
          <w:tab w:val="left" w:pos="-1080"/>
        </w:tabs>
        <w:rPr>
          <w:rFonts w:ascii="宋体" w:hAnsi="宋体"/>
          <w:color w:val="auto"/>
          <w:szCs w:val="21"/>
        </w:rPr>
      </w:pPr>
      <w:r>
        <w:rPr>
          <w:rFonts w:hint="eastAsia" w:ascii="宋体" w:hAnsi="宋体"/>
          <w:color w:val="auto"/>
          <w:szCs w:val="21"/>
        </w:rPr>
        <w:t>42.4.1根据《深圳市政府采购评审委员会和评标方法暂行规定》（深财购[2005]5号），竞争性谈判采购项目的评标方法要比照</w:t>
      </w:r>
      <w:r>
        <w:rPr>
          <w:rFonts w:hint="eastAsia" w:ascii="宋体" w:hAnsi="宋体"/>
          <w:b/>
          <w:color w:val="auto"/>
          <w:szCs w:val="21"/>
        </w:rPr>
        <w:t>最低价法规定执行</w:t>
      </w:r>
      <w:r>
        <w:rPr>
          <w:rFonts w:hint="eastAsia" w:ascii="宋体" w:hAnsi="宋体"/>
          <w:color w:val="auto"/>
          <w:szCs w:val="21"/>
        </w:rPr>
        <w:t>。如确因实际情况需要采用其他评标方法的，应报经同级政府采购监督管理部门批准。</w:t>
      </w:r>
      <w:r>
        <w:rPr>
          <w:rFonts w:hint="eastAsia" w:ascii="宋体" w:hAnsi="宋体"/>
          <w:b/>
          <w:color w:val="auto"/>
          <w:szCs w:val="21"/>
        </w:rPr>
        <w:t>原招标文件若采用</w:t>
      </w:r>
      <w:r>
        <w:rPr>
          <w:rFonts w:hint="eastAsia" w:ascii="宋体" w:hAnsi="宋体"/>
          <w:b/>
          <w:bCs/>
          <w:color w:val="auto"/>
          <w:szCs w:val="21"/>
        </w:rPr>
        <w:t>最低价法以外的评标方法，转为竞争性谈判后，评标方法应采用</w:t>
      </w:r>
      <w:r>
        <w:rPr>
          <w:rFonts w:hint="eastAsia" w:ascii="宋体" w:hAnsi="宋体"/>
          <w:b/>
          <w:color w:val="auto"/>
          <w:szCs w:val="21"/>
        </w:rPr>
        <w:t>最低价法。</w:t>
      </w:r>
    </w:p>
    <w:p>
      <w:pPr>
        <w:tabs>
          <w:tab w:val="left" w:pos="-1080"/>
        </w:tabs>
        <w:rPr>
          <w:rFonts w:ascii="宋体" w:hAnsi="宋体"/>
          <w:color w:val="auto"/>
          <w:szCs w:val="21"/>
        </w:rPr>
      </w:pPr>
      <w:r>
        <w:rPr>
          <w:rFonts w:hint="eastAsia" w:ascii="宋体" w:hAnsi="宋体"/>
          <w:color w:val="auto"/>
          <w:szCs w:val="21"/>
        </w:rPr>
        <w:t>42.4.2对公开招标失败转为竞争性谈判方式采购的项目，谈判小组对谈判应答文件进行评审和比较，综合各家供应商最终的投标价格、实施方案、售后服务等谈判结果并按通用条款第36.1规定的</w:t>
      </w:r>
      <w:r>
        <w:rPr>
          <w:rFonts w:hint="eastAsia" w:ascii="宋体" w:hAnsi="宋体"/>
          <w:b/>
          <w:bCs/>
          <w:color w:val="auto"/>
          <w:szCs w:val="21"/>
        </w:rPr>
        <w:t>最低价法</w:t>
      </w:r>
      <w:r>
        <w:rPr>
          <w:rFonts w:hint="eastAsia" w:ascii="宋体" w:hAnsi="宋体"/>
          <w:color w:val="auto"/>
          <w:szCs w:val="21"/>
        </w:rPr>
        <w:t>进行评审。</w:t>
      </w:r>
    </w:p>
    <w:p>
      <w:pPr>
        <w:tabs>
          <w:tab w:val="left" w:pos="-1080"/>
        </w:tabs>
        <w:rPr>
          <w:rFonts w:ascii="宋体" w:hAnsi="宋体"/>
          <w:color w:val="auto"/>
          <w:szCs w:val="21"/>
        </w:rPr>
      </w:pPr>
      <w:r>
        <w:rPr>
          <w:rFonts w:hint="eastAsia" w:ascii="宋体" w:hAnsi="宋体"/>
          <w:color w:val="auto"/>
          <w:szCs w:val="21"/>
        </w:rPr>
        <w:t>42.4.3若要采用其他评标方法的，必须报经政府采购监督管理部门批准，谈判小组按批准的评标方法进行评审。谈判邀请文件中应注明批准的评标方法。</w:t>
      </w:r>
    </w:p>
    <w:p>
      <w:pPr>
        <w:tabs>
          <w:tab w:val="left" w:pos="-1080"/>
        </w:tabs>
        <w:ind w:firstLine="420" w:firstLineChars="200"/>
        <w:rPr>
          <w:rFonts w:ascii="宋体" w:hAnsi="宋体"/>
          <w:color w:val="auto"/>
          <w:szCs w:val="21"/>
        </w:rPr>
      </w:pPr>
      <w:r>
        <w:rPr>
          <w:rFonts w:hint="eastAsia" w:ascii="宋体" w:hAnsi="宋体"/>
          <w:color w:val="auto"/>
          <w:szCs w:val="21"/>
        </w:rPr>
        <w:t>42.4.4谈判小组向政府集中采购机构提交书面评标报告，并受采购人授权直接确定中标供应商。</w:t>
      </w:r>
    </w:p>
    <w:p>
      <w:pPr>
        <w:rPr>
          <w:rFonts w:ascii="宋体" w:hAnsi="宋体"/>
          <w:b/>
          <w:color w:val="auto"/>
          <w:szCs w:val="21"/>
        </w:rPr>
      </w:pPr>
      <w:r>
        <w:rPr>
          <w:rFonts w:hint="eastAsia" w:ascii="宋体" w:hAnsi="宋体"/>
          <w:b/>
          <w:color w:val="auto"/>
          <w:szCs w:val="21"/>
        </w:rPr>
        <w:t>43．公开招标失败项目转为单一来源谈判方式采购</w:t>
      </w:r>
    </w:p>
    <w:p>
      <w:pPr>
        <w:ind w:firstLine="413" w:firstLineChars="196"/>
        <w:rPr>
          <w:rFonts w:ascii="宋体" w:hAnsi="宋体"/>
          <w:b/>
          <w:color w:val="auto"/>
          <w:szCs w:val="21"/>
        </w:rPr>
      </w:pPr>
      <w:r>
        <w:rPr>
          <w:rFonts w:hint="eastAsia" w:ascii="宋体" w:hAnsi="宋体"/>
          <w:b/>
          <w:color w:val="auto"/>
          <w:szCs w:val="21"/>
        </w:rPr>
        <w:t>43.1谈判小组</w:t>
      </w:r>
    </w:p>
    <w:p>
      <w:pPr>
        <w:ind w:firstLine="411" w:firstLineChars="196"/>
        <w:rPr>
          <w:rFonts w:ascii="宋体" w:hAnsi="宋体"/>
          <w:color w:val="auto"/>
          <w:szCs w:val="21"/>
        </w:rPr>
      </w:pPr>
      <w:r>
        <w:rPr>
          <w:rFonts w:hint="eastAsia" w:ascii="宋体" w:hAnsi="宋体"/>
          <w:color w:val="auto"/>
          <w:szCs w:val="21"/>
        </w:rPr>
        <w:t>43.1.1公开招标失败项目转为单一来源方式采购后，谈判小组成员由采购单位代表和有关专家共3人以上（含3人）的单数组成；其中专家的人数不得少于成员总数的三分之二。</w:t>
      </w:r>
    </w:p>
    <w:p>
      <w:pPr>
        <w:tabs>
          <w:tab w:val="left" w:pos="-1080"/>
        </w:tabs>
        <w:ind w:firstLine="420" w:firstLineChars="200"/>
        <w:rPr>
          <w:rFonts w:ascii="宋体" w:hAnsi="宋体"/>
          <w:color w:val="auto"/>
          <w:szCs w:val="21"/>
        </w:rPr>
      </w:pPr>
      <w:r>
        <w:rPr>
          <w:rFonts w:hint="eastAsia" w:ascii="宋体" w:hAnsi="宋体"/>
          <w:color w:val="auto"/>
          <w:szCs w:val="21"/>
        </w:rPr>
        <w:t>43.1.2谈判前，谈判小组将对单一来源供应商的谈判应答文件进行审查，</w:t>
      </w:r>
      <w:r>
        <w:rPr>
          <w:rFonts w:hint="eastAsia" w:ascii="宋体" w:hAnsi="宋体"/>
          <w:bCs/>
          <w:color w:val="auto"/>
          <w:szCs w:val="21"/>
        </w:rPr>
        <w:t>当谈判应答文件出现下列情况之一的将视为无效，按投标无效处理，不得进入谈判，</w:t>
      </w:r>
      <w:r>
        <w:rPr>
          <w:rFonts w:hint="eastAsia" w:ascii="宋体" w:hAnsi="宋体"/>
          <w:color w:val="auto"/>
          <w:szCs w:val="21"/>
        </w:rPr>
        <w:t>具体内容见</w:t>
      </w:r>
      <w:r>
        <w:rPr>
          <w:rFonts w:hint="eastAsia" w:ascii="宋体" w:hAnsi="宋体"/>
          <w:bCs/>
          <w:color w:val="auto"/>
          <w:szCs w:val="21"/>
        </w:rPr>
        <w:t>《资格性审查表》和《符合性审查表》</w:t>
      </w:r>
      <w:r>
        <w:rPr>
          <w:rFonts w:hint="eastAsia" w:ascii="宋体" w:hAnsi="宋体"/>
          <w:color w:val="auto"/>
          <w:szCs w:val="21"/>
        </w:rPr>
        <w:t>。</w:t>
      </w:r>
    </w:p>
    <w:p>
      <w:pPr>
        <w:ind w:firstLine="421" w:firstLineChars="200"/>
        <w:rPr>
          <w:rFonts w:ascii="宋体" w:hAnsi="宋体"/>
          <w:b/>
          <w:color w:val="auto"/>
          <w:szCs w:val="21"/>
        </w:rPr>
      </w:pPr>
      <w:r>
        <w:rPr>
          <w:rFonts w:hint="eastAsia" w:ascii="宋体" w:hAnsi="宋体"/>
          <w:b/>
          <w:color w:val="auto"/>
          <w:szCs w:val="21"/>
        </w:rPr>
        <w:t>43.2谈判程序</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1谈判小组主持人宣布谈判规则和谈判纪律。</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2在谈判中，谈判小组将就以下谈判内容跟供应商进行谈判：</w:t>
      </w:r>
    </w:p>
    <w:p>
      <w:pPr>
        <w:ind w:firstLine="411" w:firstLineChars="196"/>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）项目方案；</w:t>
      </w:r>
    </w:p>
    <w:p>
      <w:pPr>
        <w:ind w:firstLine="411" w:firstLineChars="196"/>
        <w:rPr>
          <w:rFonts w:ascii="宋体" w:hAnsi="宋体"/>
          <w:color w:val="auto"/>
          <w:szCs w:val="21"/>
        </w:rPr>
      </w:pPr>
      <w:r>
        <w:rPr>
          <w:rFonts w:hint="eastAsia" w:ascii="宋体" w:hAnsi="宋体"/>
          <w:color w:val="auto"/>
          <w:szCs w:val="21"/>
        </w:rPr>
        <w:t>（2）报价；</w:t>
      </w:r>
    </w:p>
    <w:p>
      <w:pPr>
        <w:ind w:firstLine="411" w:firstLineChars="196"/>
        <w:rPr>
          <w:rFonts w:ascii="宋体" w:hAnsi="宋体"/>
          <w:color w:val="auto"/>
          <w:szCs w:val="21"/>
        </w:rPr>
      </w:pPr>
      <w:r>
        <w:rPr>
          <w:rFonts w:hint="eastAsia" w:ascii="宋体" w:hAnsi="宋体"/>
          <w:color w:val="auto"/>
          <w:szCs w:val="21"/>
        </w:rPr>
        <w:t>（3）其它相关事项。</w:t>
      </w:r>
    </w:p>
    <w:p>
      <w:pPr>
        <w:ind w:firstLine="411" w:firstLineChars="196"/>
        <w:rPr>
          <w:rFonts w:ascii="宋体" w:hAnsi="宋体"/>
          <w:color w:val="auto"/>
          <w:szCs w:val="21"/>
        </w:rPr>
      </w:pPr>
      <w:r>
        <w:rPr>
          <w:rFonts w:hint="eastAsia" w:ascii="宋体" w:hAnsi="宋体"/>
          <w:color w:val="auto"/>
          <w:szCs w:val="21"/>
        </w:rPr>
        <w:t>原招标文件或谈判邀请文件有实质性变动的，谈判小组应当通过政府集中采购机构通知供应商。</w:t>
      </w:r>
    </w:p>
    <w:p>
      <w:pPr>
        <w:ind w:firstLine="411" w:firstLineChars="196"/>
        <w:rPr>
          <w:rFonts w:ascii="宋体" w:hAnsi="宋体"/>
          <w:color w:val="auto"/>
          <w:szCs w:val="21"/>
        </w:rPr>
      </w:pPr>
      <w:r>
        <w:rPr>
          <w:rFonts w:hint="eastAsia" w:ascii="宋体" w:hAnsi="宋体"/>
          <w:color w:val="auto"/>
          <w:szCs w:val="21"/>
        </w:rPr>
        <w:t>43.2.3谈判小组可以用书面形式要求供应商对其谈判应答文件含义不明确的内容作必要的澄清或者说明，供应商应主要以书面形式进行澄清、说明。</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4 允许供应商在谈判结束之前根据谈判小组提出的内容进行澄清、修改或完善，或对项目方案进行相应的调整。</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5供应商对谈判应答文件进行修改，都应形成文字材料，并经供应商谈判授权人签字认可。</w:t>
      </w:r>
    </w:p>
    <w:p>
      <w:pPr>
        <w:ind w:firstLine="411" w:firstLineChars="196"/>
        <w:rPr>
          <w:rFonts w:ascii="宋体" w:hAnsi="宋体"/>
          <w:color w:val="auto"/>
          <w:szCs w:val="21"/>
        </w:rPr>
      </w:pPr>
      <w:r>
        <w:rPr>
          <w:rFonts w:hint="eastAsia" w:ascii="宋体" w:hAnsi="宋体"/>
          <w:color w:val="auto"/>
          <w:szCs w:val="21"/>
        </w:rPr>
        <w:t>43.2.6谈判小组与单一来源供应商进行谈判。供应商有三次更改机会；供应商应在规定的时间内提出最后更改及书面承诺。</w:t>
      </w:r>
    </w:p>
    <w:p>
      <w:pPr>
        <w:ind w:firstLine="411" w:firstLineChars="196"/>
        <w:rPr>
          <w:rFonts w:ascii="宋体" w:hAnsi="宋体"/>
          <w:color w:val="auto"/>
          <w:szCs w:val="21"/>
        </w:rPr>
      </w:pPr>
      <w:r>
        <w:rPr>
          <w:rFonts w:hint="eastAsia" w:ascii="宋体" w:hAnsi="宋体"/>
          <w:color w:val="auto"/>
          <w:szCs w:val="21"/>
        </w:rPr>
        <w:t>43.2.7有下列情形之一的，供应商的谈判结果作投标无效处理，具体内容见</w:t>
      </w:r>
      <w:r>
        <w:rPr>
          <w:rFonts w:hint="eastAsia" w:ascii="宋体" w:hAnsi="宋体"/>
          <w:bCs/>
          <w:color w:val="auto"/>
          <w:szCs w:val="21"/>
        </w:rPr>
        <w:t>《资格性审查表》和《符合性审查表》</w:t>
      </w:r>
      <w:r>
        <w:rPr>
          <w:rFonts w:hint="eastAsia" w:ascii="宋体" w:hAnsi="宋体"/>
          <w:b/>
          <w:color w:val="auto"/>
          <w:szCs w:val="21"/>
        </w:rPr>
        <w:t>。</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8谈判结束后，谈判小组根据供应商提供的谈判应答文件、谈判过程中产生的相关资料，对供应商谈判应答文件进行评估与比较，提出书面评审意见。</w:t>
      </w:r>
    </w:p>
    <w:p>
      <w:pPr>
        <w:ind w:firstLine="411" w:firstLineChars="196"/>
        <w:rPr>
          <w:rFonts w:ascii="宋体" w:hAnsi="宋体"/>
          <w:color w:val="auto"/>
          <w:szCs w:val="21"/>
        </w:rPr>
      </w:pPr>
      <w:r>
        <w:rPr>
          <w:rFonts w:hint="eastAsia" w:ascii="宋体" w:hAnsi="宋体"/>
          <w:color w:val="auto"/>
          <w:szCs w:val="21"/>
        </w:rPr>
        <w:t>43.2.9谈判小组将对谈判过程进行记录，以存档备查。</w:t>
      </w:r>
    </w:p>
    <w:p>
      <w:pPr>
        <w:ind w:firstLine="413" w:firstLineChars="196"/>
        <w:rPr>
          <w:rFonts w:ascii="宋体" w:hAnsi="宋体"/>
          <w:b/>
          <w:color w:val="auto"/>
          <w:szCs w:val="21"/>
        </w:rPr>
      </w:pPr>
      <w:r>
        <w:rPr>
          <w:rFonts w:hint="eastAsia" w:ascii="宋体" w:hAnsi="宋体"/>
          <w:b/>
          <w:color w:val="auto"/>
          <w:szCs w:val="21"/>
        </w:rPr>
        <w:t>43.3评标方法和定标原则</w:t>
      </w:r>
    </w:p>
    <w:p>
      <w:pPr>
        <w:tabs>
          <w:tab w:val="left" w:pos="-1080"/>
        </w:tabs>
        <w:ind w:firstLine="420" w:firstLineChars="200"/>
        <w:rPr>
          <w:rFonts w:ascii="宋体" w:hAnsi="宋体"/>
          <w:color w:val="auto"/>
          <w:szCs w:val="21"/>
        </w:rPr>
      </w:pPr>
      <w:r>
        <w:rPr>
          <w:rFonts w:hint="eastAsia" w:ascii="宋体" w:hAnsi="宋体"/>
          <w:color w:val="auto"/>
          <w:szCs w:val="21"/>
        </w:rPr>
        <w:t>43.3.1</w:t>
      </w:r>
      <w:r>
        <w:rPr>
          <w:rFonts w:hint="eastAsia" w:ascii="宋体" w:hAnsi="宋体"/>
          <w:b/>
          <w:color w:val="auto"/>
          <w:szCs w:val="21"/>
        </w:rPr>
        <w:t>单一来源谈判采用最低价法。</w:t>
      </w:r>
      <w:r>
        <w:rPr>
          <w:rFonts w:hint="eastAsia" w:ascii="宋体" w:hAnsi="宋体"/>
          <w:color w:val="auto"/>
          <w:szCs w:val="21"/>
        </w:rPr>
        <w:t>原招标文件若采用</w:t>
      </w:r>
      <w:r>
        <w:rPr>
          <w:rFonts w:hint="eastAsia" w:ascii="宋体" w:hAnsi="宋体"/>
          <w:bCs/>
          <w:color w:val="auto"/>
          <w:szCs w:val="21"/>
        </w:rPr>
        <w:t>最低价法以外的评标方法，转为竞争性谈判后，评标方法改为</w:t>
      </w:r>
      <w:r>
        <w:rPr>
          <w:rFonts w:hint="eastAsia" w:ascii="宋体" w:hAnsi="宋体"/>
          <w:color w:val="auto"/>
          <w:szCs w:val="21"/>
        </w:rPr>
        <w:t>最低价法。谈判小组对谈判应答文件进行评审和比较，对供应商最终的方案、服务和投资等谈判结果按通用条款第36.1规定的</w:t>
      </w:r>
      <w:r>
        <w:rPr>
          <w:rFonts w:hint="eastAsia" w:ascii="宋体" w:hAnsi="宋体"/>
          <w:b/>
          <w:bCs/>
          <w:color w:val="auto"/>
          <w:szCs w:val="21"/>
        </w:rPr>
        <w:t>最低价法</w:t>
      </w:r>
      <w:r>
        <w:rPr>
          <w:rFonts w:hint="eastAsia" w:ascii="宋体" w:hAnsi="宋体"/>
          <w:color w:val="auto"/>
          <w:szCs w:val="21"/>
        </w:rPr>
        <w:t>进行评审。</w:t>
      </w:r>
    </w:p>
    <w:p>
      <w:pPr>
        <w:tabs>
          <w:tab w:val="left" w:pos="-1080"/>
        </w:tabs>
        <w:ind w:firstLine="420" w:firstLineChars="200"/>
        <w:rPr>
          <w:rFonts w:ascii="宋体" w:hAnsi="宋体"/>
          <w:color w:val="auto"/>
          <w:szCs w:val="21"/>
        </w:rPr>
      </w:pPr>
      <w:r>
        <w:rPr>
          <w:rFonts w:hint="eastAsia" w:ascii="宋体" w:hAnsi="宋体"/>
          <w:color w:val="auto"/>
          <w:szCs w:val="21"/>
        </w:rPr>
        <w:t>43.3.2谈判小组向政府集中采购机构提交书面评标报告，并受采购人授权直接确定中标供应商。</w:t>
      </w:r>
    </w:p>
    <w:p>
      <w:pPr>
        <w:tabs>
          <w:tab w:val="left" w:pos="-1080"/>
        </w:tabs>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第八章  授予合同</w:t>
      </w:r>
    </w:p>
    <w:p>
      <w:pPr>
        <w:rPr>
          <w:rFonts w:ascii="宋体" w:hAnsi="宋体"/>
          <w:b/>
          <w:bCs/>
          <w:color w:val="auto"/>
          <w:szCs w:val="21"/>
        </w:rPr>
      </w:pPr>
      <w:r>
        <w:rPr>
          <w:rFonts w:hint="eastAsia" w:ascii="宋体" w:hAnsi="宋体"/>
          <w:b/>
          <w:bCs/>
          <w:color w:val="auto"/>
          <w:szCs w:val="21"/>
        </w:rPr>
        <w:t>44接受和拒绝任何或所有投标的权力</w:t>
      </w:r>
    </w:p>
    <w:p>
      <w:pPr>
        <w:rPr>
          <w:rFonts w:ascii="宋体" w:hAnsi="宋体"/>
          <w:color w:val="auto"/>
          <w:szCs w:val="21"/>
        </w:rPr>
      </w:pPr>
      <w:r>
        <w:rPr>
          <w:rFonts w:hint="eastAsia" w:ascii="宋体" w:hAnsi="宋体"/>
          <w:color w:val="auto"/>
          <w:szCs w:val="21"/>
        </w:rPr>
        <w:t>44</w:t>
      </w:r>
      <w:r>
        <w:rPr>
          <w:rFonts w:ascii="宋体" w:hAnsi="宋体"/>
          <w:color w:val="auto"/>
          <w:szCs w:val="21"/>
        </w:rPr>
        <w:t xml:space="preserve">.1  </w:t>
      </w:r>
      <w:r>
        <w:rPr>
          <w:rFonts w:hint="eastAsia" w:ascii="宋体" w:hAnsi="宋体"/>
          <w:color w:val="auto"/>
          <w:szCs w:val="21"/>
        </w:rPr>
        <w:t>政府集中采购机构和采购单位保留在投标之前任何时候接受或拒绝任何投标或所有投标，以及宣布招标无效的权力，对受影响的投标人不承担任何责任，也无义务向受影响的投标人解释采取这一行动的理由。</w:t>
      </w:r>
    </w:p>
    <w:p>
      <w:pPr>
        <w:rPr>
          <w:rFonts w:ascii="宋体" w:hAnsi="宋体"/>
          <w:b/>
          <w:bCs/>
          <w:color w:val="auto"/>
          <w:szCs w:val="21"/>
        </w:rPr>
      </w:pPr>
      <w:r>
        <w:rPr>
          <w:rFonts w:hint="eastAsia" w:ascii="宋体" w:hAnsi="宋体"/>
          <w:b/>
          <w:bCs/>
          <w:color w:val="auto"/>
          <w:szCs w:val="21"/>
        </w:rPr>
        <w:t>45中标通知书</w:t>
      </w:r>
    </w:p>
    <w:p>
      <w:pPr>
        <w:rPr>
          <w:rFonts w:ascii="宋体" w:hAnsi="宋体"/>
          <w:color w:val="auto"/>
          <w:szCs w:val="21"/>
        </w:rPr>
      </w:pPr>
      <w:r>
        <w:rPr>
          <w:rFonts w:hint="eastAsia" w:ascii="宋体" w:hAnsi="宋体"/>
          <w:color w:val="auto"/>
          <w:szCs w:val="21"/>
        </w:rPr>
        <w:t>深圳市光明区公共资源交易中心沿用深圳市政府采购中心数字中标（成交）通知书系统，于2017年8月 18日启用。启用后，政府采购项目将全面实施网上打印数字中标（成交）通知书。</w:t>
      </w:r>
    </w:p>
    <w:p>
      <w:pPr>
        <w:rPr>
          <w:rFonts w:ascii="宋体" w:hAnsi="宋体"/>
          <w:color w:val="auto"/>
          <w:szCs w:val="21"/>
        </w:rPr>
      </w:pPr>
      <w:r>
        <w:rPr>
          <w:rFonts w:hint="eastAsia" w:ascii="宋体" w:hAnsi="宋体"/>
          <w:color w:val="auto"/>
          <w:szCs w:val="21"/>
        </w:rPr>
        <w:t>45.1数字中标（成交）通知书相关操作流程见下述：</w:t>
      </w:r>
    </w:p>
    <w:p>
      <w:pPr>
        <w:rPr>
          <w:rFonts w:ascii="宋体" w:hAnsi="宋体"/>
          <w:color w:val="auto"/>
          <w:szCs w:val="21"/>
        </w:rPr>
      </w:pPr>
      <w:r>
        <w:rPr>
          <w:rFonts w:hint="eastAsia" w:ascii="宋体" w:hAnsi="宋体"/>
          <w:color w:val="auto"/>
          <w:szCs w:val="21"/>
        </w:rPr>
        <w:t>45.1.1关于数字中标（成交）通知书的发放</w:t>
      </w:r>
    </w:p>
    <w:p>
      <w:pPr>
        <w:rPr>
          <w:rFonts w:ascii="宋体" w:hAnsi="宋体"/>
          <w:color w:val="auto"/>
          <w:szCs w:val="21"/>
        </w:rPr>
      </w:pPr>
      <w:r>
        <w:rPr>
          <w:rFonts w:hint="eastAsia" w:ascii="宋体" w:hAnsi="宋体"/>
          <w:color w:val="auto"/>
          <w:szCs w:val="21"/>
        </w:rPr>
        <w:t>系统上线后，各采购单位、中标供应商可在收到政府采购系统发送的短信通知后，使用数字证书登录网上政府采购统一平台，打印本单位参与项目的中标（成交）通知书（具体操作及通知书文本样式详见深圳市光明区公共资源交易中心网站数字中标（成交）通知书网上操作手册）。</w:t>
      </w:r>
    </w:p>
    <w:p>
      <w:pPr>
        <w:rPr>
          <w:rFonts w:ascii="宋体" w:hAnsi="宋体"/>
          <w:color w:val="auto"/>
          <w:szCs w:val="21"/>
        </w:rPr>
      </w:pPr>
      <w:r>
        <w:rPr>
          <w:rFonts w:hint="eastAsia" w:ascii="宋体" w:hAnsi="宋体"/>
          <w:color w:val="auto"/>
          <w:szCs w:val="21"/>
        </w:rPr>
        <w:t>45.1.2关于数字中标（成交）通知书的验证方法</w:t>
      </w:r>
    </w:p>
    <w:p>
      <w:pPr>
        <w:rPr>
          <w:rFonts w:ascii="宋体" w:hAnsi="宋体"/>
          <w:color w:val="auto"/>
          <w:szCs w:val="21"/>
        </w:rPr>
      </w:pPr>
      <w:r>
        <w:rPr>
          <w:rFonts w:hint="eastAsia" w:ascii="宋体" w:hAnsi="宋体"/>
          <w:color w:val="auto"/>
          <w:szCs w:val="21"/>
        </w:rPr>
        <w:t>各采购单位、供应商可以通过扫描数字中标（成交）通知书上的二维码或点击中标（成交）通知书“有效性验证”链接两种方式进行验证。验证方式在每一份数字中标（成交）通知书上均有载明。</w:t>
      </w:r>
    </w:p>
    <w:p>
      <w:pPr>
        <w:rPr>
          <w:rFonts w:ascii="宋体" w:hAnsi="宋体"/>
          <w:color w:val="auto"/>
          <w:szCs w:val="21"/>
        </w:rPr>
      </w:pPr>
      <w:r>
        <w:rPr>
          <w:rFonts w:hint="eastAsia" w:ascii="宋体" w:hAnsi="宋体"/>
          <w:color w:val="auto"/>
          <w:szCs w:val="21"/>
        </w:rPr>
        <w:t>45.1.3关于网上操作技术咨询</w:t>
      </w:r>
    </w:p>
    <w:p>
      <w:pPr>
        <w:rPr>
          <w:rFonts w:ascii="宋体" w:hAnsi="宋体"/>
          <w:color w:val="auto"/>
          <w:szCs w:val="21"/>
        </w:rPr>
      </w:pPr>
      <w:r>
        <w:rPr>
          <w:rFonts w:hint="eastAsia" w:ascii="宋体" w:hAnsi="宋体"/>
          <w:color w:val="auto"/>
          <w:szCs w:val="21"/>
        </w:rPr>
        <w:t>为确保数字中标（成交）通知书发放工作的顺利开展，如对数字中标通知书系统网上操作有疑问，可拨打我中心技术支持服务电话咨询。联系电话：</w:t>
      </w:r>
      <w:r>
        <w:rPr>
          <w:rFonts w:ascii="宋体" w:hAnsi="宋体"/>
          <w:color w:val="auto"/>
          <w:szCs w:val="21"/>
        </w:rPr>
        <w:t>88212595</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45</w:t>
      </w:r>
      <w:r>
        <w:rPr>
          <w:rFonts w:ascii="宋体" w:hAnsi="宋体"/>
          <w:color w:val="auto"/>
          <w:szCs w:val="21"/>
        </w:rPr>
        <w:t xml:space="preserve">.2 </w:t>
      </w:r>
      <w:r>
        <w:rPr>
          <w:rFonts w:hint="eastAsia" w:ascii="宋体" w:hAnsi="宋体"/>
          <w:color w:val="auto"/>
          <w:szCs w:val="21"/>
        </w:rPr>
        <w:t>中标通知书是合同的重要组成部分。</w:t>
      </w:r>
    </w:p>
    <w:p>
      <w:pPr>
        <w:rPr>
          <w:rFonts w:ascii="宋体" w:hAnsi="宋体"/>
          <w:color w:val="auto"/>
          <w:szCs w:val="21"/>
        </w:rPr>
      </w:pPr>
      <w:r>
        <w:rPr>
          <w:rFonts w:hint="eastAsia" w:ascii="宋体" w:hAnsi="宋体"/>
          <w:color w:val="auto"/>
          <w:szCs w:val="21"/>
        </w:rPr>
        <w:t>45.3因质疑投诉或其它原因导致项目结果变更或采购终止的，光明区公共资源交易中心有权收回中标通知书。</w:t>
      </w:r>
    </w:p>
    <w:p>
      <w:pPr>
        <w:rPr>
          <w:rFonts w:ascii="宋体" w:hAnsi="宋体"/>
          <w:b/>
          <w:bCs/>
          <w:color w:val="auto"/>
          <w:szCs w:val="21"/>
        </w:rPr>
      </w:pPr>
      <w:r>
        <w:rPr>
          <w:rFonts w:hint="eastAsia" w:ascii="宋体" w:hAnsi="宋体"/>
          <w:b/>
          <w:bCs/>
          <w:color w:val="auto"/>
          <w:szCs w:val="21"/>
        </w:rPr>
        <w:t>46签订合同</w:t>
      </w:r>
    </w:p>
    <w:p>
      <w:pPr>
        <w:rPr>
          <w:rFonts w:ascii="宋体" w:hAnsi="宋体"/>
          <w:color w:val="auto"/>
          <w:szCs w:val="21"/>
        </w:rPr>
      </w:pPr>
      <w:r>
        <w:rPr>
          <w:rFonts w:hint="eastAsia" w:ascii="宋体" w:hAnsi="宋体"/>
          <w:color w:val="auto"/>
          <w:szCs w:val="21"/>
        </w:rPr>
        <w:t>46</w:t>
      </w:r>
      <w:r>
        <w:rPr>
          <w:rFonts w:ascii="宋体" w:hAnsi="宋体"/>
          <w:color w:val="auto"/>
          <w:szCs w:val="21"/>
        </w:rPr>
        <w:t>.</w:t>
      </w:r>
      <w:r>
        <w:rPr>
          <w:rFonts w:hint="eastAsia" w:ascii="宋体" w:hAnsi="宋体"/>
          <w:color w:val="auto"/>
          <w:szCs w:val="21"/>
        </w:rPr>
        <w:t>1“招标文件”、中标方的“投标文件”及其澄清文件等，均为签订合同的依据。</w:t>
      </w:r>
    </w:p>
    <w:p>
      <w:pPr>
        <w:rPr>
          <w:rFonts w:ascii="宋体" w:hAnsi="宋体"/>
          <w:color w:val="auto"/>
          <w:szCs w:val="21"/>
        </w:rPr>
      </w:pPr>
      <w:r>
        <w:rPr>
          <w:rFonts w:hint="eastAsia" w:ascii="宋体" w:hAnsi="宋体"/>
          <w:color w:val="auto"/>
          <w:szCs w:val="21"/>
        </w:rPr>
        <w:t>46.2 采购人与中标人签订的合同必须遵守本招标文件的合同条件，并且不得更改合同条件。</w:t>
      </w:r>
    </w:p>
    <w:p>
      <w:pPr>
        <w:rPr>
          <w:rFonts w:ascii="宋体" w:hAnsi="宋体"/>
          <w:color w:val="auto"/>
          <w:szCs w:val="21"/>
        </w:rPr>
      </w:pPr>
      <w:r>
        <w:rPr>
          <w:rFonts w:hint="eastAsia" w:ascii="宋体" w:hAnsi="宋体"/>
          <w:color w:val="auto"/>
          <w:szCs w:val="21"/>
        </w:rPr>
        <w:t>46.3  采购人自政府采购合同签订之日起十日内，携带全套合同及中标（成交）通知书原件到光明区公共资源交易中心备案。如有另行签订补充合同的，采购人应在补充合同签订之日起十日内到光明区公共资源交易中心办理备案手续。采购人凭加盖“合同备案专用章”的合同、中标（成交）通知书及相关材料办理资金拨付手续。</w:t>
      </w:r>
    </w:p>
    <w:p>
      <w:pPr>
        <w:rPr>
          <w:rFonts w:ascii="宋体" w:hAnsi="宋体"/>
          <w:color w:val="auto"/>
          <w:szCs w:val="21"/>
        </w:rPr>
      </w:pPr>
      <w:r>
        <w:rPr>
          <w:rFonts w:hint="eastAsia" w:ascii="宋体" w:hAnsi="宋体"/>
          <w:color w:val="auto"/>
          <w:szCs w:val="21"/>
        </w:rPr>
        <w:t>46.4 中标人应当按照合同约定履行义务，完成中标项目，不得将中标项目转让（转包）给他人；</w:t>
      </w:r>
    </w:p>
    <w:p>
      <w:pPr>
        <w:rPr>
          <w:rFonts w:ascii="宋体" w:hAnsi="宋体"/>
          <w:b/>
          <w:bCs/>
          <w:color w:val="auto"/>
          <w:szCs w:val="21"/>
        </w:rPr>
      </w:pPr>
      <w:r>
        <w:rPr>
          <w:rFonts w:hint="eastAsia" w:ascii="宋体" w:hAnsi="宋体"/>
          <w:b/>
          <w:bCs/>
          <w:color w:val="auto"/>
          <w:szCs w:val="21"/>
        </w:rPr>
        <w:t>47中标服务费</w:t>
      </w:r>
    </w:p>
    <w:p>
      <w:pPr>
        <w:rPr>
          <w:rFonts w:ascii="宋体" w:hAnsi="宋体"/>
          <w:color w:val="auto"/>
          <w:szCs w:val="21"/>
        </w:rPr>
      </w:pPr>
      <w:r>
        <w:rPr>
          <w:rFonts w:hint="eastAsia" w:ascii="宋体" w:hAnsi="宋体"/>
          <w:color w:val="auto"/>
          <w:szCs w:val="21"/>
        </w:rPr>
        <w:t>47</w:t>
      </w:r>
      <w:r>
        <w:rPr>
          <w:rFonts w:ascii="宋体" w:hAnsi="宋体"/>
          <w:color w:val="auto"/>
          <w:szCs w:val="21"/>
        </w:rPr>
        <w:t xml:space="preserve">.1  </w:t>
      </w:r>
      <w:r>
        <w:rPr>
          <w:rFonts w:hint="eastAsia" w:ascii="宋体" w:hAnsi="宋体"/>
          <w:color w:val="auto"/>
          <w:szCs w:val="21"/>
        </w:rPr>
        <w:t>政府集中采购机构不收取中标服务费，报价时投标人应充分考虑这个因素。</w:t>
      </w:r>
    </w:p>
    <w:p>
      <w:pPr>
        <w:rPr>
          <w:rFonts w:ascii="宋体" w:hAnsi="宋体"/>
          <w:b/>
          <w:color w:val="auto"/>
          <w:szCs w:val="21"/>
        </w:rPr>
      </w:pPr>
      <w:r>
        <w:rPr>
          <w:rFonts w:hint="eastAsia" w:ascii="宋体" w:hAnsi="宋体"/>
          <w:b/>
          <w:color w:val="auto"/>
          <w:szCs w:val="21"/>
        </w:rPr>
        <w:t>48.履约情况的反馈</w:t>
      </w:r>
    </w:p>
    <w:p>
      <w:pPr>
        <w:rPr>
          <w:rFonts w:ascii="宋体" w:hAnsi="宋体"/>
          <w:color w:val="auto"/>
          <w:szCs w:val="21"/>
        </w:rPr>
      </w:pPr>
      <w:r>
        <w:rPr>
          <w:rFonts w:hint="eastAsia" w:ascii="宋体" w:hAnsi="宋体"/>
          <w:color w:val="auto"/>
          <w:szCs w:val="21"/>
        </w:rPr>
        <w:t>采购人应及时向政府集中采购机构反馈中标人的履约情况（填写《政府采购履约情况反馈表》），中标人的履约情况将作为供应商考核的重要依据。</w:t>
      </w:r>
    </w:p>
    <w:p>
      <w:pPr>
        <w:rPr>
          <w:rFonts w:ascii="宋体" w:hAnsi="宋体"/>
          <w:b/>
          <w:color w:val="auto"/>
          <w:szCs w:val="21"/>
        </w:rPr>
      </w:pPr>
      <w:r>
        <w:rPr>
          <w:rFonts w:hint="eastAsia" w:ascii="宋体" w:hAnsi="宋体"/>
          <w:b/>
          <w:color w:val="auto"/>
          <w:szCs w:val="21"/>
        </w:rPr>
        <w:t>49．腐败和欺诈行为</w:t>
      </w:r>
    </w:p>
    <w:p>
      <w:pPr>
        <w:rPr>
          <w:rFonts w:ascii="宋体" w:hAnsi="宋体"/>
          <w:color w:val="auto"/>
          <w:szCs w:val="21"/>
        </w:rPr>
      </w:pPr>
      <w:r>
        <w:rPr>
          <w:rFonts w:hint="eastAsia" w:ascii="宋体" w:hAnsi="宋体"/>
          <w:color w:val="auto"/>
          <w:szCs w:val="21"/>
        </w:rPr>
        <w:t>政府采购要求合同项下的采购人和中标人在合同采购和实施过程中应遵守最高的道德标准。根据本要求，政府集中采购机构将：</w:t>
      </w:r>
    </w:p>
    <w:p>
      <w:pPr>
        <w:ind w:firstLine="420" w:firstLineChars="200"/>
        <w:rPr>
          <w:rFonts w:ascii="宋体" w:hAnsi="宋体"/>
          <w:color w:val="auto"/>
          <w:szCs w:val="21"/>
        </w:rPr>
      </w:pPr>
      <w:r>
        <w:rPr>
          <w:rFonts w:hint="eastAsia" w:ascii="宋体" w:hAnsi="宋体"/>
          <w:color w:val="auto"/>
          <w:szCs w:val="21"/>
        </w:rPr>
        <w:t>（1）为此目的，定义下述条件：</w:t>
      </w:r>
    </w:p>
    <w:p>
      <w:pPr>
        <w:ind w:firstLine="420" w:firstLineChars="200"/>
        <w:rPr>
          <w:rFonts w:ascii="宋体" w:hAnsi="宋体"/>
          <w:color w:val="auto"/>
          <w:szCs w:val="21"/>
        </w:rPr>
      </w:pPr>
      <w:r>
        <w:rPr>
          <w:rFonts w:hint="eastAsia" w:ascii="宋体" w:hAnsi="宋体"/>
          <w:color w:val="auto"/>
          <w:szCs w:val="21"/>
        </w:rPr>
        <w:t>（a）“腐败行为”是指提供、给予、接受或索取任何有价值的东西来影响招标方或采购人在采购过程或合同实施过程中的行为；</w:t>
      </w:r>
    </w:p>
    <w:p>
      <w:pPr>
        <w:ind w:firstLine="420" w:firstLineChars="200"/>
        <w:rPr>
          <w:rFonts w:ascii="宋体" w:hAnsi="宋体"/>
          <w:color w:val="auto"/>
          <w:szCs w:val="21"/>
        </w:rPr>
      </w:pPr>
      <w:r>
        <w:rPr>
          <w:rFonts w:hint="eastAsia" w:ascii="宋体" w:hAnsi="宋体"/>
          <w:color w:val="auto"/>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ind w:firstLine="420" w:firstLineChars="200"/>
        <w:rPr>
          <w:rFonts w:ascii="宋体" w:hAnsi="宋体"/>
          <w:color w:val="auto"/>
          <w:szCs w:val="21"/>
        </w:rPr>
      </w:pPr>
      <w:r>
        <w:rPr>
          <w:rFonts w:hint="eastAsia" w:ascii="宋体" w:hAnsi="宋体"/>
          <w:color w:val="auto"/>
          <w:szCs w:val="21"/>
        </w:rPr>
        <w:t>（2）如果评审委员会认为投标人在本合同的竞争中有腐败和欺诈行为，则拒绝接受该投标。</w:t>
      </w:r>
    </w:p>
    <w:p>
      <w:pPr>
        <w:ind w:firstLine="420" w:firstLineChars="200"/>
        <w:rPr>
          <w:rFonts w:ascii="宋体" w:hAnsi="宋体"/>
          <w:color w:val="auto"/>
          <w:szCs w:val="21"/>
        </w:rPr>
      </w:pPr>
      <w:r>
        <w:rPr>
          <w:rFonts w:hint="eastAsia" w:ascii="宋体" w:hAnsi="宋体"/>
          <w:color w:val="auto"/>
          <w:szCs w:val="21"/>
        </w:rPr>
        <w:t>（3）如果投标人或中标人在政府采购合同的竞争和实施过程中有腐败和欺诈行为，将依据《中华人民共和国合同法》、《深圳经济特区政府采购条例》有关法律法规进行处罚。</w:t>
      </w:r>
    </w:p>
    <w:p>
      <w:pPr>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第九章</w:t>
      </w:r>
      <w:r>
        <w:rPr>
          <w:rFonts w:ascii="宋体" w:hAnsi="宋体"/>
          <w:b/>
          <w:color w:val="auto"/>
          <w:szCs w:val="24"/>
        </w:rPr>
        <w:t xml:space="preserve">  质疑处理</w:t>
      </w:r>
    </w:p>
    <w:p>
      <w:pPr>
        <w:rPr>
          <w:rFonts w:ascii="宋体" w:hAnsi="宋体"/>
          <w:b/>
          <w:bCs/>
          <w:color w:val="auto"/>
          <w:szCs w:val="21"/>
        </w:rPr>
      </w:pPr>
      <w:r>
        <w:rPr>
          <w:rFonts w:hint="eastAsia" w:ascii="宋体" w:hAnsi="宋体"/>
          <w:b/>
          <w:bCs/>
          <w:color w:val="auto"/>
          <w:szCs w:val="21"/>
        </w:rPr>
        <w:t>50  质疑受理机构</w:t>
      </w:r>
    </w:p>
    <w:p>
      <w:pPr>
        <w:rPr>
          <w:rFonts w:ascii="宋体" w:hAnsi="宋体"/>
          <w:color w:val="auto"/>
          <w:szCs w:val="21"/>
        </w:rPr>
      </w:pPr>
      <w:r>
        <w:rPr>
          <w:rFonts w:hint="eastAsia" w:ascii="宋体" w:hAnsi="宋体"/>
          <w:color w:val="auto"/>
          <w:szCs w:val="21"/>
        </w:rPr>
        <w:t>50.1涉及采购需求的询问与质疑事项,以及适用评定分离自定法定标的结果选择问题,由采购人负责受理。涉及信息公开和评审过程等询问与质疑事项,由深圳市光明区公共资源交易中心负责受理。</w:t>
      </w:r>
    </w:p>
    <w:p>
      <w:pPr>
        <w:rPr>
          <w:rFonts w:ascii="宋体" w:hAnsi="宋体"/>
          <w:b/>
          <w:bCs/>
          <w:color w:val="auto"/>
          <w:szCs w:val="21"/>
        </w:rPr>
      </w:pPr>
      <w:r>
        <w:rPr>
          <w:rFonts w:hint="eastAsia" w:ascii="宋体" w:hAnsi="宋体"/>
          <w:b/>
          <w:bCs/>
          <w:color w:val="auto"/>
          <w:szCs w:val="21"/>
        </w:rPr>
        <w:t>51  质疑处理原则</w:t>
      </w:r>
    </w:p>
    <w:p>
      <w:pPr>
        <w:rPr>
          <w:rFonts w:ascii="宋体" w:hAnsi="宋体"/>
          <w:color w:val="auto"/>
          <w:szCs w:val="21"/>
        </w:rPr>
      </w:pPr>
      <w:r>
        <w:rPr>
          <w:rFonts w:hint="eastAsia" w:ascii="宋体" w:hAnsi="宋体"/>
          <w:color w:val="auto"/>
          <w:szCs w:val="21"/>
        </w:rPr>
        <w:t>51.1</w:t>
      </w:r>
      <w:r>
        <w:rPr>
          <w:rFonts w:ascii="宋体" w:hAnsi="宋体"/>
          <w:color w:val="auto"/>
          <w:szCs w:val="21"/>
        </w:rPr>
        <w:t>质疑处理遵循公平、公正、规范、高效的原则。</w:t>
      </w:r>
    </w:p>
    <w:p>
      <w:pPr>
        <w:rPr>
          <w:rFonts w:ascii="宋体" w:hAnsi="宋体"/>
          <w:color w:val="auto"/>
          <w:szCs w:val="21"/>
        </w:rPr>
      </w:pPr>
      <w:r>
        <w:rPr>
          <w:rFonts w:hint="eastAsia" w:ascii="宋体" w:hAnsi="宋体"/>
          <w:color w:val="auto"/>
          <w:szCs w:val="21"/>
        </w:rPr>
        <w:t>51.2</w:t>
      </w:r>
      <w:r>
        <w:rPr>
          <w:rFonts w:ascii="宋体" w:hAnsi="宋体"/>
          <w:color w:val="auto"/>
          <w:szCs w:val="21"/>
        </w:rPr>
        <w:t>供应商质疑实行实名制和“谁质疑，谁举证”的原则，质疑应有具体的事项及事实根据。</w:t>
      </w:r>
    </w:p>
    <w:p>
      <w:pPr>
        <w:rPr>
          <w:rFonts w:ascii="宋体" w:hAnsi="宋体"/>
          <w:b/>
          <w:bCs/>
          <w:color w:val="auto"/>
          <w:szCs w:val="21"/>
        </w:rPr>
      </w:pPr>
      <w:r>
        <w:rPr>
          <w:rFonts w:hint="eastAsia" w:ascii="宋体" w:hAnsi="宋体"/>
          <w:b/>
          <w:bCs/>
          <w:color w:val="auto"/>
          <w:szCs w:val="21"/>
        </w:rPr>
        <w:t>52  质疑受理的时效和范围</w:t>
      </w:r>
    </w:p>
    <w:p>
      <w:pPr>
        <w:rPr>
          <w:rFonts w:ascii="宋体" w:hAnsi="宋体"/>
          <w:color w:val="auto"/>
          <w:szCs w:val="21"/>
        </w:rPr>
      </w:pPr>
      <w:r>
        <w:rPr>
          <w:rFonts w:hint="eastAsia" w:ascii="宋体" w:hAnsi="宋体"/>
          <w:color w:val="auto"/>
          <w:szCs w:val="21"/>
        </w:rPr>
        <w:t>52.1供应商认为采购文件、采购过程和中标（成交）结果使自己权益受到损害的，可以在知道或者应知其权益受到损害之日起五个工作日内，按照光明区公共资源交易中心官网公布《政府采购供应商质疑函范本》填写（下载地址：</w:t>
      </w:r>
      <w:r>
        <w:rPr>
          <w:rFonts w:ascii="宋体" w:hAnsi="宋体"/>
          <w:color w:val="auto"/>
          <w:szCs w:val="21"/>
          <w:lang w:val="en-US"/>
        </w:rPr>
        <w:t>https://td.szggzy.com/home/index.html</w:t>
      </w:r>
      <w:r>
        <w:rPr>
          <w:rFonts w:hint="eastAsia" w:ascii="宋体" w:hAnsi="宋体"/>
          <w:color w:val="auto"/>
          <w:szCs w:val="21"/>
        </w:rPr>
        <w:t>），以书面形式向深圳市光明区公共资源交易中心提出质疑，联系方式及地址详见招标公告。</w:t>
      </w:r>
    </w:p>
    <w:p>
      <w:pPr>
        <w:rPr>
          <w:rFonts w:ascii="宋体" w:hAnsi="宋体"/>
          <w:color w:val="auto"/>
          <w:szCs w:val="21"/>
        </w:rPr>
      </w:pPr>
      <w:r>
        <w:rPr>
          <w:rFonts w:hint="eastAsia" w:ascii="宋体" w:hAnsi="宋体"/>
          <w:color w:val="auto"/>
          <w:szCs w:val="21"/>
        </w:rPr>
        <w:t>52.2供应商对采购文件有疑问的，深圳市光明区公共资源交易中心按答疑程序处理；供应商对采购文件有异议的，按质疑程序处理。</w:t>
      </w:r>
    </w:p>
    <w:p>
      <w:pPr>
        <w:rPr>
          <w:rFonts w:ascii="宋体" w:hAnsi="宋体"/>
          <w:b/>
          <w:bCs/>
          <w:color w:val="auto"/>
          <w:szCs w:val="21"/>
        </w:rPr>
      </w:pPr>
      <w:r>
        <w:rPr>
          <w:rFonts w:hint="eastAsia" w:ascii="宋体" w:hAnsi="宋体"/>
          <w:b/>
          <w:bCs/>
          <w:color w:val="auto"/>
          <w:szCs w:val="21"/>
        </w:rPr>
        <w:t>53  质疑条件</w:t>
      </w:r>
    </w:p>
    <w:p>
      <w:pPr>
        <w:rPr>
          <w:rFonts w:ascii="宋体" w:hAnsi="宋体"/>
          <w:color w:val="auto"/>
          <w:szCs w:val="21"/>
        </w:rPr>
      </w:pPr>
      <w:r>
        <w:rPr>
          <w:rFonts w:hint="eastAsia" w:ascii="宋体" w:hAnsi="宋体"/>
          <w:color w:val="auto"/>
          <w:szCs w:val="21"/>
        </w:rPr>
        <w:t>53.1提出质疑的应是直接参与相应采购项目的供应商。以联合体形式参与的，由联合体的主体共同提出；</w:t>
      </w:r>
    </w:p>
    <w:p>
      <w:pPr>
        <w:rPr>
          <w:rFonts w:ascii="宋体" w:hAnsi="宋体"/>
          <w:color w:val="auto"/>
          <w:szCs w:val="21"/>
        </w:rPr>
      </w:pPr>
      <w:r>
        <w:rPr>
          <w:rFonts w:hint="eastAsia" w:ascii="宋体" w:hAnsi="宋体"/>
          <w:color w:val="auto"/>
          <w:szCs w:val="21"/>
        </w:rPr>
        <w:t>53.2提供质疑的项目名称和编号、质疑供应商的单位名称、详细地址、邮政编码、联系人及联系电话等基本情况；</w:t>
      </w:r>
    </w:p>
    <w:p>
      <w:pPr>
        <w:rPr>
          <w:rFonts w:ascii="宋体" w:hAnsi="宋体"/>
          <w:color w:val="auto"/>
          <w:szCs w:val="21"/>
        </w:rPr>
      </w:pPr>
      <w:r>
        <w:rPr>
          <w:rFonts w:hint="eastAsia" w:ascii="宋体" w:hAnsi="宋体"/>
          <w:color w:val="auto"/>
          <w:szCs w:val="21"/>
        </w:rPr>
        <w:t>53.3有质疑的具体事项、请求及理由，并附相关证据材料及法律依据；</w:t>
      </w:r>
    </w:p>
    <w:p>
      <w:pPr>
        <w:rPr>
          <w:rFonts w:ascii="宋体" w:hAnsi="宋体"/>
          <w:color w:val="auto"/>
          <w:szCs w:val="21"/>
        </w:rPr>
      </w:pPr>
      <w:r>
        <w:rPr>
          <w:rFonts w:hint="eastAsia" w:ascii="宋体" w:hAnsi="宋体"/>
          <w:color w:val="auto"/>
          <w:szCs w:val="21"/>
        </w:rPr>
        <w:t>53.4质疑书加盖公章，被授权人进行质疑的同时提交营业执照复印件、法定代表人证明书及其身份证复印件、授权委托书及被授权人身份证复印件；</w:t>
      </w:r>
    </w:p>
    <w:p>
      <w:pPr>
        <w:rPr>
          <w:rFonts w:ascii="宋体" w:hAnsi="宋体"/>
          <w:color w:val="auto"/>
          <w:szCs w:val="21"/>
        </w:rPr>
      </w:pPr>
      <w:r>
        <w:rPr>
          <w:rFonts w:hint="eastAsia" w:ascii="宋体" w:hAnsi="宋体"/>
          <w:color w:val="auto"/>
          <w:szCs w:val="21"/>
        </w:rPr>
        <w:t>53.5质疑材料中有外文资料的，应一并附上中文译本，并以中文译本为准。</w:t>
      </w:r>
    </w:p>
    <w:p>
      <w:pPr>
        <w:rPr>
          <w:rFonts w:ascii="宋体" w:hAnsi="宋体"/>
          <w:color w:val="auto"/>
          <w:szCs w:val="21"/>
        </w:rPr>
      </w:pPr>
      <w:r>
        <w:rPr>
          <w:rFonts w:hint="eastAsia" w:ascii="宋体" w:hAnsi="宋体"/>
          <w:color w:val="auto"/>
          <w:szCs w:val="21"/>
        </w:rPr>
        <w:t>不符合上述条件的，深圳市光明区公共资源交易中心不予受理。</w:t>
      </w:r>
    </w:p>
    <w:p>
      <w:pPr>
        <w:rPr>
          <w:rFonts w:ascii="宋体" w:hAnsi="宋体"/>
          <w:b/>
          <w:bCs/>
          <w:color w:val="auto"/>
          <w:szCs w:val="21"/>
        </w:rPr>
      </w:pPr>
      <w:r>
        <w:rPr>
          <w:rFonts w:hint="eastAsia" w:ascii="宋体" w:hAnsi="宋体"/>
          <w:b/>
          <w:bCs/>
          <w:color w:val="auto"/>
          <w:szCs w:val="21"/>
        </w:rPr>
        <w:t>54  受理质疑办理程序</w:t>
      </w:r>
    </w:p>
    <w:p>
      <w:pPr>
        <w:rPr>
          <w:rFonts w:ascii="宋体" w:hAnsi="宋体"/>
          <w:color w:val="auto"/>
          <w:szCs w:val="21"/>
        </w:rPr>
      </w:pPr>
      <w:r>
        <w:rPr>
          <w:rFonts w:hint="eastAsia" w:ascii="宋体" w:hAnsi="宋体"/>
          <w:color w:val="auto"/>
          <w:szCs w:val="21"/>
        </w:rPr>
        <w:t>54.1先与质疑供应商进行沟通，以消除因误解或对采购规则和程序的不了解而引起的质疑。对沟通情况满意的，供应商撤回质疑，质疑处理程序终止。</w:t>
      </w:r>
    </w:p>
    <w:p>
      <w:pPr>
        <w:rPr>
          <w:rFonts w:ascii="宋体" w:hAnsi="宋体"/>
          <w:color w:val="auto"/>
          <w:szCs w:val="21"/>
        </w:rPr>
      </w:pPr>
      <w:r>
        <w:rPr>
          <w:rFonts w:hint="eastAsia" w:ascii="宋体" w:hAnsi="宋体"/>
          <w:color w:val="auto"/>
          <w:szCs w:val="21"/>
        </w:rPr>
        <w:t>54.2处理质疑一般进行书面审查；必要时听取各方当事人的陈述和申辩、进行相关调查；组织原评审委员会或谈判小组进行复核。</w:t>
      </w:r>
    </w:p>
    <w:p>
      <w:pPr>
        <w:rPr>
          <w:rFonts w:ascii="宋体" w:hAnsi="宋体"/>
          <w:color w:val="auto"/>
          <w:szCs w:val="21"/>
        </w:rPr>
      </w:pPr>
      <w:r>
        <w:rPr>
          <w:rFonts w:hint="eastAsia" w:ascii="宋体" w:hAnsi="宋体"/>
          <w:color w:val="auto"/>
          <w:szCs w:val="21"/>
        </w:rPr>
        <w:t>54.3在质疑处理期间，原则上不中止采购活动。但深圳市光明区发展和财政局视情形决定是否暂停采购活动。</w:t>
      </w:r>
    </w:p>
    <w:p>
      <w:pPr>
        <w:rPr>
          <w:rFonts w:ascii="宋体" w:hAnsi="宋体"/>
          <w:color w:val="auto"/>
          <w:szCs w:val="21"/>
        </w:rPr>
      </w:pPr>
      <w:r>
        <w:rPr>
          <w:rFonts w:hint="eastAsia" w:ascii="宋体" w:hAnsi="宋体"/>
          <w:color w:val="auto"/>
          <w:szCs w:val="21"/>
        </w:rPr>
        <w:t>54.4深圳市光明区公共资源交易中心原则上在质疑受理之日起十个工作日内书面答复质疑供应商。质疑答复函以直接领取、传真或邮寄方式送达。</w:t>
      </w:r>
    </w:p>
    <w:p>
      <w:pPr>
        <w:rPr>
          <w:rFonts w:ascii="宋体" w:hAnsi="宋体"/>
          <w:color w:val="auto"/>
          <w:szCs w:val="21"/>
        </w:rPr>
      </w:pPr>
      <w:r>
        <w:rPr>
          <w:rFonts w:hint="eastAsia" w:ascii="宋体" w:hAnsi="宋体"/>
          <w:color w:val="auto"/>
          <w:szCs w:val="21"/>
        </w:rPr>
        <w:t>54.5供应商向深圳市光明区公共资源交易中心提出质疑后，在质疑处理期限内，不得同时向其他方面提起同一质疑。质疑供应商如已就同一事项提起投诉、提请行政复议或诉讼的，质疑程序终止。</w:t>
      </w:r>
    </w:p>
    <w:p>
      <w:pPr>
        <w:rPr>
          <w:rFonts w:ascii="宋体" w:hAnsi="宋体"/>
          <w:color w:val="auto"/>
          <w:szCs w:val="21"/>
        </w:rPr>
      </w:pPr>
      <w:r>
        <w:rPr>
          <w:rFonts w:hint="eastAsia" w:ascii="宋体" w:hAnsi="宋体"/>
          <w:color w:val="auto"/>
          <w:szCs w:val="21"/>
        </w:rPr>
        <w:t>54.6 供应商应当在法定质疑期内一次性提出针对同一采购程序环节的质疑。</w:t>
      </w:r>
    </w:p>
    <w:p>
      <w:pPr>
        <w:rPr>
          <w:rFonts w:ascii="宋体" w:hAnsi="宋体"/>
          <w:b/>
          <w:bCs/>
          <w:color w:val="auto"/>
          <w:szCs w:val="21"/>
        </w:rPr>
      </w:pPr>
      <w:r>
        <w:rPr>
          <w:rFonts w:hint="eastAsia" w:ascii="宋体" w:hAnsi="宋体"/>
          <w:b/>
          <w:bCs/>
          <w:color w:val="auto"/>
          <w:szCs w:val="21"/>
        </w:rPr>
        <w:t>55  相关责任与义务</w:t>
      </w:r>
    </w:p>
    <w:p>
      <w:pPr>
        <w:rPr>
          <w:rFonts w:ascii="宋体" w:hAnsi="宋体"/>
          <w:color w:val="auto"/>
          <w:szCs w:val="21"/>
        </w:rPr>
      </w:pPr>
      <w:r>
        <w:rPr>
          <w:rFonts w:hint="eastAsia" w:ascii="宋体" w:hAnsi="宋体"/>
          <w:color w:val="auto"/>
          <w:szCs w:val="21"/>
        </w:rPr>
        <w:t>55.1采购单位、评标专家和相关供应商等当事人应积极配合深圳市光明区公共资源交易中心进行质疑处理，如实反映情况，及时提供证明材料。</w:t>
      </w:r>
    </w:p>
    <w:p>
      <w:pPr>
        <w:rPr>
          <w:rFonts w:ascii="宋体" w:hAnsi="宋体"/>
          <w:color w:val="auto"/>
          <w:szCs w:val="21"/>
        </w:rPr>
      </w:pPr>
      <w:r>
        <w:rPr>
          <w:rFonts w:hint="eastAsia" w:ascii="宋体" w:hAnsi="宋体"/>
          <w:color w:val="auto"/>
          <w:szCs w:val="21"/>
        </w:rPr>
        <w:t>55.2质疑供应商有下列情形之一的，深圳市光明区公共资源交易中心将视情节上报至政府采购监督管理部门，由政府采购监督管理部门记入供应商诚信档案。：</w:t>
      </w:r>
    </w:p>
    <w:p>
      <w:pPr>
        <w:rPr>
          <w:rFonts w:ascii="宋体" w:hAnsi="宋体"/>
          <w:color w:val="auto"/>
          <w:szCs w:val="21"/>
        </w:rPr>
      </w:pPr>
      <w:r>
        <w:rPr>
          <w:rFonts w:hint="eastAsia" w:ascii="宋体" w:hAnsi="宋体"/>
          <w:color w:val="auto"/>
          <w:szCs w:val="21"/>
        </w:rPr>
        <w:t>55.2.1捏造事实或提供虚假证明材料的；</w:t>
      </w:r>
    </w:p>
    <w:p>
      <w:pPr>
        <w:rPr>
          <w:rFonts w:ascii="宋体" w:hAnsi="宋体"/>
          <w:color w:val="auto"/>
          <w:szCs w:val="21"/>
        </w:rPr>
      </w:pPr>
      <w:r>
        <w:rPr>
          <w:rFonts w:hint="eastAsia" w:ascii="宋体" w:hAnsi="宋体"/>
          <w:color w:val="auto"/>
          <w:szCs w:val="21"/>
        </w:rPr>
        <w:t>55.2.2假冒他人名义进行质疑的；</w:t>
      </w:r>
    </w:p>
    <w:p>
      <w:pPr>
        <w:rPr>
          <w:rFonts w:ascii="宋体" w:hAnsi="宋体"/>
          <w:color w:val="auto"/>
          <w:szCs w:val="21"/>
        </w:rPr>
      </w:pPr>
      <w:r>
        <w:rPr>
          <w:rFonts w:hint="eastAsia" w:ascii="宋体" w:hAnsi="宋体"/>
          <w:color w:val="auto"/>
          <w:szCs w:val="21"/>
        </w:rPr>
        <w:t>55.2.3拒不配合进行有关调查、情节严重的。</w:t>
      </w:r>
    </w:p>
    <w:p>
      <w:pPr>
        <w:rPr>
          <w:color w:val="auto"/>
        </w:rPr>
      </w:pPr>
    </w:p>
    <w:p>
      <w:pPr>
        <w:pStyle w:val="2"/>
        <w:rPr>
          <w:color w:val="auto"/>
          <w:lang w:eastAsia="zh-CN"/>
        </w:rPr>
      </w:pPr>
    </w:p>
    <w:sectPr>
      <w:pgSz w:w="11906" w:h="16838"/>
      <w:pgMar w:top="720" w:right="1106"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文鼎CS楷体">
    <w:altName w:val="方正楷体_GBK"/>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文鼎CS大隶书">
    <w:altName w:val="方正隶书_GBK"/>
    <w:panose1 w:val="00000000000000000000"/>
    <w:charset w:val="86"/>
    <w:family w:val="auto"/>
    <w:pitch w:val="default"/>
    <w:sig w:usb0="00000000" w:usb1="00000000" w:usb2="00000010" w:usb3="00000000" w:csb0="00040000" w:csb1="00000000"/>
  </w:font>
  <w:font w:name="文鼎CS中宋">
    <w:altName w:val="方正书宋_GBK"/>
    <w:panose1 w:val="00000000000000000000"/>
    <w:charset w:val="86"/>
    <w:family w:val="auto"/>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Helvetica">
    <w:altName w:val="Liberation Sans"/>
    <w:panose1 w:val="020B0604020202020204"/>
    <w:charset w:val="00"/>
    <w:family w:val="swiss"/>
    <w:pitch w:val="default"/>
    <w:sig w:usb0="00000000" w:usb1="00000000" w:usb2="00000000" w:usb3="00000000" w:csb0="00000093" w:csb1="00000000"/>
  </w:font>
  <w:font w:name="Liberation Sans">
    <w:panose1 w:val="020B0604020202020204"/>
    <w:charset w:val="00"/>
    <w:family w:val="auto"/>
    <w:pitch w:val="default"/>
    <w:sig w:usb0="A00002AF" w:usb1="500078FB" w:usb2="00000000" w:usb3="00000000" w:csb0="6000009F" w:csb1="DFD70000"/>
  </w:font>
  <w:font w:name="文鼎CS中黑">
    <w:altName w:val="方正黑体_GBK"/>
    <w:panose1 w:val="00000000000000000000"/>
    <w:charset w:val="86"/>
    <w:family w:val="auto"/>
    <w:pitch w:val="default"/>
    <w:sig w:usb0="00000000" w:usb1="00000000" w:usb2="00000010" w:usb3="00000000" w:csb0="00040000" w:csb1="00000000"/>
  </w:font>
  <w:font w:name="MathJax_Vector">
    <w:panose1 w:val="02000603000000000000"/>
    <w:charset w:val="00"/>
    <w:family w:val="auto"/>
    <w:pitch w:val="default"/>
    <w:sig w:usb0="00000001" w:usb1="00000020" w:usb2="00000000" w:usb3="00000000" w:csb0="00000001" w:csb1="00000000"/>
  </w:font>
  <w:font w:name="_x000B__x000C_">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长城仿宋">
    <w:altName w:val="方正仿宋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幼圆">
    <w:panose1 w:val="02010509060101010101"/>
    <w:charset w:val="86"/>
    <w:family w:val="modern"/>
    <w:pitch w:val="default"/>
    <w:sig w:usb0="00000001" w:usb1="080E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t xml:space="preserve">- </w:t>
    </w:r>
    <w:r>
      <w:fldChar w:fldCharType="begin"/>
    </w:r>
    <w:r>
      <w:instrText xml:space="preserve"> PAGE </w:instrText>
    </w:r>
    <w:r>
      <w:fldChar w:fldCharType="separate"/>
    </w:r>
    <w:r>
      <w:t>10</w:t>
    </w:r>
    <w:r>
      <w:fldChar w:fldCharType="end"/>
    </w:r>
    <w:r>
      <w:t xml:space="preserve"> -</w:t>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F7346"/>
    <w:multiLevelType w:val="singleLevel"/>
    <w:tmpl w:val="AFAF7346"/>
    <w:lvl w:ilvl="0" w:tentative="0">
      <w:start w:val="6"/>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47"/>
      <w:lvlText w:val="%1."/>
      <w:lvlJc w:val="left"/>
      <w:pPr>
        <w:tabs>
          <w:tab w:val="left" w:pos="2040"/>
        </w:tabs>
        <w:ind w:left="2040" w:hanging="360"/>
      </w:pPr>
    </w:lvl>
  </w:abstractNum>
  <w:abstractNum w:abstractNumId="2">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3">
    <w:nsid w:val="00000004"/>
    <w:multiLevelType w:val="multilevel"/>
    <w:tmpl w:val="00000004"/>
    <w:lvl w:ilvl="0" w:tentative="0">
      <w:start w:val="1"/>
      <w:numFmt w:val="decimal"/>
      <w:pStyle w:val="190"/>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B"/>
    <w:multiLevelType w:val="multilevel"/>
    <w:tmpl w:val="0000000B"/>
    <w:lvl w:ilvl="0" w:tentative="0">
      <w:start w:val="1"/>
      <w:numFmt w:val="japaneseCounting"/>
      <w:lvlText w:val="（%1）"/>
      <w:lvlJc w:val="left"/>
      <w:pPr>
        <w:tabs>
          <w:tab w:val="left" w:pos="1416"/>
        </w:tabs>
        <w:ind w:left="1416" w:hanging="99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
    <w:nsid w:val="159D97D3"/>
    <w:multiLevelType w:val="multilevel"/>
    <w:tmpl w:val="159D97D3"/>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27B50313"/>
    <w:multiLevelType w:val="multilevel"/>
    <w:tmpl w:val="27B50313"/>
    <w:lvl w:ilvl="0" w:tentative="0">
      <w:start w:val="1"/>
      <w:numFmt w:val="decimal"/>
      <w:pStyle w:val="13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A23AE1"/>
    <w:multiLevelType w:val="multilevel"/>
    <w:tmpl w:val="4FA23AE1"/>
    <w:lvl w:ilvl="0" w:tentative="0">
      <w:start w:val="1"/>
      <w:numFmt w:val="bullet"/>
      <w:pStyle w:val="149"/>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2A05FAD"/>
    <w:multiLevelType w:val="multilevel"/>
    <w:tmpl w:val="62A05FAD"/>
    <w:lvl w:ilvl="0" w:tentative="0">
      <w:start w:val="1"/>
      <w:numFmt w:val="chineseCountingThousand"/>
      <w:pStyle w:val="150"/>
      <w:lvlText w:val="%1、"/>
      <w:lvlJc w:val="left"/>
      <w:pPr>
        <w:ind w:left="2100" w:hanging="420"/>
      </w:p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9">
    <w:nsid w:val="6987AF48"/>
    <w:multiLevelType w:val="singleLevel"/>
    <w:tmpl w:val="6987AF48"/>
    <w:lvl w:ilvl="0" w:tentative="0">
      <w:start w:val="1"/>
      <w:numFmt w:val="decimal"/>
      <w:suff w:val="nothing"/>
      <w:lvlText w:val="%1、"/>
      <w:lvlJc w:val="left"/>
    </w:lvl>
  </w:abstractNum>
  <w:num w:numId="1">
    <w:abstractNumId w:val="1"/>
  </w:num>
  <w:num w:numId="2">
    <w:abstractNumId w:val="2"/>
  </w:num>
  <w:num w:numId="3">
    <w:abstractNumId w:val="6"/>
  </w:num>
  <w:num w:numId="4">
    <w:abstractNumId w:val="7"/>
  </w:num>
  <w:num w:numId="5">
    <w:abstractNumId w:val="8"/>
  </w:num>
  <w:num w:numId="6">
    <w:abstractNumId w:val="3"/>
  </w:num>
  <w:num w:numId="7">
    <w:abstractNumId w:val="9"/>
  </w:num>
  <w:num w:numId="8">
    <w:abstractNumId w:val="5"/>
  </w:num>
  <w:num w:numId="9">
    <w:abstractNumId w:val="0"/>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8AA"/>
    <w:rsid w:val="00001375"/>
    <w:rsid w:val="00003013"/>
    <w:rsid w:val="00003A9C"/>
    <w:rsid w:val="00005215"/>
    <w:rsid w:val="00005A10"/>
    <w:rsid w:val="00006F01"/>
    <w:rsid w:val="00010102"/>
    <w:rsid w:val="00010BC2"/>
    <w:rsid w:val="00010F1A"/>
    <w:rsid w:val="00012625"/>
    <w:rsid w:val="000134A6"/>
    <w:rsid w:val="00013A78"/>
    <w:rsid w:val="0001547C"/>
    <w:rsid w:val="00015921"/>
    <w:rsid w:val="00015AF1"/>
    <w:rsid w:val="0001716B"/>
    <w:rsid w:val="000172AA"/>
    <w:rsid w:val="000177C0"/>
    <w:rsid w:val="00017D0A"/>
    <w:rsid w:val="00020DF8"/>
    <w:rsid w:val="000211EA"/>
    <w:rsid w:val="00021BA6"/>
    <w:rsid w:val="000230E2"/>
    <w:rsid w:val="000234B2"/>
    <w:rsid w:val="00024E49"/>
    <w:rsid w:val="0002621F"/>
    <w:rsid w:val="000269C9"/>
    <w:rsid w:val="00026B5B"/>
    <w:rsid w:val="00026F0E"/>
    <w:rsid w:val="00030168"/>
    <w:rsid w:val="00030712"/>
    <w:rsid w:val="00031260"/>
    <w:rsid w:val="000316CE"/>
    <w:rsid w:val="00031700"/>
    <w:rsid w:val="00031F6E"/>
    <w:rsid w:val="00032ED7"/>
    <w:rsid w:val="0003440B"/>
    <w:rsid w:val="00034D28"/>
    <w:rsid w:val="0003589A"/>
    <w:rsid w:val="00035A08"/>
    <w:rsid w:val="00040D3C"/>
    <w:rsid w:val="000411F0"/>
    <w:rsid w:val="0004129C"/>
    <w:rsid w:val="00041D63"/>
    <w:rsid w:val="0004249E"/>
    <w:rsid w:val="0004283A"/>
    <w:rsid w:val="00043A89"/>
    <w:rsid w:val="00043D00"/>
    <w:rsid w:val="0004527C"/>
    <w:rsid w:val="00045739"/>
    <w:rsid w:val="00046EBF"/>
    <w:rsid w:val="000472D8"/>
    <w:rsid w:val="00050500"/>
    <w:rsid w:val="0005108D"/>
    <w:rsid w:val="000510B6"/>
    <w:rsid w:val="00051F3F"/>
    <w:rsid w:val="000521F0"/>
    <w:rsid w:val="00052BC1"/>
    <w:rsid w:val="000535F8"/>
    <w:rsid w:val="0005582B"/>
    <w:rsid w:val="00056970"/>
    <w:rsid w:val="00056C64"/>
    <w:rsid w:val="00057332"/>
    <w:rsid w:val="00057D68"/>
    <w:rsid w:val="00060ACE"/>
    <w:rsid w:val="0006267A"/>
    <w:rsid w:val="00062765"/>
    <w:rsid w:val="00063763"/>
    <w:rsid w:val="000643BC"/>
    <w:rsid w:val="00064D60"/>
    <w:rsid w:val="0006670C"/>
    <w:rsid w:val="00070B05"/>
    <w:rsid w:val="00071848"/>
    <w:rsid w:val="00073CAF"/>
    <w:rsid w:val="000748C5"/>
    <w:rsid w:val="00074EC1"/>
    <w:rsid w:val="000750DC"/>
    <w:rsid w:val="00075E72"/>
    <w:rsid w:val="000767B4"/>
    <w:rsid w:val="000773DE"/>
    <w:rsid w:val="000806E8"/>
    <w:rsid w:val="000810A4"/>
    <w:rsid w:val="00082667"/>
    <w:rsid w:val="000827B3"/>
    <w:rsid w:val="00083786"/>
    <w:rsid w:val="00083DC6"/>
    <w:rsid w:val="00083EEE"/>
    <w:rsid w:val="0008470B"/>
    <w:rsid w:val="000907E2"/>
    <w:rsid w:val="0009231F"/>
    <w:rsid w:val="00092FC7"/>
    <w:rsid w:val="00093A04"/>
    <w:rsid w:val="000954D5"/>
    <w:rsid w:val="00095704"/>
    <w:rsid w:val="00095883"/>
    <w:rsid w:val="0009618D"/>
    <w:rsid w:val="00096E04"/>
    <w:rsid w:val="0009709B"/>
    <w:rsid w:val="00097E84"/>
    <w:rsid w:val="000A0AFD"/>
    <w:rsid w:val="000A0EB5"/>
    <w:rsid w:val="000A203F"/>
    <w:rsid w:val="000A3A34"/>
    <w:rsid w:val="000A4CCC"/>
    <w:rsid w:val="000A56F5"/>
    <w:rsid w:val="000A7204"/>
    <w:rsid w:val="000B05E2"/>
    <w:rsid w:val="000B24CA"/>
    <w:rsid w:val="000B2568"/>
    <w:rsid w:val="000B4D28"/>
    <w:rsid w:val="000B4F6A"/>
    <w:rsid w:val="000B5AB9"/>
    <w:rsid w:val="000B5C22"/>
    <w:rsid w:val="000B65E7"/>
    <w:rsid w:val="000B6BE3"/>
    <w:rsid w:val="000B6D94"/>
    <w:rsid w:val="000B74D3"/>
    <w:rsid w:val="000C1EE4"/>
    <w:rsid w:val="000C2303"/>
    <w:rsid w:val="000C25A5"/>
    <w:rsid w:val="000C3601"/>
    <w:rsid w:val="000C364B"/>
    <w:rsid w:val="000C3B3C"/>
    <w:rsid w:val="000C4683"/>
    <w:rsid w:val="000C4DC7"/>
    <w:rsid w:val="000C56BC"/>
    <w:rsid w:val="000C6054"/>
    <w:rsid w:val="000C69A0"/>
    <w:rsid w:val="000D03DA"/>
    <w:rsid w:val="000D08BF"/>
    <w:rsid w:val="000D1A7D"/>
    <w:rsid w:val="000D1EE3"/>
    <w:rsid w:val="000D208A"/>
    <w:rsid w:val="000D2309"/>
    <w:rsid w:val="000D326B"/>
    <w:rsid w:val="000D38F9"/>
    <w:rsid w:val="000D50AA"/>
    <w:rsid w:val="000D528E"/>
    <w:rsid w:val="000D540F"/>
    <w:rsid w:val="000D577D"/>
    <w:rsid w:val="000D5CF2"/>
    <w:rsid w:val="000D61A9"/>
    <w:rsid w:val="000D7CE8"/>
    <w:rsid w:val="000D7EBB"/>
    <w:rsid w:val="000D7F08"/>
    <w:rsid w:val="000E0814"/>
    <w:rsid w:val="000E168F"/>
    <w:rsid w:val="000E4DE8"/>
    <w:rsid w:val="000E7259"/>
    <w:rsid w:val="000E7975"/>
    <w:rsid w:val="000E7EF3"/>
    <w:rsid w:val="000F0164"/>
    <w:rsid w:val="000F0DEE"/>
    <w:rsid w:val="000F2065"/>
    <w:rsid w:val="000F2129"/>
    <w:rsid w:val="000F2A88"/>
    <w:rsid w:val="000F2D1B"/>
    <w:rsid w:val="000F3080"/>
    <w:rsid w:val="000F338D"/>
    <w:rsid w:val="000F3727"/>
    <w:rsid w:val="000F49D8"/>
    <w:rsid w:val="000F565B"/>
    <w:rsid w:val="000F5F3F"/>
    <w:rsid w:val="000F641E"/>
    <w:rsid w:val="000F7BD8"/>
    <w:rsid w:val="000F7E06"/>
    <w:rsid w:val="000F7E97"/>
    <w:rsid w:val="0010110E"/>
    <w:rsid w:val="00101DD0"/>
    <w:rsid w:val="00102555"/>
    <w:rsid w:val="0010437A"/>
    <w:rsid w:val="00104E90"/>
    <w:rsid w:val="0010541A"/>
    <w:rsid w:val="00105993"/>
    <w:rsid w:val="00107D54"/>
    <w:rsid w:val="00111A0A"/>
    <w:rsid w:val="00111B00"/>
    <w:rsid w:val="00111CA0"/>
    <w:rsid w:val="00112FA5"/>
    <w:rsid w:val="0011476F"/>
    <w:rsid w:val="00114C9F"/>
    <w:rsid w:val="00114E37"/>
    <w:rsid w:val="00115A55"/>
    <w:rsid w:val="00115F88"/>
    <w:rsid w:val="001176F3"/>
    <w:rsid w:val="0011791A"/>
    <w:rsid w:val="001212EF"/>
    <w:rsid w:val="00121503"/>
    <w:rsid w:val="00121639"/>
    <w:rsid w:val="001217DC"/>
    <w:rsid w:val="0012203F"/>
    <w:rsid w:val="0012310C"/>
    <w:rsid w:val="00123CC6"/>
    <w:rsid w:val="00125C8A"/>
    <w:rsid w:val="00127D1B"/>
    <w:rsid w:val="00130827"/>
    <w:rsid w:val="001308A2"/>
    <w:rsid w:val="00131371"/>
    <w:rsid w:val="0013185E"/>
    <w:rsid w:val="00132C10"/>
    <w:rsid w:val="00133D84"/>
    <w:rsid w:val="001342FE"/>
    <w:rsid w:val="0013484A"/>
    <w:rsid w:val="00135C11"/>
    <w:rsid w:val="00135D34"/>
    <w:rsid w:val="001405BA"/>
    <w:rsid w:val="001408A2"/>
    <w:rsid w:val="00140A8D"/>
    <w:rsid w:val="00141244"/>
    <w:rsid w:val="00143653"/>
    <w:rsid w:val="00143B3A"/>
    <w:rsid w:val="0014456C"/>
    <w:rsid w:val="00144AB5"/>
    <w:rsid w:val="001451A5"/>
    <w:rsid w:val="0014550E"/>
    <w:rsid w:val="00146C71"/>
    <w:rsid w:val="00152656"/>
    <w:rsid w:val="001536AC"/>
    <w:rsid w:val="00153BDB"/>
    <w:rsid w:val="00156A08"/>
    <w:rsid w:val="00156C11"/>
    <w:rsid w:val="00157E23"/>
    <w:rsid w:val="00157FC3"/>
    <w:rsid w:val="00161C84"/>
    <w:rsid w:val="00161D6D"/>
    <w:rsid w:val="0016264C"/>
    <w:rsid w:val="001626BD"/>
    <w:rsid w:val="001638A2"/>
    <w:rsid w:val="00164E23"/>
    <w:rsid w:val="00165550"/>
    <w:rsid w:val="0016595F"/>
    <w:rsid w:val="00165E63"/>
    <w:rsid w:val="00166A2C"/>
    <w:rsid w:val="0016758C"/>
    <w:rsid w:val="00170B38"/>
    <w:rsid w:val="001719DB"/>
    <w:rsid w:val="00171F20"/>
    <w:rsid w:val="00172003"/>
    <w:rsid w:val="00174200"/>
    <w:rsid w:val="00174F4C"/>
    <w:rsid w:val="00177167"/>
    <w:rsid w:val="0018063F"/>
    <w:rsid w:val="00183262"/>
    <w:rsid w:val="00183AFF"/>
    <w:rsid w:val="00183C79"/>
    <w:rsid w:val="00183C8B"/>
    <w:rsid w:val="00183E75"/>
    <w:rsid w:val="00184423"/>
    <w:rsid w:val="001845CF"/>
    <w:rsid w:val="001848C2"/>
    <w:rsid w:val="001865BB"/>
    <w:rsid w:val="00187518"/>
    <w:rsid w:val="001875D6"/>
    <w:rsid w:val="00190C6C"/>
    <w:rsid w:val="00191E71"/>
    <w:rsid w:val="001935F4"/>
    <w:rsid w:val="001949D4"/>
    <w:rsid w:val="00194EA2"/>
    <w:rsid w:val="00195255"/>
    <w:rsid w:val="00195F25"/>
    <w:rsid w:val="00196954"/>
    <w:rsid w:val="00196B4E"/>
    <w:rsid w:val="00196C20"/>
    <w:rsid w:val="00196C65"/>
    <w:rsid w:val="00196CD2"/>
    <w:rsid w:val="00197346"/>
    <w:rsid w:val="001A027A"/>
    <w:rsid w:val="001A0887"/>
    <w:rsid w:val="001A08FE"/>
    <w:rsid w:val="001A0D2C"/>
    <w:rsid w:val="001A0E67"/>
    <w:rsid w:val="001A1045"/>
    <w:rsid w:val="001A22BB"/>
    <w:rsid w:val="001A2A06"/>
    <w:rsid w:val="001A2B06"/>
    <w:rsid w:val="001A2DC2"/>
    <w:rsid w:val="001A312F"/>
    <w:rsid w:val="001A3ECB"/>
    <w:rsid w:val="001A3FA1"/>
    <w:rsid w:val="001A4195"/>
    <w:rsid w:val="001A422B"/>
    <w:rsid w:val="001A43A6"/>
    <w:rsid w:val="001A440A"/>
    <w:rsid w:val="001A4A55"/>
    <w:rsid w:val="001A4BFD"/>
    <w:rsid w:val="001A5DC7"/>
    <w:rsid w:val="001A6A4F"/>
    <w:rsid w:val="001A76B7"/>
    <w:rsid w:val="001A7862"/>
    <w:rsid w:val="001A797A"/>
    <w:rsid w:val="001A7BBE"/>
    <w:rsid w:val="001B0D1E"/>
    <w:rsid w:val="001B1339"/>
    <w:rsid w:val="001B194F"/>
    <w:rsid w:val="001B1FDD"/>
    <w:rsid w:val="001B2189"/>
    <w:rsid w:val="001B2424"/>
    <w:rsid w:val="001B25E0"/>
    <w:rsid w:val="001B2C56"/>
    <w:rsid w:val="001B4747"/>
    <w:rsid w:val="001B718F"/>
    <w:rsid w:val="001B7394"/>
    <w:rsid w:val="001C03DD"/>
    <w:rsid w:val="001C04B2"/>
    <w:rsid w:val="001C0D56"/>
    <w:rsid w:val="001C17D5"/>
    <w:rsid w:val="001C1FDE"/>
    <w:rsid w:val="001C335C"/>
    <w:rsid w:val="001C3997"/>
    <w:rsid w:val="001C3C53"/>
    <w:rsid w:val="001C4A29"/>
    <w:rsid w:val="001C5839"/>
    <w:rsid w:val="001C5D51"/>
    <w:rsid w:val="001C6DD3"/>
    <w:rsid w:val="001C77E1"/>
    <w:rsid w:val="001C7ADA"/>
    <w:rsid w:val="001D0257"/>
    <w:rsid w:val="001D04D5"/>
    <w:rsid w:val="001D126D"/>
    <w:rsid w:val="001D28A6"/>
    <w:rsid w:val="001D3543"/>
    <w:rsid w:val="001D533B"/>
    <w:rsid w:val="001D58E5"/>
    <w:rsid w:val="001E17D7"/>
    <w:rsid w:val="001E2502"/>
    <w:rsid w:val="001E292F"/>
    <w:rsid w:val="001E3CB0"/>
    <w:rsid w:val="001E474D"/>
    <w:rsid w:val="001E5720"/>
    <w:rsid w:val="001E5A81"/>
    <w:rsid w:val="001E5C01"/>
    <w:rsid w:val="001E6E60"/>
    <w:rsid w:val="001E721A"/>
    <w:rsid w:val="001F018E"/>
    <w:rsid w:val="001F0349"/>
    <w:rsid w:val="001F0B74"/>
    <w:rsid w:val="001F1DE3"/>
    <w:rsid w:val="001F2423"/>
    <w:rsid w:val="001F4EB8"/>
    <w:rsid w:val="001F6F6A"/>
    <w:rsid w:val="001F78C0"/>
    <w:rsid w:val="002002AC"/>
    <w:rsid w:val="00200B4C"/>
    <w:rsid w:val="002028F3"/>
    <w:rsid w:val="0020291D"/>
    <w:rsid w:val="00202EBF"/>
    <w:rsid w:val="00203267"/>
    <w:rsid w:val="0020391D"/>
    <w:rsid w:val="002048D9"/>
    <w:rsid w:val="00204CB6"/>
    <w:rsid w:val="002050C2"/>
    <w:rsid w:val="00205F9C"/>
    <w:rsid w:val="00207159"/>
    <w:rsid w:val="002075C8"/>
    <w:rsid w:val="0020792C"/>
    <w:rsid w:val="0021033D"/>
    <w:rsid w:val="00210771"/>
    <w:rsid w:val="00211069"/>
    <w:rsid w:val="00211885"/>
    <w:rsid w:val="00211AA3"/>
    <w:rsid w:val="00212702"/>
    <w:rsid w:val="00213F98"/>
    <w:rsid w:val="002150EB"/>
    <w:rsid w:val="00215699"/>
    <w:rsid w:val="002159DE"/>
    <w:rsid w:val="00215E99"/>
    <w:rsid w:val="002163D7"/>
    <w:rsid w:val="002163EE"/>
    <w:rsid w:val="002166A6"/>
    <w:rsid w:val="00216BB6"/>
    <w:rsid w:val="0022048B"/>
    <w:rsid w:val="002209E9"/>
    <w:rsid w:val="00221193"/>
    <w:rsid w:val="00221484"/>
    <w:rsid w:val="00222DEE"/>
    <w:rsid w:val="002249F8"/>
    <w:rsid w:val="00225FC3"/>
    <w:rsid w:val="00227D49"/>
    <w:rsid w:val="00227FC7"/>
    <w:rsid w:val="00230B7A"/>
    <w:rsid w:val="00231116"/>
    <w:rsid w:val="002321A1"/>
    <w:rsid w:val="00232C23"/>
    <w:rsid w:val="00232D55"/>
    <w:rsid w:val="0023409D"/>
    <w:rsid w:val="002340A6"/>
    <w:rsid w:val="00234461"/>
    <w:rsid w:val="002346DE"/>
    <w:rsid w:val="002364B5"/>
    <w:rsid w:val="00236E72"/>
    <w:rsid w:val="00237D3E"/>
    <w:rsid w:val="00240293"/>
    <w:rsid w:val="00244ACD"/>
    <w:rsid w:val="00244BB5"/>
    <w:rsid w:val="002456DC"/>
    <w:rsid w:val="00245754"/>
    <w:rsid w:val="00245B7A"/>
    <w:rsid w:val="00246066"/>
    <w:rsid w:val="00250B28"/>
    <w:rsid w:val="00250BEA"/>
    <w:rsid w:val="00250F42"/>
    <w:rsid w:val="002520DB"/>
    <w:rsid w:val="00252946"/>
    <w:rsid w:val="00252C25"/>
    <w:rsid w:val="002539CF"/>
    <w:rsid w:val="002540BC"/>
    <w:rsid w:val="002541CA"/>
    <w:rsid w:val="00254B44"/>
    <w:rsid w:val="00254E99"/>
    <w:rsid w:val="002558AC"/>
    <w:rsid w:val="00255D20"/>
    <w:rsid w:val="00256283"/>
    <w:rsid w:val="0026027A"/>
    <w:rsid w:val="00260533"/>
    <w:rsid w:val="002609E3"/>
    <w:rsid w:val="00261A54"/>
    <w:rsid w:val="00261D37"/>
    <w:rsid w:val="002623E6"/>
    <w:rsid w:val="00263607"/>
    <w:rsid w:val="0026475E"/>
    <w:rsid w:val="002656E1"/>
    <w:rsid w:val="00265CFF"/>
    <w:rsid w:val="0026719E"/>
    <w:rsid w:val="002674F3"/>
    <w:rsid w:val="00270486"/>
    <w:rsid w:val="0027098B"/>
    <w:rsid w:val="00271440"/>
    <w:rsid w:val="002715A8"/>
    <w:rsid w:val="00271BC8"/>
    <w:rsid w:val="00272663"/>
    <w:rsid w:val="002730A6"/>
    <w:rsid w:val="0027345F"/>
    <w:rsid w:val="00275641"/>
    <w:rsid w:val="002758A0"/>
    <w:rsid w:val="00276296"/>
    <w:rsid w:val="0027637D"/>
    <w:rsid w:val="00276AD0"/>
    <w:rsid w:val="002772D9"/>
    <w:rsid w:val="002777E4"/>
    <w:rsid w:val="0027799C"/>
    <w:rsid w:val="00280AB2"/>
    <w:rsid w:val="00280C45"/>
    <w:rsid w:val="0028214B"/>
    <w:rsid w:val="002821E9"/>
    <w:rsid w:val="002824CC"/>
    <w:rsid w:val="00282A99"/>
    <w:rsid w:val="00283002"/>
    <w:rsid w:val="00284B71"/>
    <w:rsid w:val="00284F50"/>
    <w:rsid w:val="00285197"/>
    <w:rsid w:val="00285C6D"/>
    <w:rsid w:val="00285CD4"/>
    <w:rsid w:val="00285D0B"/>
    <w:rsid w:val="002870AD"/>
    <w:rsid w:val="002874F8"/>
    <w:rsid w:val="00292F66"/>
    <w:rsid w:val="0029315D"/>
    <w:rsid w:val="00293F3A"/>
    <w:rsid w:val="0029449E"/>
    <w:rsid w:val="002951CE"/>
    <w:rsid w:val="002966CD"/>
    <w:rsid w:val="00296F46"/>
    <w:rsid w:val="00296F8A"/>
    <w:rsid w:val="002A180F"/>
    <w:rsid w:val="002A1D69"/>
    <w:rsid w:val="002A1DF2"/>
    <w:rsid w:val="002A28F2"/>
    <w:rsid w:val="002A3A36"/>
    <w:rsid w:val="002A3C65"/>
    <w:rsid w:val="002A54BA"/>
    <w:rsid w:val="002A6C0B"/>
    <w:rsid w:val="002B0564"/>
    <w:rsid w:val="002B22D4"/>
    <w:rsid w:val="002B30B9"/>
    <w:rsid w:val="002B32DB"/>
    <w:rsid w:val="002B3F5C"/>
    <w:rsid w:val="002B4985"/>
    <w:rsid w:val="002B4A2A"/>
    <w:rsid w:val="002B55E1"/>
    <w:rsid w:val="002B65BF"/>
    <w:rsid w:val="002B701D"/>
    <w:rsid w:val="002B7354"/>
    <w:rsid w:val="002B755E"/>
    <w:rsid w:val="002B7969"/>
    <w:rsid w:val="002C02F5"/>
    <w:rsid w:val="002C075F"/>
    <w:rsid w:val="002C0DE8"/>
    <w:rsid w:val="002C1177"/>
    <w:rsid w:val="002C2597"/>
    <w:rsid w:val="002C2717"/>
    <w:rsid w:val="002C36D1"/>
    <w:rsid w:val="002C3EBE"/>
    <w:rsid w:val="002C59A3"/>
    <w:rsid w:val="002C704C"/>
    <w:rsid w:val="002C7725"/>
    <w:rsid w:val="002C7B95"/>
    <w:rsid w:val="002D0356"/>
    <w:rsid w:val="002D07C0"/>
    <w:rsid w:val="002D0AC1"/>
    <w:rsid w:val="002D1AE1"/>
    <w:rsid w:val="002D2718"/>
    <w:rsid w:val="002D3AFB"/>
    <w:rsid w:val="002D4A85"/>
    <w:rsid w:val="002D51C0"/>
    <w:rsid w:val="002D5C21"/>
    <w:rsid w:val="002D6288"/>
    <w:rsid w:val="002D64DF"/>
    <w:rsid w:val="002D6AF0"/>
    <w:rsid w:val="002D7FCC"/>
    <w:rsid w:val="002E0B40"/>
    <w:rsid w:val="002E190F"/>
    <w:rsid w:val="002E1B0C"/>
    <w:rsid w:val="002E2544"/>
    <w:rsid w:val="002E38DB"/>
    <w:rsid w:val="002E4A09"/>
    <w:rsid w:val="002E4ECD"/>
    <w:rsid w:val="002E4F35"/>
    <w:rsid w:val="002E517A"/>
    <w:rsid w:val="002E5DF5"/>
    <w:rsid w:val="002E65B9"/>
    <w:rsid w:val="002F1399"/>
    <w:rsid w:val="002F29CB"/>
    <w:rsid w:val="002F2B7A"/>
    <w:rsid w:val="002F3105"/>
    <w:rsid w:val="002F6FE9"/>
    <w:rsid w:val="002F72FF"/>
    <w:rsid w:val="00301228"/>
    <w:rsid w:val="003016B5"/>
    <w:rsid w:val="003016EA"/>
    <w:rsid w:val="00303DF9"/>
    <w:rsid w:val="0030463E"/>
    <w:rsid w:val="00304ED6"/>
    <w:rsid w:val="003064C1"/>
    <w:rsid w:val="00306777"/>
    <w:rsid w:val="00306BD4"/>
    <w:rsid w:val="00307396"/>
    <w:rsid w:val="00312217"/>
    <w:rsid w:val="00312505"/>
    <w:rsid w:val="0031347A"/>
    <w:rsid w:val="003136B3"/>
    <w:rsid w:val="00314F82"/>
    <w:rsid w:val="00315548"/>
    <w:rsid w:val="00315A06"/>
    <w:rsid w:val="003160C0"/>
    <w:rsid w:val="003165DD"/>
    <w:rsid w:val="00316881"/>
    <w:rsid w:val="003173D5"/>
    <w:rsid w:val="00317C08"/>
    <w:rsid w:val="00320680"/>
    <w:rsid w:val="00320CCB"/>
    <w:rsid w:val="003225FB"/>
    <w:rsid w:val="00323A7C"/>
    <w:rsid w:val="00323AEA"/>
    <w:rsid w:val="00323C32"/>
    <w:rsid w:val="00324A1D"/>
    <w:rsid w:val="00324CD3"/>
    <w:rsid w:val="003256C6"/>
    <w:rsid w:val="00325742"/>
    <w:rsid w:val="00327AB3"/>
    <w:rsid w:val="00327B4F"/>
    <w:rsid w:val="00330264"/>
    <w:rsid w:val="00331189"/>
    <w:rsid w:val="00331398"/>
    <w:rsid w:val="00331501"/>
    <w:rsid w:val="0033330A"/>
    <w:rsid w:val="003336A2"/>
    <w:rsid w:val="00336D73"/>
    <w:rsid w:val="003372CE"/>
    <w:rsid w:val="0033746B"/>
    <w:rsid w:val="00337654"/>
    <w:rsid w:val="003401C5"/>
    <w:rsid w:val="00340A4F"/>
    <w:rsid w:val="0034105B"/>
    <w:rsid w:val="003422F3"/>
    <w:rsid w:val="00342DC1"/>
    <w:rsid w:val="00343A2F"/>
    <w:rsid w:val="00343C67"/>
    <w:rsid w:val="00343F41"/>
    <w:rsid w:val="00344D3F"/>
    <w:rsid w:val="00344F68"/>
    <w:rsid w:val="00345EA7"/>
    <w:rsid w:val="0034634E"/>
    <w:rsid w:val="0034652C"/>
    <w:rsid w:val="003467D0"/>
    <w:rsid w:val="0035067B"/>
    <w:rsid w:val="00350829"/>
    <w:rsid w:val="003513CE"/>
    <w:rsid w:val="003515C0"/>
    <w:rsid w:val="003516FE"/>
    <w:rsid w:val="00351FB4"/>
    <w:rsid w:val="00352569"/>
    <w:rsid w:val="0035341E"/>
    <w:rsid w:val="00353530"/>
    <w:rsid w:val="00354BE2"/>
    <w:rsid w:val="00360494"/>
    <w:rsid w:val="00361532"/>
    <w:rsid w:val="00361B22"/>
    <w:rsid w:val="003648FB"/>
    <w:rsid w:val="00364CBD"/>
    <w:rsid w:val="0036508D"/>
    <w:rsid w:val="00365161"/>
    <w:rsid w:val="003651C8"/>
    <w:rsid w:val="00366E66"/>
    <w:rsid w:val="00366F3E"/>
    <w:rsid w:val="0036763D"/>
    <w:rsid w:val="00370069"/>
    <w:rsid w:val="003700A3"/>
    <w:rsid w:val="003707A8"/>
    <w:rsid w:val="00370B40"/>
    <w:rsid w:val="00371C98"/>
    <w:rsid w:val="00373411"/>
    <w:rsid w:val="00373C07"/>
    <w:rsid w:val="00373C15"/>
    <w:rsid w:val="0037450D"/>
    <w:rsid w:val="003746BA"/>
    <w:rsid w:val="003747A1"/>
    <w:rsid w:val="0037524D"/>
    <w:rsid w:val="00375F3D"/>
    <w:rsid w:val="0037661F"/>
    <w:rsid w:val="00377D40"/>
    <w:rsid w:val="00380094"/>
    <w:rsid w:val="00380AAE"/>
    <w:rsid w:val="003824B7"/>
    <w:rsid w:val="00382D41"/>
    <w:rsid w:val="00383071"/>
    <w:rsid w:val="00385464"/>
    <w:rsid w:val="00385DA6"/>
    <w:rsid w:val="00387541"/>
    <w:rsid w:val="003900BF"/>
    <w:rsid w:val="00391FAB"/>
    <w:rsid w:val="00392539"/>
    <w:rsid w:val="00392677"/>
    <w:rsid w:val="003929D2"/>
    <w:rsid w:val="003929F7"/>
    <w:rsid w:val="00392B70"/>
    <w:rsid w:val="00394981"/>
    <w:rsid w:val="003953A8"/>
    <w:rsid w:val="003956F4"/>
    <w:rsid w:val="0039788E"/>
    <w:rsid w:val="003A024D"/>
    <w:rsid w:val="003A0A19"/>
    <w:rsid w:val="003A2DE5"/>
    <w:rsid w:val="003A3551"/>
    <w:rsid w:val="003A38F0"/>
    <w:rsid w:val="003A3EF0"/>
    <w:rsid w:val="003A3F1C"/>
    <w:rsid w:val="003A443D"/>
    <w:rsid w:val="003A572F"/>
    <w:rsid w:val="003A5B87"/>
    <w:rsid w:val="003A6A5A"/>
    <w:rsid w:val="003A72E9"/>
    <w:rsid w:val="003A776F"/>
    <w:rsid w:val="003B29E9"/>
    <w:rsid w:val="003B4FA3"/>
    <w:rsid w:val="003B650F"/>
    <w:rsid w:val="003C3B07"/>
    <w:rsid w:val="003C5B1D"/>
    <w:rsid w:val="003C6010"/>
    <w:rsid w:val="003D142B"/>
    <w:rsid w:val="003D2333"/>
    <w:rsid w:val="003D3293"/>
    <w:rsid w:val="003D3835"/>
    <w:rsid w:val="003D3887"/>
    <w:rsid w:val="003D3D11"/>
    <w:rsid w:val="003D5357"/>
    <w:rsid w:val="003D53D9"/>
    <w:rsid w:val="003D5413"/>
    <w:rsid w:val="003E14AF"/>
    <w:rsid w:val="003E3D54"/>
    <w:rsid w:val="003E434F"/>
    <w:rsid w:val="003E47DE"/>
    <w:rsid w:val="003E4C55"/>
    <w:rsid w:val="003E5086"/>
    <w:rsid w:val="003E5503"/>
    <w:rsid w:val="003E7252"/>
    <w:rsid w:val="003F10D3"/>
    <w:rsid w:val="003F1548"/>
    <w:rsid w:val="003F2B3D"/>
    <w:rsid w:val="003F3105"/>
    <w:rsid w:val="003F4172"/>
    <w:rsid w:val="003F4249"/>
    <w:rsid w:val="003F5086"/>
    <w:rsid w:val="003F57FA"/>
    <w:rsid w:val="003F711C"/>
    <w:rsid w:val="00400624"/>
    <w:rsid w:val="004017BB"/>
    <w:rsid w:val="004017C0"/>
    <w:rsid w:val="004023FB"/>
    <w:rsid w:val="00403364"/>
    <w:rsid w:val="00403A27"/>
    <w:rsid w:val="0040415C"/>
    <w:rsid w:val="00404507"/>
    <w:rsid w:val="004048B6"/>
    <w:rsid w:val="004057CF"/>
    <w:rsid w:val="00406435"/>
    <w:rsid w:val="00410E79"/>
    <w:rsid w:val="0041155C"/>
    <w:rsid w:val="00411A3E"/>
    <w:rsid w:val="00413D3D"/>
    <w:rsid w:val="00413E27"/>
    <w:rsid w:val="0041450E"/>
    <w:rsid w:val="00415370"/>
    <w:rsid w:val="0041577C"/>
    <w:rsid w:val="00415781"/>
    <w:rsid w:val="00415C95"/>
    <w:rsid w:val="00416025"/>
    <w:rsid w:val="0041614A"/>
    <w:rsid w:val="00416246"/>
    <w:rsid w:val="00416613"/>
    <w:rsid w:val="00416F40"/>
    <w:rsid w:val="00417715"/>
    <w:rsid w:val="00417769"/>
    <w:rsid w:val="00420142"/>
    <w:rsid w:val="00420DCF"/>
    <w:rsid w:val="00421EF2"/>
    <w:rsid w:val="00422668"/>
    <w:rsid w:val="00423AF9"/>
    <w:rsid w:val="004244FC"/>
    <w:rsid w:val="00424698"/>
    <w:rsid w:val="00424F62"/>
    <w:rsid w:val="00424F9F"/>
    <w:rsid w:val="00426556"/>
    <w:rsid w:val="00426B75"/>
    <w:rsid w:val="004270CC"/>
    <w:rsid w:val="00427D79"/>
    <w:rsid w:val="00430F4A"/>
    <w:rsid w:val="00431AC1"/>
    <w:rsid w:val="004329C9"/>
    <w:rsid w:val="00432CD5"/>
    <w:rsid w:val="00433027"/>
    <w:rsid w:val="00433E83"/>
    <w:rsid w:val="00434577"/>
    <w:rsid w:val="00434BCD"/>
    <w:rsid w:val="004363FA"/>
    <w:rsid w:val="004364CC"/>
    <w:rsid w:val="00440349"/>
    <w:rsid w:val="004405B0"/>
    <w:rsid w:val="004412D5"/>
    <w:rsid w:val="004416CF"/>
    <w:rsid w:val="00441FF9"/>
    <w:rsid w:val="00442BD9"/>
    <w:rsid w:val="0044382F"/>
    <w:rsid w:val="004442EB"/>
    <w:rsid w:val="00444D1B"/>
    <w:rsid w:val="004450B4"/>
    <w:rsid w:val="00445FB2"/>
    <w:rsid w:val="0044792B"/>
    <w:rsid w:val="0045266C"/>
    <w:rsid w:val="0045315C"/>
    <w:rsid w:val="00453C67"/>
    <w:rsid w:val="00454597"/>
    <w:rsid w:val="004548E6"/>
    <w:rsid w:val="0045543A"/>
    <w:rsid w:val="00455C75"/>
    <w:rsid w:val="0045637C"/>
    <w:rsid w:val="00456874"/>
    <w:rsid w:val="0045758B"/>
    <w:rsid w:val="0045767F"/>
    <w:rsid w:val="004634B4"/>
    <w:rsid w:val="0046542A"/>
    <w:rsid w:val="00466385"/>
    <w:rsid w:val="00466A1E"/>
    <w:rsid w:val="00470418"/>
    <w:rsid w:val="00472AEA"/>
    <w:rsid w:val="00473AA9"/>
    <w:rsid w:val="00473E26"/>
    <w:rsid w:val="00474E48"/>
    <w:rsid w:val="00476A3D"/>
    <w:rsid w:val="0048231B"/>
    <w:rsid w:val="0048249B"/>
    <w:rsid w:val="00485E3C"/>
    <w:rsid w:val="004860E7"/>
    <w:rsid w:val="00486776"/>
    <w:rsid w:val="00486839"/>
    <w:rsid w:val="00487370"/>
    <w:rsid w:val="00487FCB"/>
    <w:rsid w:val="00491546"/>
    <w:rsid w:val="004922C4"/>
    <w:rsid w:val="00492735"/>
    <w:rsid w:val="00492D90"/>
    <w:rsid w:val="00494FC9"/>
    <w:rsid w:val="00497CEE"/>
    <w:rsid w:val="004A0C34"/>
    <w:rsid w:val="004A1DE6"/>
    <w:rsid w:val="004A201B"/>
    <w:rsid w:val="004A2FE9"/>
    <w:rsid w:val="004A3F2D"/>
    <w:rsid w:val="004A40F0"/>
    <w:rsid w:val="004A4377"/>
    <w:rsid w:val="004A4C63"/>
    <w:rsid w:val="004A57EB"/>
    <w:rsid w:val="004A5824"/>
    <w:rsid w:val="004A5DD7"/>
    <w:rsid w:val="004A6E53"/>
    <w:rsid w:val="004A6FD8"/>
    <w:rsid w:val="004A7A4A"/>
    <w:rsid w:val="004B1C00"/>
    <w:rsid w:val="004B1CAB"/>
    <w:rsid w:val="004B2A6A"/>
    <w:rsid w:val="004B36ED"/>
    <w:rsid w:val="004B612E"/>
    <w:rsid w:val="004B623B"/>
    <w:rsid w:val="004B6B4D"/>
    <w:rsid w:val="004B7053"/>
    <w:rsid w:val="004B75FC"/>
    <w:rsid w:val="004C17E5"/>
    <w:rsid w:val="004C1C6C"/>
    <w:rsid w:val="004C3E02"/>
    <w:rsid w:val="004C422D"/>
    <w:rsid w:val="004C425B"/>
    <w:rsid w:val="004C4CEB"/>
    <w:rsid w:val="004C5101"/>
    <w:rsid w:val="004C57EB"/>
    <w:rsid w:val="004C6123"/>
    <w:rsid w:val="004C6748"/>
    <w:rsid w:val="004D000F"/>
    <w:rsid w:val="004D2799"/>
    <w:rsid w:val="004D3CD9"/>
    <w:rsid w:val="004D5166"/>
    <w:rsid w:val="004D7BF4"/>
    <w:rsid w:val="004D7C92"/>
    <w:rsid w:val="004E1C24"/>
    <w:rsid w:val="004E38B2"/>
    <w:rsid w:val="004E3936"/>
    <w:rsid w:val="004E3A86"/>
    <w:rsid w:val="004E3BD5"/>
    <w:rsid w:val="004E4FEA"/>
    <w:rsid w:val="004E57F7"/>
    <w:rsid w:val="004E5C70"/>
    <w:rsid w:val="004E5D9C"/>
    <w:rsid w:val="004E5F4C"/>
    <w:rsid w:val="004E617E"/>
    <w:rsid w:val="004E63AE"/>
    <w:rsid w:val="004E6B8E"/>
    <w:rsid w:val="004E6C46"/>
    <w:rsid w:val="004E7D0C"/>
    <w:rsid w:val="004F0543"/>
    <w:rsid w:val="004F15AA"/>
    <w:rsid w:val="004F2419"/>
    <w:rsid w:val="004F3906"/>
    <w:rsid w:val="004F392B"/>
    <w:rsid w:val="004F593D"/>
    <w:rsid w:val="004F6C02"/>
    <w:rsid w:val="00500F7A"/>
    <w:rsid w:val="005012AD"/>
    <w:rsid w:val="0050179F"/>
    <w:rsid w:val="00502337"/>
    <w:rsid w:val="005027BB"/>
    <w:rsid w:val="00503448"/>
    <w:rsid w:val="005037E1"/>
    <w:rsid w:val="00503B5C"/>
    <w:rsid w:val="00503C90"/>
    <w:rsid w:val="0050456A"/>
    <w:rsid w:val="005045B4"/>
    <w:rsid w:val="00504AB8"/>
    <w:rsid w:val="00504E12"/>
    <w:rsid w:val="00505844"/>
    <w:rsid w:val="005068E1"/>
    <w:rsid w:val="005077C5"/>
    <w:rsid w:val="005105C6"/>
    <w:rsid w:val="005105CF"/>
    <w:rsid w:val="00510629"/>
    <w:rsid w:val="00510655"/>
    <w:rsid w:val="0051168A"/>
    <w:rsid w:val="005117E6"/>
    <w:rsid w:val="00511EB8"/>
    <w:rsid w:val="005122F4"/>
    <w:rsid w:val="0051506C"/>
    <w:rsid w:val="00515416"/>
    <w:rsid w:val="005156A6"/>
    <w:rsid w:val="00515A59"/>
    <w:rsid w:val="0051637E"/>
    <w:rsid w:val="00516393"/>
    <w:rsid w:val="00516CB7"/>
    <w:rsid w:val="00517826"/>
    <w:rsid w:val="005202DF"/>
    <w:rsid w:val="00520539"/>
    <w:rsid w:val="00520B4F"/>
    <w:rsid w:val="005223BC"/>
    <w:rsid w:val="005227B8"/>
    <w:rsid w:val="005227F8"/>
    <w:rsid w:val="00524AD7"/>
    <w:rsid w:val="0052585B"/>
    <w:rsid w:val="00526552"/>
    <w:rsid w:val="005304E5"/>
    <w:rsid w:val="00530C42"/>
    <w:rsid w:val="00531F6A"/>
    <w:rsid w:val="0053269A"/>
    <w:rsid w:val="00533920"/>
    <w:rsid w:val="00534162"/>
    <w:rsid w:val="00534E1E"/>
    <w:rsid w:val="00534ED8"/>
    <w:rsid w:val="00534F86"/>
    <w:rsid w:val="00535324"/>
    <w:rsid w:val="0053575F"/>
    <w:rsid w:val="00537099"/>
    <w:rsid w:val="005377CE"/>
    <w:rsid w:val="00540452"/>
    <w:rsid w:val="005406FD"/>
    <w:rsid w:val="00540F79"/>
    <w:rsid w:val="0054216F"/>
    <w:rsid w:val="00542773"/>
    <w:rsid w:val="00542F18"/>
    <w:rsid w:val="00544222"/>
    <w:rsid w:val="0054426D"/>
    <w:rsid w:val="00544853"/>
    <w:rsid w:val="00544B6F"/>
    <w:rsid w:val="00544FEF"/>
    <w:rsid w:val="005450E2"/>
    <w:rsid w:val="00545367"/>
    <w:rsid w:val="00545C21"/>
    <w:rsid w:val="00546105"/>
    <w:rsid w:val="0054715B"/>
    <w:rsid w:val="00551545"/>
    <w:rsid w:val="0055350C"/>
    <w:rsid w:val="00556CC0"/>
    <w:rsid w:val="00557078"/>
    <w:rsid w:val="0055764E"/>
    <w:rsid w:val="0056051E"/>
    <w:rsid w:val="00560528"/>
    <w:rsid w:val="005617F1"/>
    <w:rsid w:val="00561923"/>
    <w:rsid w:val="0056310A"/>
    <w:rsid w:val="00563AE1"/>
    <w:rsid w:val="00566B38"/>
    <w:rsid w:val="005671ED"/>
    <w:rsid w:val="00567CA6"/>
    <w:rsid w:val="00570B53"/>
    <w:rsid w:val="00571489"/>
    <w:rsid w:val="00571D59"/>
    <w:rsid w:val="00572E3E"/>
    <w:rsid w:val="00572FDC"/>
    <w:rsid w:val="005732B3"/>
    <w:rsid w:val="0057420B"/>
    <w:rsid w:val="00576168"/>
    <w:rsid w:val="00576D6F"/>
    <w:rsid w:val="005775ED"/>
    <w:rsid w:val="00577F50"/>
    <w:rsid w:val="00580280"/>
    <w:rsid w:val="0058135A"/>
    <w:rsid w:val="005826E4"/>
    <w:rsid w:val="00582C5F"/>
    <w:rsid w:val="00583F84"/>
    <w:rsid w:val="00584058"/>
    <w:rsid w:val="00585571"/>
    <w:rsid w:val="00585B91"/>
    <w:rsid w:val="00585F63"/>
    <w:rsid w:val="00586BF1"/>
    <w:rsid w:val="005903E4"/>
    <w:rsid w:val="00591909"/>
    <w:rsid w:val="005926CB"/>
    <w:rsid w:val="00592907"/>
    <w:rsid w:val="005931DF"/>
    <w:rsid w:val="00594C1E"/>
    <w:rsid w:val="005950D6"/>
    <w:rsid w:val="005957B7"/>
    <w:rsid w:val="0059630F"/>
    <w:rsid w:val="0059708C"/>
    <w:rsid w:val="0059751C"/>
    <w:rsid w:val="00597919"/>
    <w:rsid w:val="00597D1B"/>
    <w:rsid w:val="005A0B9F"/>
    <w:rsid w:val="005A442D"/>
    <w:rsid w:val="005A4E9A"/>
    <w:rsid w:val="005A619D"/>
    <w:rsid w:val="005A63D8"/>
    <w:rsid w:val="005A6FEF"/>
    <w:rsid w:val="005A7DBE"/>
    <w:rsid w:val="005B0236"/>
    <w:rsid w:val="005B0376"/>
    <w:rsid w:val="005B0736"/>
    <w:rsid w:val="005B0FA9"/>
    <w:rsid w:val="005B14F5"/>
    <w:rsid w:val="005B1F62"/>
    <w:rsid w:val="005B2ED3"/>
    <w:rsid w:val="005B2ED6"/>
    <w:rsid w:val="005B3125"/>
    <w:rsid w:val="005B3606"/>
    <w:rsid w:val="005B49B6"/>
    <w:rsid w:val="005B4F52"/>
    <w:rsid w:val="005B5CB6"/>
    <w:rsid w:val="005B688E"/>
    <w:rsid w:val="005B750B"/>
    <w:rsid w:val="005B7733"/>
    <w:rsid w:val="005B78E8"/>
    <w:rsid w:val="005B7A22"/>
    <w:rsid w:val="005C0602"/>
    <w:rsid w:val="005C0622"/>
    <w:rsid w:val="005C062C"/>
    <w:rsid w:val="005C2D2B"/>
    <w:rsid w:val="005C2DFA"/>
    <w:rsid w:val="005C3C84"/>
    <w:rsid w:val="005C3CA8"/>
    <w:rsid w:val="005C40C7"/>
    <w:rsid w:val="005D04A8"/>
    <w:rsid w:val="005D2998"/>
    <w:rsid w:val="005D4CF7"/>
    <w:rsid w:val="005D5347"/>
    <w:rsid w:val="005D5CC5"/>
    <w:rsid w:val="005D67FC"/>
    <w:rsid w:val="005D6812"/>
    <w:rsid w:val="005D7404"/>
    <w:rsid w:val="005D787B"/>
    <w:rsid w:val="005E12BE"/>
    <w:rsid w:val="005E248F"/>
    <w:rsid w:val="005E2B58"/>
    <w:rsid w:val="005E57B0"/>
    <w:rsid w:val="005E5C84"/>
    <w:rsid w:val="005E5D44"/>
    <w:rsid w:val="005E77F3"/>
    <w:rsid w:val="005E79E4"/>
    <w:rsid w:val="005F1851"/>
    <w:rsid w:val="005F18B9"/>
    <w:rsid w:val="005F231E"/>
    <w:rsid w:val="005F2EA8"/>
    <w:rsid w:val="005F339C"/>
    <w:rsid w:val="005F34CB"/>
    <w:rsid w:val="005F64C6"/>
    <w:rsid w:val="006007CC"/>
    <w:rsid w:val="006008F1"/>
    <w:rsid w:val="00601600"/>
    <w:rsid w:val="00601735"/>
    <w:rsid w:val="00601D29"/>
    <w:rsid w:val="006021F5"/>
    <w:rsid w:val="0060226B"/>
    <w:rsid w:val="00602AD8"/>
    <w:rsid w:val="00602BD2"/>
    <w:rsid w:val="00602D38"/>
    <w:rsid w:val="006030A9"/>
    <w:rsid w:val="00603F4B"/>
    <w:rsid w:val="0060586B"/>
    <w:rsid w:val="00605D47"/>
    <w:rsid w:val="006072F2"/>
    <w:rsid w:val="00610F0B"/>
    <w:rsid w:val="0061175F"/>
    <w:rsid w:val="006134E3"/>
    <w:rsid w:val="00613C47"/>
    <w:rsid w:val="0061453A"/>
    <w:rsid w:val="006146D5"/>
    <w:rsid w:val="00616201"/>
    <w:rsid w:val="00616225"/>
    <w:rsid w:val="006169D6"/>
    <w:rsid w:val="00617A78"/>
    <w:rsid w:val="00617A8B"/>
    <w:rsid w:val="00617D13"/>
    <w:rsid w:val="0062063E"/>
    <w:rsid w:val="00621278"/>
    <w:rsid w:val="00621C47"/>
    <w:rsid w:val="00621D5E"/>
    <w:rsid w:val="00621E6F"/>
    <w:rsid w:val="00622FEA"/>
    <w:rsid w:val="006239D9"/>
    <w:rsid w:val="00623CDF"/>
    <w:rsid w:val="00623DB1"/>
    <w:rsid w:val="00623F6D"/>
    <w:rsid w:val="006245F3"/>
    <w:rsid w:val="006247B2"/>
    <w:rsid w:val="00625843"/>
    <w:rsid w:val="006258D1"/>
    <w:rsid w:val="00627FAB"/>
    <w:rsid w:val="006304B5"/>
    <w:rsid w:val="006319CA"/>
    <w:rsid w:val="006319E0"/>
    <w:rsid w:val="00632C8B"/>
    <w:rsid w:val="00633225"/>
    <w:rsid w:val="00633A4A"/>
    <w:rsid w:val="00633C07"/>
    <w:rsid w:val="006346C5"/>
    <w:rsid w:val="00634EC0"/>
    <w:rsid w:val="0063627F"/>
    <w:rsid w:val="00636510"/>
    <w:rsid w:val="00636916"/>
    <w:rsid w:val="006378CC"/>
    <w:rsid w:val="006420A0"/>
    <w:rsid w:val="00642D72"/>
    <w:rsid w:val="00642F79"/>
    <w:rsid w:val="00643F5A"/>
    <w:rsid w:val="00643F9B"/>
    <w:rsid w:val="006443CB"/>
    <w:rsid w:val="00644402"/>
    <w:rsid w:val="00644F38"/>
    <w:rsid w:val="00644F80"/>
    <w:rsid w:val="00645867"/>
    <w:rsid w:val="00645874"/>
    <w:rsid w:val="006468F2"/>
    <w:rsid w:val="00647029"/>
    <w:rsid w:val="00647432"/>
    <w:rsid w:val="006511C3"/>
    <w:rsid w:val="00651FC1"/>
    <w:rsid w:val="00656ED0"/>
    <w:rsid w:val="00660C69"/>
    <w:rsid w:val="00661884"/>
    <w:rsid w:val="00661918"/>
    <w:rsid w:val="00662A5A"/>
    <w:rsid w:val="006653D7"/>
    <w:rsid w:val="00666373"/>
    <w:rsid w:val="006665BA"/>
    <w:rsid w:val="00666A4F"/>
    <w:rsid w:val="00667382"/>
    <w:rsid w:val="0066789D"/>
    <w:rsid w:val="006703D9"/>
    <w:rsid w:val="00673A43"/>
    <w:rsid w:val="00674466"/>
    <w:rsid w:val="00676E68"/>
    <w:rsid w:val="00677115"/>
    <w:rsid w:val="00677AC9"/>
    <w:rsid w:val="006807A4"/>
    <w:rsid w:val="00680936"/>
    <w:rsid w:val="00680D8C"/>
    <w:rsid w:val="00681A60"/>
    <w:rsid w:val="006821CA"/>
    <w:rsid w:val="0068256E"/>
    <w:rsid w:val="00682725"/>
    <w:rsid w:val="00683372"/>
    <w:rsid w:val="00686975"/>
    <w:rsid w:val="00687ACA"/>
    <w:rsid w:val="0069137B"/>
    <w:rsid w:val="00691886"/>
    <w:rsid w:val="00692117"/>
    <w:rsid w:val="00692582"/>
    <w:rsid w:val="00693652"/>
    <w:rsid w:val="006939E7"/>
    <w:rsid w:val="00693D3E"/>
    <w:rsid w:val="006942F7"/>
    <w:rsid w:val="00694C16"/>
    <w:rsid w:val="00696D81"/>
    <w:rsid w:val="006A1510"/>
    <w:rsid w:val="006A2150"/>
    <w:rsid w:val="006A241D"/>
    <w:rsid w:val="006A3288"/>
    <w:rsid w:val="006A33E0"/>
    <w:rsid w:val="006A39D8"/>
    <w:rsid w:val="006A43E6"/>
    <w:rsid w:val="006A44E2"/>
    <w:rsid w:val="006A57E1"/>
    <w:rsid w:val="006A586C"/>
    <w:rsid w:val="006A5F2E"/>
    <w:rsid w:val="006A6179"/>
    <w:rsid w:val="006A6DF9"/>
    <w:rsid w:val="006A6EC9"/>
    <w:rsid w:val="006A70BE"/>
    <w:rsid w:val="006A7F68"/>
    <w:rsid w:val="006B059F"/>
    <w:rsid w:val="006B0A4C"/>
    <w:rsid w:val="006B1B18"/>
    <w:rsid w:val="006B2084"/>
    <w:rsid w:val="006B224E"/>
    <w:rsid w:val="006B317A"/>
    <w:rsid w:val="006B6588"/>
    <w:rsid w:val="006B680E"/>
    <w:rsid w:val="006B6F32"/>
    <w:rsid w:val="006B7130"/>
    <w:rsid w:val="006C192D"/>
    <w:rsid w:val="006C2821"/>
    <w:rsid w:val="006C3009"/>
    <w:rsid w:val="006C30F1"/>
    <w:rsid w:val="006C4150"/>
    <w:rsid w:val="006C4E7E"/>
    <w:rsid w:val="006C5209"/>
    <w:rsid w:val="006C54BE"/>
    <w:rsid w:val="006C5683"/>
    <w:rsid w:val="006C5E33"/>
    <w:rsid w:val="006C5E48"/>
    <w:rsid w:val="006C6434"/>
    <w:rsid w:val="006C6623"/>
    <w:rsid w:val="006C6FB2"/>
    <w:rsid w:val="006C7F5A"/>
    <w:rsid w:val="006D013F"/>
    <w:rsid w:val="006D017F"/>
    <w:rsid w:val="006D02B1"/>
    <w:rsid w:val="006D0D76"/>
    <w:rsid w:val="006D0FFE"/>
    <w:rsid w:val="006D1263"/>
    <w:rsid w:val="006D1BDE"/>
    <w:rsid w:val="006D1D3F"/>
    <w:rsid w:val="006D253B"/>
    <w:rsid w:val="006D2699"/>
    <w:rsid w:val="006D310A"/>
    <w:rsid w:val="006D39A0"/>
    <w:rsid w:val="006D3B38"/>
    <w:rsid w:val="006D3C45"/>
    <w:rsid w:val="006D45E8"/>
    <w:rsid w:val="006D57CB"/>
    <w:rsid w:val="006D617E"/>
    <w:rsid w:val="006D6CDD"/>
    <w:rsid w:val="006E051C"/>
    <w:rsid w:val="006E0CC8"/>
    <w:rsid w:val="006E4238"/>
    <w:rsid w:val="006E4669"/>
    <w:rsid w:val="006E468B"/>
    <w:rsid w:val="006E497B"/>
    <w:rsid w:val="006E51F3"/>
    <w:rsid w:val="006E554A"/>
    <w:rsid w:val="006E61A7"/>
    <w:rsid w:val="006E67AF"/>
    <w:rsid w:val="006E78D9"/>
    <w:rsid w:val="006E7B97"/>
    <w:rsid w:val="006F06E3"/>
    <w:rsid w:val="006F0B0A"/>
    <w:rsid w:val="006F0EDD"/>
    <w:rsid w:val="006F281F"/>
    <w:rsid w:val="006F37BE"/>
    <w:rsid w:val="006F45C7"/>
    <w:rsid w:val="006F4714"/>
    <w:rsid w:val="006F4AE7"/>
    <w:rsid w:val="006F4C84"/>
    <w:rsid w:val="006F6D4C"/>
    <w:rsid w:val="006F6E67"/>
    <w:rsid w:val="006F7157"/>
    <w:rsid w:val="006F78E0"/>
    <w:rsid w:val="00702B1B"/>
    <w:rsid w:val="007039E0"/>
    <w:rsid w:val="00704164"/>
    <w:rsid w:val="007043D5"/>
    <w:rsid w:val="00704402"/>
    <w:rsid w:val="00704A72"/>
    <w:rsid w:val="00706047"/>
    <w:rsid w:val="00706762"/>
    <w:rsid w:val="00706A58"/>
    <w:rsid w:val="00706C60"/>
    <w:rsid w:val="00706F95"/>
    <w:rsid w:val="00707275"/>
    <w:rsid w:val="00707398"/>
    <w:rsid w:val="0070758D"/>
    <w:rsid w:val="00707EAB"/>
    <w:rsid w:val="00710A71"/>
    <w:rsid w:val="007110E1"/>
    <w:rsid w:val="007139BB"/>
    <w:rsid w:val="00714394"/>
    <w:rsid w:val="00714910"/>
    <w:rsid w:val="00714C8D"/>
    <w:rsid w:val="00714C8F"/>
    <w:rsid w:val="007168F8"/>
    <w:rsid w:val="00717A0D"/>
    <w:rsid w:val="007205A6"/>
    <w:rsid w:val="00721F7E"/>
    <w:rsid w:val="00722E29"/>
    <w:rsid w:val="00722F5A"/>
    <w:rsid w:val="007236FD"/>
    <w:rsid w:val="00724606"/>
    <w:rsid w:val="00724E85"/>
    <w:rsid w:val="00731866"/>
    <w:rsid w:val="00731C26"/>
    <w:rsid w:val="00732A13"/>
    <w:rsid w:val="007332DD"/>
    <w:rsid w:val="00734887"/>
    <w:rsid w:val="007349FA"/>
    <w:rsid w:val="0073511C"/>
    <w:rsid w:val="007357A5"/>
    <w:rsid w:val="00735E4A"/>
    <w:rsid w:val="007365A7"/>
    <w:rsid w:val="007365B6"/>
    <w:rsid w:val="007401E2"/>
    <w:rsid w:val="00740702"/>
    <w:rsid w:val="00740961"/>
    <w:rsid w:val="007411E5"/>
    <w:rsid w:val="0074160E"/>
    <w:rsid w:val="00741BC0"/>
    <w:rsid w:val="007420C8"/>
    <w:rsid w:val="00743A27"/>
    <w:rsid w:val="00745CB7"/>
    <w:rsid w:val="007463CC"/>
    <w:rsid w:val="00746951"/>
    <w:rsid w:val="00746C30"/>
    <w:rsid w:val="0074701B"/>
    <w:rsid w:val="00747144"/>
    <w:rsid w:val="0074791E"/>
    <w:rsid w:val="007500C7"/>
    <w:rsid w:val="007505A4"/>
    <w:rsid w:val="0075115D"/>
    <w:rsid w:val="00751374"/>
    <w:rsid w:val="00751AC1"/>
    <w:rsid w:val="00753890"/>
    <w:rsid w:val="00754508"/>
    <w:rsid w:val="007555DF"/>
    <w:rsid w:val="0075647D"/>
    <w:rsid w:val="00756A54"/>
    <w:rsid w:val="00761434"/>
    <w:rsid w:val="00761FD5"/>
    <w:rsid w:val="00765455"/>
    <w:rsid w:val="0076583D"/>
    <w:rsid w:val="00765999"/>
    <w:rsid w:val="00765DD8"/>
    <w:rsid w:val="00766D36"/>
    <w:rsid w:val="00767607"/>
    <w:rsid w:val="00767D72"/>
    <w:rsid w:val="00770D9E"/>
    <w:rsid w:val="00771CD2"/>
    <w:rsid w:val="00771F5C"/>
    <w:rsid w:val="007720D4"/>
    <w:rsid w:val="0077345D"/>
    <w:rsid w:val="00773874"/>
    <w:rsid w:val="00774126"/>
    <w:rsid w:val="0077531F"/>
    <w:rsid w:val="00775402"/>
    <w:rsid w:val="00775B93"/>
    <w:rsid w:val="00776FB2"/>
    <w:rsid w:val="0077781A"/>
    <w:rsid w:val="00777AAA"/>
    <w:rsid w:val="00777F01"/>
    <w:rsid w:val="007829E3"/>
    <w:rsid w:val="00783ED2"/>
    <w:rsid w:val="007840F3"/>
    <w:rsid w:val="00785491"/>
    <w:rsid w:val="007858C0"/>
    <w:rsid w:val="00785E94"/>
    <w:rsid w:val="0078679A"/>
    <w:rsid w:val="0078741F"/>
    <w:rsid w:val="00787929"/>
    <w:rsid w:val="00792447"/>
    <w:rsid w:val="00792A6F"/>
    <w:rsid w:val="00792D33"/>
    <w:rsid w:val="007931FB"/>
    <w:rsid w:val="00796006"/>
    <w:rsid w:val="0079694C"/>
    <w:rsid w:val="007A0270"/>
    <w:rsid w:val="007A10E2"/>
    <w:rsid w:val="007A147E"/>
    <w:rsid w:val="007A3444"/>
    <w:rsid w:val="007A3A37"/>
    <w:rsid w:val="007A48D1"/>
    <w:rsid w:val="007A4DE2"/>
    <w:rsid w:val="007A4E17"/>
    <w:rsid w:val="007A5170"/>
    <w:rsid w:val="007A5A7E"/>
    <w:rsid w:val="007A5B8D"/>
    <w:rsid w:val="007A6630"/>
    <w:rsid w:val="007A6FD4"/>
    <w:rsid w:val="007A7752"/>
    <w:rsid w:val="007A7AFE"/>
    <w:rsid w:val="007A7F6D"/>
    <w:rsid w:val="007B02EA"/>
    <w:rsid w:val="007B1559"/>
    <w:rsid w:val="007B1BAF"/>
    <w:rsid w:val="007B1FCC"/>
    <w:rsid w:val="007B29E0"/>
    <w:rsid w:val="007B4942"/>
    <w:rsid w:val="007B4F72"/>
    <w:rsid w:val="007B6633"/>
    <w:rsid w:val="007B6C0F"/>
    <w:rsid w:val="007B7A74"/>
    <w:rsid w:val="007C08D6"/>
    <w:rsid w:val="007C0971"/>
    <w:rsid w:val="007C0E04"/>
    <w:rsid w:val="007C195F"/>
    <w:rsid w:val="007C2827"/>
    <w:rsid w:val="007C355F"/>
    <w:rsid w:val="007C3A26"/>
    <w:rsid w:val="007C46D1"/>
    <w:rsid w:val="007C49BC"/>
    <w:rsid w:val="007C49EF"/>
    <w:rsid w:val="007C536C"/>
    <w:rsid w:val="007C5B97"/>
    <w:rsid w:val="007C71D4"/>
    <w:rsid w:val="007C74B5"/>
    <w:rsid w:val="007C74E5"/>
    <w:rsid w:val="007D00B0"/>
    <w:rsid w:val="007D0D16"/>
    <w:rsid w:val="007D0E43"/>
    <w:rsid w:val="007D0F4E"/>
    <w:rsid w:val="007D13E7"/>
    <w:rsid w:val="007D1E37"/>
    <w:rsid w:val="007D2FF9"/>
    <w:rsid w:val="007D4C55"/>
    <w:rsid w:val="007D563E"/>
    <w:rsid w:val="007D5A13"/>
    <w:rsid w:val="007D5FC1"/>
    <w:rsid w:val="007D715A"/>
    <w:rsid w:val="007D741C"/>
    <w:rsid w:val="007D7B3C"/>
    <w:rsid w:val="007D7DC8"/>
    <w:rsid w:val="007E0251"/>
    <w:rsid w:val="007E0E9E"/>
    <w:rsid w:val="007E21FB"/>
    <w:rsid w:val="007E420B"/>
    <w:rsid w:val="007E4932"/>
    <w:rsid w:val="007E4F1C"/>
    <w:rsid w:val="007E502C"/>
    <w:rsid w:val="007E5BD7"/>
    <w:rsid w:val="007E7968"/>
    <w:rsid w:val="007F013A"/>
    <w:rsid w:val="007F03FF"/>
    <w:rsid w:val="007F20AE"/>
    <w:rsid w:val="007F2AC7"/>
    <w:rsid w:val="007F2D90"/>
    <w:rsid w:val="007F38EB"/>
    <w:rsid w:val="007F3A83"/>
    <w:rsid w:val="007F4F82"/>
    <w:rsid w:val="007F561C"/>
    <w:rsid w:val="007F5811"/>
    <w:rsid w:val="00800840"/>
    <w:rsid w:val="0080121F"/>
    <w:rsid w:val="008017CC"/>
    <w:rsid w:val="00802D0C"/>
    <w:rsid w:val="00802FE3"/>
    <w:rsid w:val="00803441"/>
    <w:rsid w:val="00804653"/>
    <w:rsid w:val="00806A84"/>
    <w:rsid w:val="00807C6C"/>
    <w:rsid w:val="0081114B"/>
    <w:rsid w:val="00811336"/>
    <w:rsid w:val="00811C98"/>
    <w:rsid w:val="0081340B"/>
    <w:rsid w:val="00815581"/>
    <w:rsid w:val="00817BB4"/>
    <w:rsid w:val="00817D3A"/>
    <w:rsid w:val="00820D34"/>
    <w:rsid w:val="00821021"/>
    <w:rsid w:val="008214BB"/>
    <w:rsid w:val="00821AE1"/>
    <w:rsid w:val="00821B58"/>
    <w:rsid w:val="00822D4E"/>
    <w:rsid w:val="00823B36"/>
    <w:rsid w:val="008257BB"/>
    <w:rsid w:val="00826F4C"/>
    <w:rsid w:val="0083115B"/>
    <w:rsid w:val="00832A11"/>
    <w:rsid w:val="008337F1"/>
    <w:rsid w:val="00834900"/>
    <w:rsid w:val="00835AA2"/>
    <w:rsid w:val="008377DA"/>
    <w:rsid w:val="00837B84"/>
    <w:rsid w:val="00845A15"/>
    <w:rsid w:val="0084620D"/>
    <w:rsid w:val="0084632F"/>
    <w:rsid w:val="0084774C"/>
    <w:rsid w:val="0085471E"/>
    <w:rsid w:val="00855B06"/>
    <w:rsid w:val="00856596"/>
    <w:rsid w:val="00857D29"/>
    <w:rsid w:val="00857DF4"/>
    <w:rsid w:val="008601BD"/>
    <w:rsid w:val="00860FD2"/>
    <w:rsid w:val="008615A8"/>
    <w:rsid w:val="008629A8"/>
    <w:rsid w:val="00862B02"/>
    <w:rsid w:val="00862E84"/>
    <w:rsid w:val="00863270"/>
    <w:rsid w:val="00864169"/>
    <w:rsid w:val="008645C3"/>
    <w:rsid w:val="008645D1"/>
    <w:rsid w:val="00864622"/>
    <w:rsid w:val="00865139"/>
    <w:rsid w:val="0086564D"/>
    <w:rsid w:val="0086632C"/>
    <w:rsid w:val="00866AC6"/>
    <w:rsid w:val="00867407"/>
    <w:rsid w:val="008706CA"/>
    <w:rsid w:val="00870CB6"/>
    <w:rsid w:val="0087142E"/>
    <w:rsid w:val="00871A77"/>
    <w:rsid w:val="00872E75"/>
    <w:rsid w:val="0087378E"/>
    <w:rsid w:val="008739D0"/>
    <w:rsid w:val="00873FEA"/>
    <w:rsid w:val="0087419B"/>
    <w:rsid w:val="00874592"/>
    <w:rsid w:val="00874AF5"/>
    <w:rsid w:val="008756CE"/>
    <w:rsid w:val="0087745E"/>
    <w:rsid w:val="0087757E"/>
    <w:rsid w:val="00881074"/>
    <w:rsid w:val="00881693"/>
    <w:rsid w:val="008818F6"/>
    <w:rsid w:val="0088293C"/>
    <w:rsid w:val="00882C24"/>
    <w:rsid w:val="0088398E"/>
    <w:rsid w:val="008839EA"/>
    <w:rsid w:val="00883AA3"/>
    <w:rsid w:val="00884F18"/>
    <w:rsid w:val="00885698"/>
    <w:rsid w:val="00886532"/>
    <w:rsid w:val="00886C16"/>
    <w:rsid w:val="0088705B"/>
    <w:rsid w:val="008873C9"/>
    <w:rsid w:val="00887E02"/>
    <w:rsid w:val="00892952"/>
    <w:rsid w:val="00892A2E"/>
    <w:rsid w:val="00892F60"/>
    <w:rsid w:val="00893479"/>
    <w:rsid w:val="00893CFD"/>
    <w:rsid w:val="008943F5"/>
    <w:rsid w:val="008945E6"/>
    <w:rsid w:val="00897AD9"/>
    <w:rsid w:val="008A03F6"/>
    <w:rsid w:val="008A09DF"/>
    <w:rsid w:val="008A1C47"/>
    <w:rsid w:val="008A356D"/>
    <w:rsid w:val="008A483B"/>
    <w:rsid w:val="008A5290"/>
    <w:rsid w:val="008A593A"/>
    <w:rsid w:val="008A5B85"/>
    <w:rsid w:val="008A6C5A"/>
    <w:rsid w:val="008B047B"/>
    <w:rsid w:val="008B05A3"/>
    <w:rsid w:val="008B2DF3"/>
    <w:rsid w:val="008B376A"/>
    <w:rsid w:val="008B6CAF"/>
    <w:rsid w:val="008B7220"/>
    <w:rsid w:val="008B7620"/>
    <w:rsid w:val="008B7C94"/>
    <w:rsid w:val="008C0237"/>
    <w:rsid w:val="008C0740"/>
    <w:rsid w:val="008C08A5"/>
    <w:rsid w:val="008C0F63"/>
    <w:rsid w:val="008C28FF"/>
    <w:rsid w:val="008C382C"/>
    <w:rsid w:val="008C588D"/>
    <w:rsid w:val="008C64E3"/>
    <w:rsid w:val="008C778B"/>
    <w:rsid w:val="008C77CC"/>
    <w:rsid w:val="008D0316"/>
    <w:rsid w:val="008D0D1E"/>
    <w:rsid w:val="008D48A2"/>
    <w:rsid w:val="008D6554"/>
    <w:rsid w:val="008E0F84"/>
    <w:rsid w:val="008E1E54"/>
    <w:rsid w:val="008E23D6"/>
    <w:rsid w:val="008E2DBF"/>
    <w:rsid w:val="008E3A28"/>
    <w:rsid w:val="008E3C88"/>
    <w:rsid w:val="008E5B6B"/>
    <w:rsid w:val="008E67E1"/>
    <w:rsid w:val="008E7F14"/>
    <w:rsid w:val="008F022C"/>
    <w:rsid w:val="008F026E"/>
    <w:rsid w:val="008F1E7A"/>
    <w:rsid w:val="008F202A"/>
    <w:rsid w:val="008F2918"/>
    <w:rsid w:val="008F2F39"/>
    <w:rsid w:val="008F30FD"/>
    <w:rsid w:val="008F3D6A"/>
    <w:rsid w:val="008F5C74"/>
    <w:rsid w:val="008F65EB"/>
    <w:rsid w:val="008F6DEF"/>
    <w:rsid w:val="008F7989"/>
    <w:rsid w:val="00900213"/>
    <w:rsid w:val="009033EC"/>
    <w:rsid w:val="0090428E"/>
    <w:rsid w:val="00906552"/>
    <w:rsid w:val="00906F27"/>
    <w:rsid w:val="00910127"/>
    <w:rsid w:val="009108C2"/>
    <w:rsid w:val="00911BF1"/>
    <w:rsid w:val="00912253"/>
    <w:rsid w:val="009123D9"/>
    <w:rsid w:val="00913927"/>
    <w:rsid w:val="009142AB"/>
    <w:rsid w:val="009143FB"/>
    <w:rsid w:val="0091521A"/>
    <w:rsid w:val="00915B35"/>
    <w:rsid w:val="00915FFB"/>
    <w:rsid w:val="00917D2C"/>
    <w:rsid w:val="009207DB"/>
    <w:rsid w:val="00922024"/>
    <w:rsid w:val="0092436F"/>
    <w:rsid w:val="00925087"/>
    <w:rsid w:val="00925501"/>
    <w:rsid w:val="00925E01"/>
    <w:rsid w:val="00926982"/>
    <w:rsid w:val="009270C4"/>
    <w:rsid w:val="00927763"/>
    <w:rsid w:val="0093037E"/>
    <w:rsid w:val="009309B2"/>
    <w:rsid w:val="00935734"/>
    <w:rsid w:val="0093740F"/>
    <w:rsid w:val="00937B4A"/>
    <w:rsid w:val="00937C1D"/>
    <w:rsid w:val="00937E98"/>
    <w:rsid w:val="00940446"/>
    <w:rsid w:val="00940FC3"/>
    <w:rsid w:val="0094131D"/>
    <w:rsid w:val="00941510"/>
    <w:rsid w:val="00942120"/>
    <w:rsid w:val="0094224D"/>
    <w:rsid w:val="009425F7"/>
    <w:rsid w:val="00943729"/>
    <w:rsid w:val="00943BEB"/>
    <w:rsid w:val="00944BF0"/>
    <w:rsid w:val="00945316"/>
    <w:rsid w:val="009453BE"/>
    <w:rsid w:val="00945DF9"/>
    <w:rsid w:val="00945F8E"/>
    <w:rsid w:val="00947E24"/>
    <w:rsid w:val="009500DA"/>
    <w:rsid w:val="00950AE5"/>
    <w:rsid w:val="0095125B"/>
    <w:rsid w:val="00951BB6"/>
    <w:rsid w:val="00954282"/>
    <w:rsid w:val="00954427"/>
    <w:rsid w:val="0095518B"/>
    <w:rsid w:val="009563E5"/>
    <w:rsid w:val="009573EC"/>
    <w:rsid w:val="00960F3E"/>
    <w:rsid w:val="00961837"/>
    <w:rsid w:val="00962EE4"/>
    <w:rsid w:val="009634F3"/>
    <w:rsid w:val="0096454B"/>
    <w:rsid w:val="00964D19"/>
    <w:rsid w:val="00964EE1"/>
    <w:rsid w:val="0096595C"/>
    <w:rsid w:val="009663AC"/>
    <w:rsid w:val="0096797D"/>
    <w:rsid w:val="00970AC6"/>
    <w:rsid w:val="0097160D"/>
    <w:rsid w:val="00971747"/>
    <w:rsid w:val="00971C40"/>
    <w:rsid w:val="009721C5"/>
    <w:rsid w:val="00972305"/>
    <w:rsid w:val="009729D4"/>
    <w:rsid w:val="0097376D"/>
    <w:rsid w:val="009759CB"/>
    <w:rsid w:val="00975C75"/>
    <w:rsid w:val="00975DF3"/>
    <w:rsid w:val="009771DB"/>
    <w:rsid w:val="00981456"/>
    <w:rsid w:val="00981483"/>
    <w:rsid w:val="0098177A"/>
    <w:rsid w:val="00982251"/>
    <w:rsid w:val="009825BD"/>
    <w:rsid w:val="00983471"/>
    <w:rsid w:val="00983EFD"/>
    <w:rsid w:val="0098402C"/>
    <w:rsid w:val="0098610C"/>
    <w:rsid w:val="00986257"/>
    <w:rsid w:val="00986861"/>
    <w:rsid w:val="00986882"/>
    <w:rsid w:val="00986F12"/>
    <w:rsid w:val="00987CBC"/>
    <w:rsid w:val="00990C04"/>
    <w:rsid w:val="0099120F"/>
    <w:rsid w:val="00991367"/>
    <w:rsid w:val="00992557"/>
    <w:rsid w:val="00992EA2"/>
    <w:rsid w:val="00995198"/>
    <w:rsid w:val="00996326"/>
    <w:rsid w:val="00996817"/>
    <w:rsid w:val="009A1078"/>
    <w:rsid w:val="009A269B"/>
    <w:rsid w:val="009A2B4B"/>
    <w:rsid w:val="009A44E8"/>
    <w:rsid w:val="009A50F1"/>
    <w:rsid w:val="009A5C53"/>
    <w:rsid w:val="009A5D03"/>
    <w:rsid w:val="009A7492"/>
    <w:rsid w:val="009B0692"/>
    <w:rsid w:val="009B1DA5"/>
    <w:rsid w:val="009B27C7"/>
    <w:rsid w:val="009B28FD"/>
    <w:rsid w:val="009B2AD6"/>
    <w:rsid w:val="009B359A"/>
    <w:rsid w:val="009B4641"/>
    <w:rsid w:val="009B4FBA"/>
    <w:rsid w:val="009B5218"/>
    <w:rsid w:val="009B5594"/>
    <w:rsid w:val="009B55D0"/>
    <w:rsid w:val="009B5A4E"/>
    <w:rsid w:val="009B6312"/>
    <w:rsid w:val="009B712A"/>
    <w:rsid w:val="009B729E"/>
    <w:rsid w:val="009B7498"/>
    <w:rsid w:val="009C34C2"/>
    <w:rsid w:val="009C3D84"/>
    <w:rsid w:val="009C528F"/>
    <w:rsid w:val="009C5BA0"/>
    <w:rsid w:val="009C5F38"/>
    <w:rsid w:val="009C7B1D"/>
    <w:rsid w:val="009D03F1"/>
    <w:rsid w:val="009D0782"/>
    <w:rsid w:val="009D0AA2"/>
    <w:rsid w:val="009D0C74"/>
    <w:rsid w:val="009D1CF4"/>
    <w:rsid w:val="009D23AA"/>
    <w:rsid w:val="009D380F"/>
    <w:rsid w:val="009D57A7"/>
    <w:rsid w:val="009E13E4"/>
    <w:rsid w:val="009E13FA"/>
    <w:rsid w:val="009E3294"/>
    <w:rsid w:val="009E3425"/>
    <w:rsid w:val="009E39F7"/>
    <w:rsid w:val="009E54C5"/>
    <w:rsid w:val="009E6321"/>
    <w:rsid w:val="009E68A1"/>
    <w:rsid w:val="009E6CE9"/>
    <w:rsid w:val="009E6DD0"/>
    <w:rsid w:val="009E6E0C"/>
    <w:rsid w:val="009E75F2"/>
    <w:rsid w:val="009E7C03"/>
    <w:rsid w:val="009E7CC7"/>
    <w:rsid w:val="009F0096"/>
    <w:rsid w:val="009F0579"/>
    <w:rsid w:val="009F09C1"/>
    <w:rsid w:val="009F0BD9"/>
    <w:rsid w:val="009F1206"/>
    <w:rsid w:val="009F1EA4"/>
    <w:rsid w:val="009F23FF"/>
    <w:rsid w:val="009F33FA"/>
    <w:rsid w:val="009F43EE"/>
    <w:rsid w:val="009F57C1"/>
    <w:rsid w:val="009F601F"/>
    <w:rsid w:val="009F666B"/>
    <w:rsid w:val="009F7285"/>
    <w:rsid w:val="009F7314"/>
    <w:rsid w:val="00A005AC"/>
    <w:rsid w:val="00A01C1F"/>
    <w:rsid w:val="00A01C98"/>
    <w:rsid w:val="00A02F54"/>
    <w:rsid w:val="00A03863"/>
    <w:rsid w:val="00A039EC"/>
    <w:rsid w:val="00A03A63"/>
    <w:rsid w:val="00A04D21"/>
    <w:rsid w:val="00A05AC8"/>
    <w:rsid w:val="00A069E7"/>
    <w:rsid w:val="00A06A54"/>
    <w:rsid w:val="00A06BE6"/>
    <w:rsid w:val="00A07367"/>
    <w:rsid w:val="00A07D02"/>
    <w:rsid w:val="00A10423"/>
    <w:rsid w:val="00A1049B"/>
    <w:rsid w:val="00A10841"/>
    <w:rsid w:val="00A10AD7"/>
    <w:rsid w:val="00A10B65"/>
    <w:rsid w:val="00A1293D"/>
    <w:rsid w:val="00A12FDA"/>
    <w:rsid w:val="00A13303"/>
    <w:rsid w:val="00A151AC"/>
    <w:rsid w:val="00A15A52"/>
    <w:rsid w:val="00A16054"/>
    <w:rsid w:val="00A163A6"/>
    <w:rsid w:val="00A17755"/>
    <w:rsid w:val="00A17EBF"/>
    <w:rsid w:val="00A22F1C"/>
    <w:rsid w:val="00A231D4"/>
    <w:rsid w:val="00A23D04"/>
    <w:rsid w:val="00A23E0E"/>
    <w:rsid w:val="00A24024"/>
    <w:rsid w:val="00A2466E"/>
    <w:rsid w:val="00A247D1"/>
    <w:rsid w:val="00A254F7"/>
    <w:rsid w:val="00A268F5"/>
    <w:rsid w:val="00A31169"/>
    <w:rsid w:val="00A311AD"/>
    <w:rsid w:val="00A32211"/>
    <w:rsid w:val="00A34114"/>
    <w:rsid w:val="00A34347"/>
    <w:rsid w:val="00A34627"/>
    <w:rsid w:val="00A3497D"/>
    <w:rsid w:val="00A34C81"/>
    <w:rsid w:val="00A34E19"/>
    <w:rsid w:val="00A366A6"/>
    <w:rsid w:val="00A37C64"/>
    <w:rsid w:val="00A409EC"/>
    <w:rsid w:val="00A40D0C"/>
    <w:rsid w:val="00A41302"/>
    <w:rsid w:val="00A41AE1"/>
    <w:rsid w:val="00A41C59"/>
    <w:rsid w:val="00A41E62"/>
    <w:rsid w:val="00A42C2A"/>
    <w:rsid w:val="00A45B3C"/>
    <w:rsid w:val="00A45FF7"/>
    <w:rsid w:val="00A46506"/>
    <w:rsid w:val="00A47029"/>
    <w:rsid w:val="00A47B69"/>
    <w:rsid w:val="00A50299"/>
    <w:rsid w:val="00A5072F"/>
    <w:rsid w:val="00A508AD"/>
    <w:rsid w:val="00A53519"/>
    <w:rsid w:val="00A53768"/>
    <w:rsid w:val="00A5454F"/>
    <w:rsid w:val="00A5510E"/>
    <w:rsid w:val="00A559F4"/>
    <w:rsid w:val="00A56547"/>
    <w:rsid w:val="00A56713"/>
    <w:rsid w:val="00A570E0"/>
    <w:rsid w:val="00A573EB"/>
    <w:rsid w:val="00A57604"/>
    <w:rsid w:val="00A57F4A"/>
    <w:rsid w:val="00A606A0"/>
    <w:rsid w:val="00A61263"/>
    <w:rsid w:val="00A614AD"/>
    <w:rsid w:val="00A6181B"/>
    <w:rsid w:val="00A61886"/>
    <w:rsid w:val="00A62CA1"/>
    <w:rsid w:val="00A63022"/>
    <w:rsid w:val="00A6332A"/>
    <w:rsid w:val="00A63D89"/>
    <w:rsid w:val="00A64FEF"/>
    <w:rsid w:val="00A65177"/>
    <w:rsid w:val="00A665C4"/>
    <w:rsid w:val="00A6670F"/>
    <w:rsid w:val="00A66E04"/>
    <w:rsid w:val="00A671B3"/>
    <w:rsid w:val="00A677D1"/>
    <w:rsid w:val="00A70927"/>
    <w:rsid w:val="00A71DE3"/>
    <w:rsid w:val="00A72223"/>
    <w:rsid w:val="00A72317"/>
    <w:rsid w:val="00A7413B"/>
    <w:rsid w:val="00A7490E"/>
    <w:rsid w:val="00A75275"/>
    <w:rsid w:val="00A76063"/>
    <w:rsid w:val="00A771BF"/>
    <w:rsid w:val="00A81953"/>
    <w:rsid w:val="00A819CF"/>
    <w:rsid w:val="00A835AC"/>
    <w:rsid w:val="00A83976"/>
    <w:rsid w:val="00A84421"/>
    <w:rsid w:val="00A84FC9"/>
    <w:rsid w:val="00A861F3"/>
    <w:rsid w:val="00A86F8F"/>
    <w:rsid w:val="00A87116"/>
    <w:rsid w:val="00A90D73"/>
    <w:rsid w:val="00A90DB1"/>
    <w:rsid w:val="00A9147B"/>
    <w:rsid w:val="00A91BA8"/>
    <w:rsid w:val="00A91EF1"/>
    <w:rsid w:val="00A91EF2"/>
    <w:rsid w:val="00A9325C"/>
    <w:rsid w:val="00A962FF"/>
    <w:rsid w:val="00A96FC6"/>
    <w:rsid w:val="00A97B61"/>
    <w:rsid w:val="00A97C8C"/>
    <w:rsid w:val="00AA009C"/>
    <w:rsid w:val="00AA01DA"/>
    <w:rsid w:val="00AA0CCF"/>
    <w:rsid w:val="00AA19AB"/>
    <w:rsid w:val="00AA1F46"/>
    <w:rsid w:val="00AA22D2"/>
    <w:rsid w:val="00AA33ED"/>
    <w:rsid w:val="00AA40CE"/>
    <w:rsid w:val="00AA40DA"/>
    <w:rsid w:val="00AA450C"/>
    <w:rsid w:val="00AA5FA1"/>
    <w:rsid w:val="00AA60BE"/>
    <w:rsid w:val="00AA66DA"/>
    <w:rsid w:val="00AA6766"/>
    <w:rsid w:val="00AB1287"/>
    <w:rsid w:val="00AB1B60"/>
    <w:rsid w:val="00AB1CE8"/>
    <w:rsid w:val="00AB2084"/>
    <w:rsid w:val="00AB2378"/>
    <w:rsid w:val="00AB24C1"/>
    <w:rsid w:val="00AB2770"/>
    <w:rsid w:val="00AB3594"/>
    <w:rsid w:val="00AB3D7C"/>
    <w:rsid w:val="00AB411F"/>
    <w:rsid w:val="00AB423C"/>
    <w:rsid w:val="00AB4748"/>
    <w:rsid w:val="00AB48EA"/>
    <w:rsid w:val="00AB4CE7"/>
    <w:rsid w:val="00AB5A7D"/>
    <w:rsid w:val="00AB5B22"/>
    <w:rsid w:val="00AB6700"/>
    <w:rsid w:val="00AB6DFC"/>
    <w:rsid w:val="00AC020F"/>
    <w:rsid w:val="00AC35A2"/>
    <w:rsid w:val="00AC3CA8"/>
    <w:rsid w:val="00AC3DB7"/>
    <w:rsid w:val="00AC3E88"/>
    <w:rsid w:val="00AC68FB"/>
    <w:rsid w:val="00AC7590"/>
    <w:rsid w:val="00AC7899"/>
    <w:rsid w:val="00AC7F00"/>
    <w:rsid w:val="00AD1053"/>
    <w:rsid w:val="00AD3C68"/>
    <w:rsid w:val="00AD3DE1"/>
    <w:rsid w:val="00AD41A2"/>
    <w:rsid w:val="00AD4658"/>
    <w:rsid w:val="00AD752F"/>
    <w:rsid w:val="00AD7CDB"/>
    <w:rsid w:val="00AE1459"/>
    <w:rsid w:val="00AE2C1C"/>
    <w:rsid w:val="00AE55BC"/>
    <w:rsid w:val="00AE5961"/>
    <w:rsid w:val="00AE686D"/>
    <w:rsid w:val="00AE6B27"/>
    <w:rsid w:val="00AF0F96"/>
    <w:rsid w:val="00AF179C"/>
    <w:rsid w:val="00AF21D7"/>
    <w:rsid w:val="00AF28EB"/>
    <w:rsid w:val="00AF4C12"/>
    <w:rsid w:val="00AF5125"/>
    <w:rsid w:val="00AF576F"/>
    <w:rsid w:val="00B00ED5"/>
    <w:rsid w:val="00B02730"/>
    <w:rsid w:val="00B02BF0"/>
    <w:rsid w:val="00B03AB4"/>
    <w:rsid w:val="00B04545"/>
    <w:rsid w:val="00B04E75"/>
    <w:rsid w:val="00B05B91"/>
    <w:rsid w:val="00B05C99"/>
    <w:rsid w:val="00B077CC"/>
    <w:rsid w:val="00B07953"/>
    <w:rsid w:val="00B10073"/>
    <w:rsid w:val="00B11858"/>
    <w:rsid w:val="00B11E3C"/>
    <w:rsid w:val="00B143F8"/>
    <w:rsid w:val="00B1522C"/>
    <w:rsid w:val="00B15BB2"/>
    <w:rsid w:val="00B16BB6"/>
    <w:rsid w:val="00B1718D"/>
    <w:rsid w:val="00B173EF"/>
    <w:rsid w:val="00B17C03"/>
    <w:rsid w:val="00B20A23"/>
    <w:rsid w:val="00B22425"/>
    <w:rsid w:val="00B22C8E"/>
    <w:rsid w:val="00B22F4E"/>
    <w:rsid w:val="00B24A57"/>
    <w:rsid w:val="00B25D00"/>
    <w:rsid w:val="00B25F0D"/>
    <w:rsid w:val="00B26F4E"/>
    <w:rsid w:val="00B27A45"/>
    <w:rsid w:val="00B32A51"/>
    <w:rsid w:val="00B32E6D"/>
    <w:rsid w:val="00B33837"/>
    <w:rsid w:val="00B352B5"/>
    <w:rsid w:val="00B404DA"/>
    <w:rsid w:val="00B42C20"/>
    <w:rsid w:val="00B431CA"/>
    <w:rsid w:val="00B4456A"/>
    <w:rsid w:val="00B44F31"/>
    <w:rsid w:val="00B451CF"/>
    <w:rsid w:val="00B4599B"/>
    <w:rsid w:val="00B45F39"/>
    <w:rsid w:val="00B46612"/>
    <w:rsid w:val="00B4779A"/>
    <w:rsid w:val="00B501A1"/>
    <w:rsid w:val="00B50EB0"/>
    <w:rsid w:val="00B513DA"/>
    <w:rsid w:val="00B539EB"/>
    <w:rsid w:val="00B543B7"/>
    <w:rsid w:val="00B54C7D"/>
    <w:rsid w:val="00B576E1"/>
    <w:rsid w:val="00B5788F"/>
    <w:rsid w:val="00B6030D"/>
    <w:rsid w:val="00B60604"/>
    <w:rsid w:val="00B608F1"/>
    <w:rsid w:val="00B60F79"/>
    <w:rsid w:val="00B62859"/>
    <w:rsid w:val="00B62D61"/>
    <w:rsid w:val="00B63B4A"/>
    <w:rsid w:val="00B63BC0"/>
    <w:rsid w:val="00B63C1C"/>
    <w:rsid w:val="00B65108"/>
    <w:rsid w:val="00B654D5"/>
    <w:rsid w:val="00B6600D"/>
    <w:rsid w:val="00B66764"/>
    <w:rsid w:val="00B673CA"/>
    <w:rsid w:val="00B67530"/>
    <w:rsid w:val="00B67637"/>
    <w:rsid w:val="00B67D51"/>
    <w:rsid w:val="00B7117A"/>
    <w:rsid w:val="00B71A99"/>
    <w:rsid w:val="00B72053"/>
    <w:rsid w:val="00B72CD8"/>
    <w:rsid w:val="00B73217"/>
    <w:rsid w:val="00B740D4"/>
    <w:rsid w:val="00B75651"/>
    <w:rsid w:val="00B757C6"/>
    <w:rsid w:val="00B75D3F"/>
    <w:rsid w:val="00B7622C"/>
    <w:rsid w:val="00B77723"/>
    <w:rsid w:val="00B80D4A"/>
    <w:rsid w:val="00B815D3"/>
    <w:rsid w:val="00B843A1"/>
    <w:rsid w:val="00B84939"/>
    <w:rsid w:val="00B84B71"/>
    <w:rsid w:val="00B84C5C"/>
    <w:rsid w:val="00B85496"/>
    <w:rsid w:val="00B86134"/>
    <w:rsid w:val="00B866C8"/>
    <w:rsid w:val="00B8748B"/>
    <w:rsid w:val="00B91818"/>
    <w:rsid w:val="00B91BB2"/>
    <w:rsid w:val="00B93616"/>
    <w:rsid w:val="00B93DA8"/>
    <w:rsid w:val="00B94DE0"/>
    <w:rsid w:val="00B9550D"/>
    <w:rsid w:val="00B96745"/>
    <w:rsid w:val="00B96DB1"/>
    <w:rsid w:val="00B9723C"/>
    <w:rsid w:val="00B974EC"/>
    <w:rsid w:val="00BA0A76"/>
    <w:rsid w:val="00BA5574"/>
    <w:rsid w:val="00BA5685"/>
    <w:rsid w:val="00BA6DCE"/>
    <w:rsid w:val="00BA723A"/>
    <w:rsid w:val="00BB0423"/>
    <w:rsid w:val="00BB05E1"/>
    <w:rsid w:val="00BB0D30"/>
    <w:rsid w:val="00BB1435"/>
    <w:rsid w:val="00BB32A7"/>
    <w:rsid w:val="00BB3CF5"/>
    <w:rsid w:val="00BB3D9F"/>
    <w:rsid w:val="00BB44E0"/>
    <w:rsid w:val="00BB48AD"/>
    <w:rsid w:val="00BB5495"/>
    <w:rsid w:val="00BB6678"/>
    <w:rsid w:val="00BB6ECF"/>
    <w:rsid w:val="00BB74B3"/>
    <w:rsid w:val="00BB777A"/>
    <w:rsid w:val="00BC069F"/>
    <w:rsid w:val="00BC1765"/>
    <w:rsid w:val="00BC2E80"/>
    <w:rsid w:val="00BC44FC"/>
    <w:rsid w:val="00BC4DE7"/>
    <w:rsid w:val="00BC5123"/>
    <w:rsid w:val="00BC5454"/>
    <w:rsid w:val="00BC612C"/>
    <w:rsid w:val="00BC70E7"/>
    <w:rsid w:val="00BC7E24"/>
    <w:rsid w:val="00BD001B"/>
    <w:rsid w:val="00BD1365"/>
    <w:rsid w:val="00BD1426"/>
    <w:rsid w:val="00BD219A"/>
    <w:rsid w:val="00BD2C42"/>
    <w:rsid w:val="00BD35D1"/>
    <w:rsid w:val="00BD42A7"/>
    <w:rsid w:val="00BD4844"/>
    <w:rsid w:val="00BD4E09"/>
    <w:rsid w:val="00BD6597"/>
    <w:rsid w:val="00BD6EF9"/>
    <w:rsid w:val="00BD754C"/>
    <w:rsid w:val="00BE2140"/>
    <w:rsid w:val="00BE27F0"/>
    <w:rsid w:val="00BE67B6"/>
    <w:rsid w:val="00BE72FD"/>
    <w:rsid w:val="00BE749F"/>
    <w:rsid w:val="00BE7978"/>
    <w:rsid w:val="00BF01A7"/>
    <w:rsid w:val="00BF0287"/>
    <w:rsid w:val="00BF0424"/>
    <w:rsid w:val="00BF0758"/>
    <w:rsid w:val="00BF0C2F"/>
    <w:rsid w:val="00BF1843"/>
    <w:rsid w:val="00BF1EF8"/>
    <w:rsid w:val="00BF214F"/>
    <w:rsid w:val="00BF23E0"/>
    <w:rsid w:val="00BF23E6"/>
    <w:rsid w:val="00BF2DE5"/>
    <w:rsid w:val="00BF3789"/>
    <w:rsid w:val="00BF3AC2"/>
    <w:rsid w:val="00BF3F7C"/>
    <w:rsid w:val="00BF4A0E"/>
    <w:rsid w:val="00BF4BB5"/>
    <w:rsid w:val="00BF4C49"/>
    <w:rsid w:val="00BF542C"/>
    <w:rsid w:val="00BF5A01"/>
    <w:rsid w:val="00BF6338"/>
    <w:rsid w:val="00BF6D56"/>
    <w:rsid w:val="00BF76E8"/>
    <w:rsid w:val="00BF77E0"/>
    <w:rsid w:val="00C00BA9"/>
    <w:rsid w:val="00C00D03"/>
    <w:rsid w:val="00C01DFC"/>
    <w:rsid w:val="00C0282B"/>
    <w:rsid w:val="00C03096"/>
    <w:rsid w:val="00C04447"/>
    <w:rsid w:val="00C05EAB"/>
    <w:rsid w:val="00C06484"/>
    <w:rsid w:val="00C067E0"/>
    <w:rsid w:val="00C1008A"/>
    <w:rsid w:val="00C1025D"/>
    <w:rsid w:val="00C12D93"/>
    <w:rsid w:val="00C12EE2"/>
    <w:rsid w:val="00C139DE"/>
    <w:rsid w:val="00C13B55"/>
    <w:rsid w:val="00C13EAC"/>
    <w:rsid w:val="00C144EB"/>
    <w:rsid w:val="00C14637"/>
    <w:rsid w:val="00C14919"/>
    <w:rsid w:val="00C15032"/>
    <w:rsid w:val="00C159D5"/>
    <w:rsid w:val="00C175C9"/>
    <w:rsid w:val="00C17A6B"/>
    <w:rsid w:val="00C17E88"/>
    <w:rsid w:val="00C2060B"/>
    <w:rsid w:val="00C223EE"/>
    <w:rsid w:val="00C22DC4"/>
    <w:rsid w:val="00C23520"/>
    <w:rsid w:val="00C239C3"/>
    <w:rsid w:val="00C23C2D"/>
    <w:rsid w:val="00C25082"/>
    <w:rsid w:val="00C25CA9"/>
    <w:rsid w:val="00C261BB"/>
    <w:rsid w:val="00C265D4"/>
    <w:rsid w:val="00C265EF"/>
    <w:rsid w:val="00C275FC"/>
    <w:rsid w:val="00C27A31"/>
    <w:rsid w:val="00C30D84"/>
    <w:rsid w:val="00C317A7"/>
    <w:rsid w:val="00C32974"/>
    <w:rsid w:val="00C32E75"/>
    <w:rsid w:val="00C33AEC"/>
    <w:rsid w:val="00C35850"/>
    <w:rsid w:val="00C360C2"/>
    <w:rsid w:val="00C3661C"/>
    <w:rsid w:val="00C36658"/>
    <w:rsid w:val="00C36F1D"/>
    <w:rsid w:val="00C37804"/>
    <w:rsid w:val="00C379F5"/>
    <w:rsid w:val="00C40BFB"/>
    <w:rsid w:val="00C410D2"/>
    <w:rsid w:val="00C41B6E"/>
    <w:rsid w:val="00C42A78"/>
    <w:rsid w:val="00C437D6"/>
    <w:rsid w:val="00C465A3"/>
    <w:rsid w:val="00C46607"/>
    <w:rsid w:val="00C46702"/>
    <w:rsid w:val="00C473D4"/>
    <w:rsid w:val="00C50793"/>
    <w:rsid w:val="00C50DE1"/>
    <w:rsid w:val="00C51782"/>
    <w:rsid w:val="00C52B78"/>
    <w:rsid w:val="00C53E52"/>
    <w:rsid w:val="00C54473"/>
    <w:rsid w:val="00C54A6D"/>
    <w:rsid w:val="00C55BD7"/>
    <w:rsid w:val="00C55D94"/>
    <w:rsid w:val="00C57582"/>
    <w:rsid w:val="00C608EF"/>
    <w:rsid w:val="00C609BB"/>
    <w:rsid w:val="00C60A25"/>
    <w:rsid w:val="00C612BB"/>
    <w:rsid w:val="00C612BF"/>
    <w:rsid w:val="00C6207E"/>
    <w:rsid w:val="00C621A4"/>
    <w:rsid w:val="00C639A6"/>
    <w:rsid w:val="00C63CD5"/>
    <w:rsid w:val="00C63D6B"/>
    <w:rsid w:val="00C6419B"/>
    <w:rsid w:val="00C64D07"/>
    <w:rsid w:val="00C64FAE"/>
    <w:rsid w:val="00C651A9"/>
    <w:rsid w:val="00C66344"/>
    <w:rsid w:val="00C67255"/>
    <w:rsid w:val="00C674F7"/>
    <w:rsid w:val="00C7052B"/>
    <w:rsid w:val="00C70759"/>
    <w:rsid w:val="00C71096"/>
    <w:rsid w:val="00C71104"/>
    <w:rsid w:val="00C745D7"/>
    <w:rsid w:val="00C75520"/>
    <w:rsid w:val="00C75867"/>
    <w:rsid w:val="00C75A3B"/>
    <w:rsid w:val="00C76D8C"/>
    <w:rsid w:val="00C7702A"/>
    <w:rsid w:val="00C773C8"/>
    <w:rsid w:val="00C77EB7"/>
    <w:rsid w:val="00C80A25"/>
    <w:rsid w:val="00C81319"/>
    <w:rsid w:val="00C81F9C"/>
    <w:rsid w:val="00C827FA"/>
    <w:rsid w:val="00C82930"/>
    <w:rsid w:val="00C83ACD"/>
    <w:rsid w:val="00C846CD"/>
    <w:rsid w:val="00C8531E"/>
    <w:rsid w:val="00C8574F"/>
    <w:rsid w:val="00C85A52"/>
    <w:rsid w:val="00C85B6C"/>
    <w:rsid w:val="00C85F12"/>
    <w:rsid w:val="00C85FEF"/>
    <w:rsid w:val="00C86BFE"/>
    <w:rsid w:val="00C86D8A"/>
    <w:rsid w:val="00C900B0"/>
    <w:rsid w:val="00C9080B"/>
    <w:rsid w:val="00C90EF9"/>
    <w:rsid w:val="00C91231"/>
    <w:rsid w:val="00C92949"/>
    <w:rsid w:val="00C9312F"/>
    <w:rsid w:val="00C9343E"/>
    <w:rsid w:val="00C93736"/>
    <w:rsid w:val="00C95ED6"/>
    <w:rsid w:val="00C96379"/>
    <w:rsid w:val="00C97900"/>
    <w:rsid w:val="00CA1FB0"/>
    <w:rsid w:val="00CA24D1"/>
    <w:rsid w:val="00CA3131"/>
    <w:rsid w:val="00CA39C1"/>
    <w:rsid w:val="00CA39CC"/>
    <w:rsid w:val="00CA4319"/>
    <w:rsid w:val="00CA4743"/>
    <w:rsid w:val="00CA638E"/>
    <w:rsid w:val="00CA67A1"/>
    <w:rsid w:val="00CA7C29"/>
    <w:rsid w:val="00CB0171"/>
    <w:rsid w:val="00CB0548"/>
    <w:rsid w:val="00CB05C5"/>
    <w:rsid w:val="00CB0FCD"/>
    <w:rsid w:val="00CB138F"/>
    <w:rsid w:val="00CB13E0"/>
    <w:rsid w:val="00CB40BB"/>
    <w:rsid w:val="00CB4407"/>
    <w:rsid w:val="00CB679F"/>
    <w:rsid w:val="00CB769A"/>
    <w:rsid w:val="00CB76B8"/>
    <w:rsid w:val="00CB7703"/>
    <w:rsid w:val="00CB783B"/>
    <w:rsid w:val="00CC03A6"/>
    <w:rsid w:val="00CC2803"/>
    <w:rsid w:val="00CC2DEA"/>
    <w:rsid w:val="00CC4C7D"/>
    <w:rsid w:val="00CC4EB4"/>
    <w:rsid w:val="00CC612C"/>
    <w:rsid w:val="00CC6D19"/>
    <w:rsid w:val="00CC707F"/>
    <w:rsid w:val="00CC7244"/>
    <w:rsid w:val="00CC79CD"/>
    <w:rsid w:val="00CD1841"/>
    <w:rsid w:val="00CD1BF1"/>
    <w:rsid w:val="00CD3780"/>
    <w:rsid w:val="00CD52B3"/>
    <w:rsid w:val="00CD68DD"/>
    <w:rsid w:val="00CD7860"/>
    <w:rsid w:val="00CD7B8B"/>
    <w:rsid w:val="00CE2092"/>
    <w:rsid w:val="00CE2B04"/>
    <w:rsid w:val="00CE377D"/>
    <w:rsid w:val="00CE58EB"/>
    <w:rsid w:val="00CE5F4F"/>
    <w:rsid w:val="00CE75F2"/>
    <w:rsid w:val="00CF1035"/>
    <w:rsid w:val="00CF35B2"/>
    <w:rsid w:val="00CF37BC"/>
    <w:rsid w:val="00CF38D4"/>
    <w:rsid w:val="00CF3B2D"/>
    <w:rsid w:val="00CF4101"/>
    <w:rsid w:val="00CF411E"/>
    <w:rsid w:val="00CF4440"/>
    <w:rsid w:val="00CF5F82"/>
    <w:rsid w:val="00CF769B"/>
    <w:rsid w:val="00CF7BC4"/>
    <w:rsid w:val="00D017C2"/>
    <w:rsid w:val="00D019D4"/>
    <w:rsid w:val="00D01ED0"/>
    <w:rsid w:val="00D0214C"/>
    <w:rsid w:val="00D02D91"/>
    <w:rsid w:val="00D03E47"/>
    <w:rsid w:val="00D04E6E"/>
    <w:rsid w:val="00D05515"/>
    <w:rsid w:val="00D058D2"/>
    <w:rsid w:val="00D06A3C"/>
    <w:rsid w:val="00D10722"/>
    <w:rsid w:val="00D10ECF"/>
    <w:rsid w:val="00D119F3"/>
    <w:rsid w:val="00D11B02"/>
    <w:rsid w:val="00D11CF4"/>
    <w:rsid w:val="00D13FBB"/>
    <w:rsid w:val="00D14BDD"/>
    <w:rsid w:val="00D159F8"/>
    <w:rsid w:val="00D17CFB"/>
    <w:rsid w:val="00D226B9"/>
    <w:rsid w:val="00D23437"/>
    <w:rsid w:val="00D24056"/>
    <w:rsid w:val="00D2459A"/>
    <w:rsid w:val="00D24CD7"/>
    <w:rsid w:val="00D24F0D"/>
    <w:rsid w:val="00D256BE"/>
    <w:rsid w:val="00D27131"/>
    <w:rsid w:val="00D27930"/>
    <w:rsid w:val="00D30044"/>
    <w:rsid w:val="00D31BBD"/>
    <w:rsid w:val="00D337C1"/>
    <w:rsid w:val="00D3437B"/>
    <w:rsid w:val="00D3592A"/>
    <w:rsid w:val="00D37FE7"/>
    <w:rsid w:val="00D404B1"/>
    <w:rsid w:val="00D40987"/>
    <w:rsid w:val="00D41F65"/>
    <w:rsid w:val="00D429F6"/>
    <w:rsid w:val="00D434B0"/>
    <w:rsid w:val="00D43988"/>
    <w:rsid w:val="00D4469F"/>
    <w:rsid w:val="00D46856"/>
    <w:rsid w:val="00D46E91"/>
    <w:rsid w:val="00D47058"/>
    <w:rsid w:val="00D4707E"/>
    <w:rsid w:val="00D47867"/>
    <w:rsid w:val="00D47947"/>
    <w:rsid w:val="00D47DC6"/>
    <w:rsid w:val="00D47EAF"/>
    <w:rsid w:val="00D51345"/>
    <w:rsid w:val="00D521A7"/>
    <w:rsid w:val="00D528AA"/>
    <w:rsid w:val="00D52D7F"/>
    <w:rsid w:val="00D53034"/>
    <w:rsid w:val="00D53AAB"/>
    <w:rsid w:val="00D55A05"/>
    <w:rsid w:val="00D56584"/>
    <w:rsid w:val="00D56DF8"/>
    <w:rsid w:val="00D575A8"/>
    <w:rsid w:val="00D57D2B"/>
    <w:rsid w:val="00D57FC6"/>
    <w:rsid w:val="00D608A7"/>
    <w:rsid w:val="00D60C34"/>
    <w:rsid w:val="00D61A9F"/>
    <w:rsid w:val="00D61EDD"/>
    <w:rsid w:val="00D628AF"/>
    <w:rsid w:val="00D6294B"/>
    <w:rsid w:val="00D62B73"/>
    <w:rsid w:val="00D64BD8"/>
    <w:rsid w:val="00D651ED"/>
    <w:rsid w:val="00D65A4D"/>
    <w:rsid w:val="00D66697"/>
    <w:rsid w:val="00D67111"/>
    <w:rsid w:val="00D67ACA"/>
    <w:rsid w:val="00D67F69"/>
    <w:rsid w:val="00D71103"/>
    <w:rsid w:val="00D71B68"/>
    <w:rsid w:val="00D71F66"/>
    <w:rsid w:val="00D72CA9"/>
    <w:rsid w:val="00D73E39"/>
    <w:rsid w:val="00D74504"/>
    <w:rsid w:val="00D74639"/>
    <w:rsid w:val="00D7480D"/>
    <w:rsid w:val="00D75269"/>
    <w:rsid w:val="00D76893"/>
    <w:rsid w:val="00D76CAC"/>
    <w:rsid w:val="00D76F78"/>
    <w:rsid w:val="00D7798C"/>
    <w:rsid w:val="00D809B7"/>
    <w:rsid w:val="00D80FEC"/>
    <w:rsid w:val="00D813B0"/>
    <w:rsid w:val="00D81A57"/>
    <w:rsid w:val="00D82112"/>
    <w:rsid w:val="00D82279"/>
    <w:rsid w:val="00D82A4C"/>
    <w:rsid w:val="00D84B56"/>
    <w:rsid w:val="00D85326"/>
    <w:rsid w:val="00D8557B"/>
    <w:rsid w:val="00D85683"/>
    <w:rsid w:val="00D90F8A"/>
    <w:rsid w:val="00D90FBE"/>
    <w:rsid w:val="00D91614"/>
    <w:rsid w:val="00D91621"/>
    <w:rsid w:val="00D93A5F"/>
    <w:rsid w:val="00D9553A"/>
    <w:rsid w:val="00D96328"/>
    <w:rsid w:val="00D964CF"/>
    <w:rsid w:val="00D96B72"/>
    <w:rsid w:val="00D9740F"/>
    <w:rsid w:val="00D9788C"/>
    <w:rsid w:val="00D97BA1"/>
    <w:rsid w:val="00D97DE0"/>
    <w:rsid w:val="00DA09FC"/>
    <w:rsid w:val="00DA0F0A"/>
    <w:rsid w:val="00DA4D0E"/>
    <w:rsid w:val="00DA59D2"/>
    <w:rsid w:val="00DA732B"/>
    <w:rsid w:val="00DA751C"/>
    <w:rsid w:val="00DB07BC"/>
    <w:rsid w:val="00DB15E7"/>
    <w:rsid w:val="00DB1CB8"/>
    <w:rsid w:val="00DB2B7E"/>
    <w:rsid w:val="00DB2C0B"/>
    <w:rsid w:val="00DB5719"/>
    <w:rsid w:val="00DB624E"/>
    <w:rsid w:val="00DB6CE7"/>
    <w:rsid w:val="00DB76A4"/>
    <w:rsid w:val="00DB7D14"/>
    <w:rsid w:val="00DC02EA"/>
    <w:rsid w:val="00DC0CC8"/>
    <w:rsid w:val="00DC1CA6"/>
    <w:rsid w:val="00DC20CF"/>
    <w:rsid w:val="00DC29FD"/>
    <w:rsid w:val="00DC4284"/>
    <w:rsid w:val="00DC5239"/>
    <w:rsid w:val="00DC63F9"/>
    <w:rsid w:val="00DC7896"/>
    <w:rsid w:val="00DC7E69"/>
    <w:rsid w:val="00DD1CCB"/>
    <w:rsid w:val="00DD3316"/>
    <w:rsid w:val="00DD3E1F"/>
    <w:rsid w:val="00DD5E57"/>
    <w:rsid w:val="00DD686C"/>
    <w:rsid w:val="00DD6CDC"/>
    <w:rsid w:val="00DD713B"/>
    <w:rsid w:val="00DE0DBC"/>
    <w:rsid w:val="00DE1472"/>
    <w:rsid w:val="00DE2965"/>
    <w:rsid w:val="00DE2DAE"/>
    <w:rsid w:val="00DE3385"/>
    <w:rsid w:val="00DE3466"/>
    <w:rsid w:val="00DE3F64"/>
    <w:rsid w:val="00DE4638"/>
    <w:rsid w:val="00DE4651"/>
    <w:rsid w:val="00DE465E"/>
    <w:rsid w:val="00DE4FAC"/>
    <w:rsid w:val="00DE533F"/>
    <w:rsid w:val="00DE7265"/>
    <w:rsid w:val="00DE7525"/>
    <w:rsid w:val="00DE7F4A"/>
    <w:rsid w:val="00DF03B9"/>
    <w:rsid w:val="00DF141E"/>
    <w:rsid w:val="00DF2353"/>
    <w:rsid w:val="00DF2EFF"/>
    <w:rsid w:val="00DF2FC3"/>
    <w:rsid w:val="00DF3140"/>
    <w:rsid w:val="00DF31E2"/>
    <w:rsid w:val="00DF35CF"/>
    <w:rsid w:val="00DF3AB2"/>
    <w:rsid w:val="00DF3FA1"/>
    <w:rsid w:val="00DF3FD0"/>
    <w:rsid w:val="00DF56B1"/>
    <w:rsid w:val="00DF73BA"/>
    <w:rsid w:val="00DF75FF"/>
    <w:rsid w:val="00DF762B"/>
    <w:rsid w:val="00E00755"/>
    <w:rsid w:val="00E00898"/>
    <w:rsid w:val="00E016B0"/>
    <w:rsid w:val="00E027AE"/>
    <w:rsid w:val="00E02DC0"/>
    <w:rsid w:val="00E03478"/>
    <w:rsid w:val="00E0628E"/>
    <w:rsid w:val="00E06460"/>
    <w:rsid w:val="00E06F3D"/>
    <w:rsid w:val="00E07011"/>
    <w:rsid w:val="00E073CF"/>
    <w:rsid w:val="00E076EF"/>
    <w:rsid w:val="00E1129B"/>
    <w:rsid w:val="00E11584"/>
    <w:rsid w:val="00E11FE4"/>
    <w:rsid w:val="00E14BFA"/>
    <w:rsid w:val="00E159D9"/>
    <w:rsid w:val="00E15CF0"/>
    <w:rsid w:val="00E16360"/>
    <w:rsid w:val="00E17F53"/>
    <w:rsid w:val="00E21350"/>
    <w:rsid w:val="00E226D5"/>
    <w:rsid w:val="00E22700"/>
    <w:rsid w:val="00E23D2B"/>
    <w:rsid w:val="00E25124"/>
    <w:rsid w:val="00E261F8"/>
    <w:rsid w:val="00E31EB9"/>
    <w:rsid w:val="00E324AD"/>
    <w:rsid w:val="00E32B5F"/>
    <w:rsid w:val="00E3342D"/>
    <w:rsid w:val="00E33683"/>
    <w:rsid w:val="00E33734"/>
    <w:rsid w:val="00E37514"/>
    <w:rsid w:val="00E376F8"/>
    <w:rsid w:val="00E404F8"/>
    <w:rsid w:val="00E411DD"/>
    <w:rsid w:val="00E413F7"/>
    <w:rsid w:val="00E41A1D"/>
    <w:rsid w:val="00E42117"/>
    <w:rsid w:val="00E427F9"/>
    <w:rsid w:val="00E42965"/>
    <w:rsid w:val="00E44CD4"/>
    <w:rsid w:val="00E4560F"/>
    <w:rsid w:val="00E45B91"/>
    <w:rsid w:val="00E468D0"/>
    <w:rsid w:val="00E469F6"/>
    <w:rsid w:val="00E46C0E"/>
    <w:rsid w:val="00E46C57"/>
    <w:rsid w:val="00E4721E"/>
    <w:rsid w:val="00E479BB"/>
    <w:rsid w:val="00E47A5D"/>
    <w:rsid w:val="00E47E88"/>
    <w:rsid w:val="00E5064A"/>
    <w:rsid w:val="00E508EC"/>
    <w:rsid w:val="00E5176B"/>
    <w:rsid w:val="00E51B19"/>
    <w:rsid w:val="00E51ED4"/>
    <w:rsid w:val="00E52291"/>
    <w:rsid w:val="00E528BA"/>
    <w:rsid w:val="00E5366B"/>
    <w:rsid w:val="00E53826"/>
    <w:rsid w:val="00E53E3B"/>
    <w:rsid w:val="00E54365"/>
    <w:rsid w:val="00E565C2"/>
    <w:rsid w:val="00E57075"/>
    <w:rsid w:val="00E57FF6"/>
    <w:rsid w:val="00E60269"/>
    <w:rsid w:val="00E60C32"/>
    <w:rsid w:val="00E61591"/>
    <w:rsid w:val="00E61CB4"/>
    <w:rsid w:val="00E620D7"/>
    <w:rsid w:val="00E627F6"/>
    <w:rsid w:val="00E62F47"/>
    <w:rsid w:val="00E63F1D"/>
    <w:rsid w:val="00E63FBE"/>
    <w:rsid w:val="00E646D5"/>
    <w:rsid w:val="00E6531F"/>
    <w:rsid w:val="00E65573"/>
    <w:rsid w:val="00E70006"/>
    <w:rsid w:val="00E719AB"/>
    <w:rsid w:val="00E72A86"/>
    <w:rsid w:val="00E72BA8"/>
    <w:rsid w:val="00E73AA8"/>
    <w:rsid w:val="00E748FE"/>
    <w:rsid w:val="00E75A9D"/>
    <w:rsid w:val="00E77D05"/>
    <w:rsid w:val="00E81B8E"/>
    <w:rsid w:val="00E81C11"/>
    <w:rsid w:val="00E81ED7"/>
    <w:rsid w:val="00E821B1"/>
    <w:rsid w:val="00E82207"/>
    <w:rsid w:val="00E824B5"/>
    <w:rsid w:val="00E82C04"/>
    <w:rsid w:val="00E83077"/>
    <w:rsid w:val="00E834C3"/>
    <w:rsid w:val="00E8377F"/>
    <w:rsid w:val="00E83C6C"/>
    <w:rsid w:val="00E83F8B"/>
    <w:rsid w:val="00E913DC"/>
    <w:rsid w:val="00E9222C"/>
    <w:rsid w:val="00E9223A"/>
    <w:rsid w:val="00E9247E"/>
    <w:rsid w:val="00E92CBB"/>
    <w:rsid w:val="00E93007"/>
    <w:rsid w:val="00E930BA"/>
    <w:rsid w:val="00E93580"/>
    <w:rsid w:val="00E9558B"/>
    <w:rsid w:val="00E95D1B"/>
    <w:rsid w:val="00E96A4B"/>
    <w:rsid w:val="00E97131"/>
    <w:rsid w:val="00EA020F"/>
    <w:rsid w:val="00EA1CEC"/>
    <w:rsid w:val="00EA2076"/>
    <w:rsid w:val="00EA2158"/>
    <w:rsid w:val="00EA21DF"/>
    <w:rsid w:val="00EA2684"/>
    <w:rsid w:val="00EA2EFA"/>
    <w:rsid w:val="00EA50D6"/>
    <w:rsid w:val="00EA5714"/>
    <w:rsid w:val="00EA5FFF"/>
    <w:rsid w:val="00EA61AE"/>
    <w:rsid w:val="00EA7662"/>
    <w:rsid w:val="00EA78BB"/>
    <w:rsid w:val="00EB016F"/>
    <w:rsid w:val="00EB0CA3"/>
    <w:rsid w:val="00EB0D72"/>
    <w:rsid w:val="00EB2A8E"/>
    <w:rsid w:val="00EB33F4"/>
    <w:rsid w:val="00EB3B9C"/>
    <w:rsid w:val="00EB40A2"/>
    <w:rsid w:val="00EB4C04"/>
    <w:rsid w:val="00EB511D"/>
    <w:rsid w:val="00EB5735"/>
    <w:rsid w:val="00EB6AC2"/>
    <w:rsid w:val="00EB6DE3"/>
    <w:rsid w:val="00EB7068"/>
    <w:rsid w:val="00EB71EA"/>
    <w:rsid w:val="00EB7F21"/>
    <w:rsid w:val="00EC0219"/>
    <w:rsid w:val="00EC13D4"/>
    <w:rsid w:val="00EC1406"/>
    <w:rsid w:val="00EC24FA"/>
    <w:rsid w:val="00EC2677"/>
    <w:rsid w:val="00EC36F2"/>
    <w:rsid w:val="00EC4BDE"/>
    <w:rsid w:val="00EC4F33"/>
    <w:rsid w:val="00EC515B"/>
    <w:rsid w:val="00EC6F6B"/>
    <w:rsid w:val="00EC703B"/>
    <w:rsid w:val="00EC7E9A"/>
    <w:rsid w:val="00ED00C8"/>
    <w:rsid w:val="00ED04B9"/>
    <w:rsid w:val="00ED05A1"/>
    <w:rsid w:val="00ED1570"/>
    <w:rsid w:val="00ED2C57"/>
    <w:rsid w:val="00ED43EE"/>
    <w:rsid w:val="00ED4C56"/>
    <w:rsid w:val="00ED5BD8"/>
    <w:rsid w:val="00ED7DF8"/>
    <w:rsid w:val="00EE0232"/>
    <w:rsid w:val="00EE12E8"/>
    <w:rsid w:val="00EE1E6D"/>
    <w:rsid w:val="00EE1F2C"/>
    <w:rsid w:val="00EE2304"/>
    <w:rsid w:val="00EE294E"/>
    <w:rsid w:val="00EE2DC4"/>
    <w:rsid w:val="00EE303E"/>
    <w:rsid w:val="00EE4C7E"/>
    <w:rsid w:val="00EE4F62"/>
    <w:rsid w:val="00EE556D"/>
    <w:rsid w:val="00EE6184"/>
    <w:rsid w:val="00EE67C5"/>
    <w:rsid w:val="00EE7A2C"/>
    <w:rsid w:val="00EF05A3"/>
    <w:rsid w:val="00EF1520"/>
    <w:rsid w:val="00EF2240"/>
    <w:rsid w:val="00EF27A0"/>
    <w:rsid w:val="00EF2BFC"/>
    <w:rsid w:val="00EF37B8"/>
    <w:rsid w:val="00EF6556"/>
    <w:rsid w:val="00EF67AB"/>
    <w:rsid w:val="00EF7829"/>
    <w:rsid w:val="00EF7AA0"/>
    <w:rsid w:val="00F00BCB"/>
    <w:rsid w:val="00F0207D"/>
    <w:rsid w:val="00F02428"/>
    <w:rsid w:val="00F0319D"/>
    <w:rsid w:val="00F03201"/>
    <w:rsid w:val="00F03AB8"/>
    <w:rsid w:val="00F059F8"/>
    <w:rsid w:val="00F06165"/>
    <w:rsid w:val="00F069FD"/>
    <w:rsid w:val="00F07462"/>
    <w:rsid w:val="00F1096F"/>
    <w:rsid w:val="00F11E45"/>
    <w:rsid w:val="00F12D86"/>
    <w:rsid w:val="00F12E39"/>
    <w:rsid w:val="00F13B04"/>
    <w:rsid w:val="00F13B05"/>
    <w:rsid w:val="00F1433D"/>
    <w:rsid w:val="00F15AF2"/>
    <w:rsid w:val="00F15C87"/>
    <w:rsid w:val="00F16A3B"/>
    <w:rsid w:val="00F17C59"/>
    <w:rsid w:val="00F207FC"/>
    <w:rsid w:val="00F21290"/>
    <w:rsid w:val="00F25426"/>
    <w:rsid w:val="00F307CC"/>
    <w:rsid w:val="00F30BBA"/>
    <w:rsid w:val="00F30E1D"/>
    <w:rsid w:val="00F31630"/>
    <w:rsid w:val="00F32291"/>
    <w:rsid w:val="00F3266E"/>
    <w:rsid w:val="00F3282E"/>
    <w:rsid w:val="00F33F6B"/>
    <w:rsid w:val="00F34C99"/>
    <w:rsid w:val="00F36C04"/>
    <w:rsid w:val="00F37ADF"/>
    <w:rsid w:val="00F40869"/>
    <w:rsid w:val="00F41BC0"/>
    <w:rsid w:val="00F426A1"/>
    <w:rsid w:val="00F439BB"/>
    <w:rsid w:val="00F43E0D"/>
    <w:rsid w:val="00F449D7"/>
    <w:rsid w:val="00F44E79"/>
    <w:rsid w:val="00F4554B"/>
    <w:rsid w:val="00F45F51"/>
    <w:rsid w:val="00F461AE"/>
    <w:rsid w:val="00F4624C"/>
    <w:rsid w:val="00F4661F"/>
    <w:rsid w:val="00F50F23"/>
    <w:rsid w:val="00F5184B"/>
    <w:rsid w:val="00F51B88"/>
    <w:rsid w:val="00F51E70"/>
    <w:rsid w:val="00F52F12"/>
    <w:rsid w:val="00F534D3"/>
    <w:rsid w:val="00F5372A"/>
    <w:rsid w:val="00F5421D"/>
    <w:rsid w:val="00F54FDE"/>
    <w:rsid w:val="00F55025"/>
    <w:rsid w:val="00F55E4F"/>
    <w:rsid w:val="00F55E73"/>
    <w:rsid w:val="00F601A0"/>
    <w:rsid w:val="00F60DF3"/>
    <w:rsid w:val="00F6181B"/>
    <w:rsid w:val="00F62057"/>
    <w:rsid w:val="00F63834"/>
    <w:rsid w:val="00F639A2"/>
    <w:rsid w:val="00F6403A"/>
    <w:rsid w:val="00F64463"/>
    <w:rsid w:val="00F6488F"/>
    <w:rsid w:val="00F65545"/>
    <w:rsid w:val="00F6557B"/>
    <w:rsid w:val="00F6628E"/>
    <w:rsid w:val="00F66C05"/>
    <w:rsid w:val="00F678A4"/>
    <w:rsid w:val="00F679D1"/>
    <w:rsid w:val="00F67C01"/>
    <w:rsid w:val="00F67F82"/>
    <w:rsid w:val="00F7041B"/>
    <w:rsid w:val="00F70F9F"/>
    <w:rsid w:val="00F7114B"/>
    <w:rsid w:val="00F71D71"/>
    <w:rsid w:val="00F721EF"/>
    <w:rsid w:val="00F726B2"/>
    <w:rsid w:val="00F72AC2"/>
    <w:rsid w:val="00F72B58"/>
    <w:rsid w:val="00F73C6A"/>
    <w:rsid w:val="00F74168"/>
    <w:rsid w:val="00F742F1"/>
    <w:rsid w:val="00F7484F"/>
    <w:rsid w:val="00F74857"/>
    <w:rsid w:val="00F75D2F"/>
    <w:rsid w:val="00F75FEA"/>
    <w:rsid w:val="00F76037"/>
    <w:rsid w:val="00F776A4"/>
    <w:rsid w:val="00F77724"/>
    <w:rsid w:val="00F77839"/>
    <w:rsid w:val="00F81871"/>
    <w:rsid w:val="00F840CA"/>
    <w:rsid w:val="00F907C9"/>
    <w:rsid w:val="00F91164"/>
    <w:rsid w:val="00F9182E"/>
    <w:rsid w:val="00F91AC7"/>
    <w:rsid w:val="00F92B0F"/>
    <w:rsid w:val="00F94C17"/>
    <w:rsid w:val="00F95CD7"/>
    <w:rsid w:val="00F95EE6"/>
    <w:rsid w:val="00FA0EFA"/>
    <w:rsid w:val="00FA1BCF"/>
    <w:rsid w:val="00FA2180"/>
    <w:rsid w:val="00FA3AEB"/>
    <w:rsid w:val="00FA414D"/>
    <w:rsid w:val="00FA4E31"/>
    <w:rsid w:val="00FA4EB4"/>
    <w:rsid w:val="00FA5580"/>
    <w:rsid w:val="00FA66E5"/>
    <w:rsid w:val="00FA6852"/>
    <w:rsid w:val="00FA6AAC"/>
    <w:rsid w:val="00FA6CBC"/>
    <w:rsid w:val="00FA6D48"/>
    <w:rsid w:val="00FA7305"/>
    <w:rsid w:val="00FA7EC0"/>
    <w:rsid w:val="00FB02DB"/>
    <w:rsid w:val="00FB06B1"/>
    <w:rsid w:val="00FB0FF7"/>
    <w:rsid w:val="00FB24D5"/>
    <w:rsid w:val="00FB3509"/>
    <w:rsid w:val="00FB439F"/>
    <w:rsid w:val="00FB57DF"/>
    <w:rsid w:val="00FB672F"/>
    <w:rsid w:val="00FB7A63"/>
    <w:rsid w:val="00FC072E"/>
    <w:rsid w:val="00FC201D"/>
    <w:rsid w:val="00FC2706"/>
    <w:rsid w:val="00FC2C4F"/>
    <w:rsid w:val="00FC2DD6"/>
    <w:rsid w:val="00FC4041"/>
    <w:rsid w:val="00FC551E"/>
    <w:rsid w:val="00FC56AF"/>
    <w:rsid w:val="00FC5790"/>
    <w:rsid w:val="00FC5BC1"/>
    <w:rsid w:val="00FC62E5"/>
    <w:rsid w:val="00FC7159"/>
    <w:rsid w:val="00FD039F"/>
    <w:rsid w:val="00FD12BF"/>
    <w:rsid w:val="00FD1989"/>
    <w:rsid w:val="00FD1995"/>
    <w:rsid w:val="00FD25E1"/>
    <w:rsid w:val="00FD2F5D"/>
    <w:rsid w:val="00FD3410"/>
    <w:rsid w:val="00FD36A4"/>
    <w:rsid w:val="00FD4DA2"/>
    <w:rsid w:val="00FD5B5D"/>
    <w:rsid w:val="00FD5E1C"/>
    <w:rsid w:val="00FD5F39"/>
    <w:rsid w:val="00FD68E8"/>
    <w:rsid w:val="00FD6F4F"/>
    <w:rsid w:val="00FE1165"/>
    <w:rsid w:val="00FE1880"/>
    <w:rsid w:val="00FE22D5"/>
    <w:rsid w:val="00FE2BDE"/>
    <w:rsid w:val="00FE2DD4"/>
    <w:rsid w:val="00FE386F"/>
    <w:rsid w:val="00FE3F8E"/>
    <w:rsid w:val="00FE4004"/>
    <w:rsid w:val="00FE460D"/>
    <w:rsid w:val="00FE4647"/>
    <w:rsid w:val="00FE47ED"/>
    <w:rsid w:val="00FE4EEF"/>
    <w:rsid w:val="00FE61DC"/>
    <w:rsid w:val="00FE6E79"/>
    <w:rsid w:val="00FF081E"/>
    <w:rsid w:val="00FF145C"/>
    <w:rsid w:val="00FF19A4"/>
    <w:rsid w:val="00FF26EE"/>
    <w:rsid w:val="00FF28E1"/>
    <w:rsid w:val="00FF47A3"/>
    <w:rsid w:val="00FF4EA9"/>
    <w:rsid w:val="00FF72D7"/>
    <w:rsid w:val="00FF7508"/>
    <w:rsid w:val="017340C6"/>
    <w:rsid w:val="01EC6E3D"/>
    <w:rsid w:val="01EC718F"/>
    <w:rsid w:val="020A77FD"/>
    <w:rsid w:val="02222C98"/>
    <w:rsid w:val="02805332"/>
    <w:rsid w:val="02A13AD9"/>
    <w:rsid w:val="02D509DE"/>
    <w:rsid w:val="030C4EB2"/>
    <w:rsid w:val="03A91626"/>
    <w:rsid w:val="040209DD"/>
    <w:rsid w:val="04325DDF"/>
    <w:rsid w:val="04C5452F"/>
    <w:rsid w:val="04E0340F"/>
    <w:rsid w:val="04E57829"/>
    <w:rsid w:val="04ED6DCE"/>
    <w:rsid w:val="050E00BB"/>
    <w:rsid w:val="052466F7"/>
    <w:rsid w:val="052F0C5A"/>
    <w:rsid w:val="05AF03F0"/>
    <w:rsid w:val="061F6DCD"/>
    <w:rsid w:val="064E2803"/>
    <w:rsid w:val="06D8500E"/>
    <w:rsid w:val="075F0CE6"/>
    <w:rsid w:val="08B60169"/>
    <w:rsid w:val="099D5621"/>
    <w:rsid w:val="09BB7B68"/>
    <w:rsid w:val="0A0B5D1C"/>
    <w:rsid w:val="0A57392E"/>
    <w:rsid w:val="0A755404"/>
    <w:rsid w:val="0A9D543E"/>
    <w:rsid w:val="0AFF0F3A"/>
    <w:rsid w:val="0B0C59B6"/>
    <w:rsid w:val="0B251294"/>
    <w:rsid w:val="0B5E23B8"/>
    <w:rsid w:val="0C6B1E87"/>
    <w:rsid w:val="0C946066"/>
    <w:rsid w:val="0CC76AC6"/>
    <w:rsid w:val="0CD2239F"/>
    <w:rsid w:val="0CE62330"/>
    <w:rsid w:val="0DD9182A"/>
    <w:rsid w:val="0DED7254"/>
    <w:rsid w:val="0E6F3512"/>
    <w:rsid w:val="0E9D7213"/>
    <w:rsid w:val="0EA41FF0"/>
    <w:rsid w:val="0F273A62"/>
    <w:rsid w:val="0F357F79"/>
    <w:rsid w:val="109A4323"/>
    <w:rsid w:val="10F37B65"/>
    <w:rsid w:val="11017C65"/>
    <w:rsid w:val="111276E4"/>
    <w:rsid w:val="114C5A55"/>
    <w:rsid w:val="11BA36CB"/>
    <w:rsid w:val="12450EE2"/>
    <w:rsid w:val="12534D40"/>
    <w:rsid w:val="129B7B9C"/>
    <w:rsid w:val="12A0250F"/>
    <w:rsid w:val="12F30AB7"/>
    <w:rsid w:val="138A4A07"/>
    <w:rsid w:val="13930B00"/>
    <w:rsid w:val="13EB6E01"/>
    <w:rsid w:val="142E06DA"/>
    <w:rsid w:val="146F7429"/>
    <w:rsid w:val="147B3BC5"/>
    <w:rsid w:val="148E434D"/>
    <w:rsid w:val="1498665A"/>
    <w:rsid w:val="14B63CB5"/>
    <w:rsid w:val="14CF6EF5"/>
    <w:rsid w:val="15307C8F"/>
    <w:rsid w:val="15582070"/>
    <w:rsid w:val="15602616"/>
    <w:rsid w:val="15A12E2D"/>
    <w:rsid w:val="16A97049"/>
    <w:rsid w:val="16BB69D2"/>
    <w:rsid w:val="183B2497"/>
    <w:rsid w:val="189B17F0"/>
    <w:rsid w:val="18A06AAB"/>
    <w:rsid w:val="19337334"/>
    <w:rsid w:val="19363F53"/>
    <w:rsid w:val="19493CD9"/>
    <w:rsid w:val="1A36183A"/>
    <w:rsid w:val="1AB236CF"/>
    <w:rsid w:val="1AC30B01"/>
    <w:rsid w:val="1AD62513"/>
    <w:rsid w:val="1B66094A"/>
    <w:rsid w:val="1B8F29EE"/>
    <w:rsid w:val="1BAD23D6"/>
    <w:rsid w:val="1D4F524A"/>
    <w:rsid w:val="1D881430"/>
    <w:rsid w:val="1D9973D7"/>
    <w:rsid w:val="1DC63086"/>
    <w:rsid w:val="1EA304EC"/>
    <w:rsid w:val="1EA71074"/>
    <w:rsid w:val="1F28556D"/>
    <w:rsid w:val="1F6178EC"/>
    <w:rsid w:val="1F72276C"/>
    <w:rsid w:val="1F7C524B"/>
    <w:rsid w:val="1FA72B2B"/>
    <w:rsid w:val="1FE81F7A"/>
    <w:rsid w:val="1FF0620A"/>
    <w:rsid w:val="20075626"/>
    <w:rsid w:val="204608E4"/>
    <w:rsid w:val="20561081"/>
    <w:rsid w:val="21700E17"/>
    <w:rsid w:val="217E6031"/>
    <w:rsid w:val="21AA04C7"/>
    <w:rsid w:val="21FD6BCC"/>
    <w:rsid w:val="22BC5F2E"/>
    <w:rsid w:val="23041115"/>
    <w:rsid w:val="23B81C58"/>
    <w:rsid w:val="23DD466A"/>
    <w:rsid w:val="23ED4BF0"/>
    <w:rsid w:val="24564C49"/>
    <w:rsid w:val="247321DC"/>
    <w:rsid w:val="24A378CD"/>
    <w:rsid w:val="250A712C"/>
    <w:rsid w:val="25317B57"/>
    <w:rsid w:val="256A0966"/>
    <w:rsid w:val="257433C3"/>
    <w:rsid w:val="25DC7ABB"/>
    <w:rsid w:val="25F62A55"/>
    <w:rsid w:val="2602777D"/>
    <w:rsid w:val="26132909"/>
    <w:rsid w:val="26601AA8"/>
    <w:rsid w:val="26B7254D"/>
    <w:rsid w:val="26E455E0"/>
    <w:rsid w:val="27060E2F"/>
    <w:rsid w:val="273E110E"/>
    <w:rsid w:val="27837F03"/>
    <w:rsid w:val="27D21965"/>
    <w:rsid w:val="288A082C"/>
    <w:rsid w:val="289F578D"/>
    <w:rsid w:val="29050252"/>
    <w:rsid w:val="295347DC"/>
    <w:rsid w:val="29B21648"/>
    <w:rsid w:val="29D73087"/>
    <w:rsid w:val="2A833DD6"/>
    <w:rsid w:val="2AE568ED"/>
    <w:rsid w:val="2B751B93"/>
    <w:rsid w:val="2B795E66"/>
    <w:rsid w:val="2B8766FB"/>
    <w:rsid w:val="2BE4447B"/>
    <w:rsid w:val="2C51711B"/>
    <w:rsid w:val="2C817BF9"/>
    <w:rsid w:val="2CC033EA"/>
    <w:rsid w:val="2CFC01C9"/>
    <w:rsid w:val="2CFC3F8A"/>
    <w:rsid w:val="2D2F5CEB"/>
    <w:rsid w:val="2D33589C"/>
    <w:rsid w:val="2EE21426"/>
    <w:rsid w:val="2F112905"/>
    <w:rsid w:val="2F1E42D6"/>
    <w:rsid w:val="2F581C2B"/>
    <w:rsid w:val="2FBF039B"/>
    <w:rsid w:val="2FFB5C59"/>
    <w:rsid w:val="30381231"/>
    <w:rsid w:val="304D4373"/>
    <w:rsid w:val="30775AAA"/>
    <w:rsid w:val="30DB6D4E"/>
    <w:rsid w:val="30F04840"/>
    <w:rsid w:val="31013DE1"/>
    <w:rsid w:val="31330EB7"/>
    <w:rsid w:val="31977582"/>
    <w:rsid w:val="319E568C"/>
    <w:rsid w:val="31FC4DD1"/>
    <w:rsid w:val="320F02CD"/>
    <w:rsid w:val="320F2700"/>
    <w:rsid w:val="322F51E9"/>
    <w:rsid w:val="33711B3C"/>
    <w:rsid w:val="33BE4392"/>
    <w:rsid w:val="340771D4"/>
    <w:rsid w:val="341F4B10"/>
    <w:rsid w:val="34A22926"/>
    <w:rsid w:val="355439A1"/>
    <w:rsid w:val="356D608D"/>
    <w:rsid w:val="35A92676"/>
    <w:rsid w:val="35F86D02"/>
    <w:rsid w:val="36037B66"/>
    <w:rsid w:val="363673FD"/>
    <w:rsid w:val="36423E36"/>
    <w:rsid w:val="366D225D"/>
    <w:rsid w:val="367D3ED6"/>
    <w:rsid w:val="36921691"/>
    <w:rsid w:val="36BE0933"/>
    <w:rsid w:val="36C14C50"/>
    <w:rsid w:val="37067ABA"/>
    <w:rsid w:val="3736D007"/>
    <w:rsid w:val="37624D36"/>
    <w:rsid w:val="37B0164A"/>
    <w:rsid w:val="380140FB"/>
    <w:rsid w:val="386B4A1D"/>
    <w:rsid w:val="388575AD"/>
    <w:rsid w:val="38C2712E"/>
    <w:rsid w:val="38E35C4F"/>
    <w:rsid w:val="39662698"/>
    <w:rsid w:val="39F4309F"/>
    <w:rsid w:val="3A1F5EFF"/>
    <w:rsid w:val="3AAB2E5D"/>
    <w:rsid w:val="3B3F1D27"/>
    <w:rsid w:val="3B507B41"/>
    <w:rsid w:val="3B8C3DBC"/>
    <w:rsid w:val="3BE321ED"/>
    <w:rsid w:val="3C6C459B"/>
    <w:rsid w:val="3C7A4FD9"/>
    <w:rsid w:val="3CBA674C"/>
    <w:rsid w:val="3D1113E0"/>
    <w:rsid w:val="3D225087"/>
    <w:rsid w:val="3D7858AE"/>
    <w:rsid w:val="3DB34188"/>
    <w:rsid w:val="3DD3624A"/>
    <w:rsid w:val="3E0F1573"/>
    <w:rsid w:val="3E143C55"/>
    <w:rsid w:val="3EBE31DD"/>
    <w:rsid w:val="40CF5E95"/>
    <w:rsid w:val="412E2987"/>
    <w:rsid w:val="41487E00"/>
    <w:rsid w:val="41616600"/>
    <w:rsid w:val="41A05068"/>
    <w:rsid w:val="41C21036"/>
    <w:rsid w:val="41EE4AAE"/>
    <w:rsid w:val="421A4269"/>
    <w:rsid w:val="4222226D"/>
    <w:rsid w:val="427878A2"/>
    <w:rsid w:val="42A605A8"/>
    <w:rsid w:val="431C51A2"/>
    <w:rsid w:val="43416253"/>
    <w:rsid w:val="44483721"/>
    <w:rsid w:val="44E80B61"/>
    <w:rsid w:val="45D8434B"/>
    <w:rsid w:val="465410D6"/>
    <w:rsid w:val="46544341"/>
    <w:rsid w:val="46DD1A6E"/>
    <w:rsid w:val="47385AC7"/>
    <w:rsid w:val="476619AF"/>
    <w:rsid w:val="476959A3"/>
    <w:rsid w:val="47897213"/>
    <w:rsid w:val="480A647F"/>
    <w:rsid w:val="480F7403"/>
    <w:rsid w:val="481248F2"/>
    <w:rsid w:val="48345CA7"/>
    <w:rsid w:val="48483286"/>
    <w:rsid w:val="492B471A"/>
    <w:rsid w:val="493051B6"/>
    <w:rsid w:val="49B12382"/>
    <w:rsid w:val="49F219C9"/>
    <w:rsid w:val="4AEE03D4"/>
    <w:rsid w:val="4B1410CA"/>
    <w:rsid w:val="4B4327F3"/>
    <w:rsid w:val="4B711976"/>
    <w:rsid w:val="4BAE3273"/>
    <w:rsid w:val="4BEE5DFA"/>
    <w:rsid w:val="4C2F1D20"/>
    <w:rsid w:val="4CCF720B"/>
    <w:rsid w:val="4E42203C"/>
    <w:rsid w:val="4F7B48C7"/>
    <w:rsid w:val="50345752"/>
    <w:rsid w:val="510647A8"/>
    <w:rsid w:val="51304926"/>
    <w:rsid w:val="516F1041"/>
    <w:rsid w:val="517C45D5"/>
    <w:rsid w:val="52034502"/>
    <w:rsid w:val="520C7D4C"/>
    <w:rsid w:val="523A3618"/>
    <w:rsid w:val="52722DD0"/>
    <w:rsid w:val="527E5E6C"/>
    <w:rsid w:val="527F08DF"/>
    <w:rsid w:val="52881FE7"/>
    <w:rsid w:val="52C439A5"/>
    <w:rsid w:val="52C650B0"/>
    <w:rsid w:val="53494001"/>
    <w:rsid w:val="54BB6DA0"/>
    <w:rsid w:val="54C84D1D"/>
    <w:rsid w:val="54E43168"/>
    <w:rsid w:val="54ED0FB5"/>
    <w:rsid w:val="550D0882"/>
    <w:rsid w:val="558C2159"/>
    <w:rsid w:val="55BE68F6"/>
    <w:rsid w:val="563D6557"/>
    <w:rsid w:val="5652663E"/>
    <w:rsid w:val="56877445"/>
    <w:rsid w:val="568B1979"/>
    <w:rsid w:val="56B87BAF"/>
    <w:rsid w:val="56C76DDE"/>
    <w:rsid w:val="56CA371D"/>
    <w:rsid w:val="56EE35DD"/>
    <w:rsid w:val="57276F7E"/>
    <w:rsid w:val="57506C80"/>
    <w:rsid w:val="57912473"/>
    <w:rsid w:val="580529F7"/>
    <w:rsid w:val="58E731A4"/>
    <w:rsid w:val="58E91247"/>
    <w:rsid w:val="58F66C5C"/>
    <w:rsid w:val="590E6AED"/>
    <w:rsid w:val="597F0A4E"/>
    <w:rsid w:val="59B02744"/>
    <w:rsid w:val="59DD4C92"/>
    <w:rsid w:val="5A974794"/>
    <w:rsid w:val="5AA63359"/>
    <w:rsid w:val="5AE10255"/>
    <w:rsid w:val="5AE4733D"/>
    <w:rsid w:val="5B107225"/>
    <w:rsid w:val="5BF030CD"/>
    <w:rsid w:val="5C86140F"/>
    <w:rsid w:val="5CBF7F7F"/>
    <w:rsid w:val="5CEC5F3D"/>
    <w:rsid w:val="5D9B4148"/>
    <w:rsid w:val="5DA520A0"/>
    <w:rsid w:val="5DB5057A"/>
    <w:rsid w:val="5DFA262E"/>
    <w:rsid w:val="5E456F30"/>
    <w:rsid w:val="5F07654A"/>
    <w:rsid w:val="5F422E9E"/>
    <w:rsid w:val="5F5C0073"/>
    <w:rsid w:val="5F8A0ED9"/>
    <w:rsid w:val="5FB451AE"/>
    <w:rsid w:val="5FBB27CD"/>
    <w:rsid w:val="600F658C"/>
    <w:rsid w:val="60C525AC"/>
    <w:rsid w:val="60EC7E52"/>
    <w:rsid w:val="616C7460"/>
    <w:rsid w:val="6172510D"/>
    <w:rsid w:val="61B96958"/>
    <w:rsid w:val="62233DD5"/>
    <w:rsid w:val="62500EC3"/>
    <w:rsid w:val="62D107F7"/>
    <w:rsid w:val="64160A5D"/>
    <w:rsid w:val="642E0B55"/>
    <w:rsid w:val="64570EE2"/>
    <w:rsid w:val="64CC1FBA"/>
    <w:rsid w:val="64DA0075"/>
    <w:rsid w:val="6567254D"/>
    <w:rsid w:val="659C5560"/>
    <w:rsid w:val="65C64913"/>
    <w:rsid w:val="65DC2DC7"/>
    <w:rsid w:val="664A523F"/>
    <w:rsid w:val="668947EA"/>
    <w:rsid w:val="66C819F0"/>
    <w:rsid w:val="67294943"/>
    <w:rsid w:val="672A62A2"/>
    <w:rsid w:val="6752224E"/>
    <w:rsid w:val="67864AC2"/>
    <w:rsid w:val="67F03601"/>
    <w:rsid w:val="68713B2A"/>
    <w:rsid w:val="68B70FAF"/>
    <w:rsid w:val="692C5B08"/>
    <w:rsid w:val="696123E0"/>
    <w:rsid w:val="698C7271"/>
    <w:rsid w:val="69EE4131"/>
    <w:rsid w:val="6A1B4198"/>
    <w:rsid w:val="6A202E42"/>
    <w:rsid w:val="6A6D215A"/>
    <w:rsid w:val="6BCB1EED"/>
    <w:rsid w:val="6BF110DB"/>
    <w:rsid w:val="6C570F66"/>
    <w:rsid w:val="6CDB57A4"/>
    <w:rsid w:val="6D2069FF"/>
    <w:rsid w:val="6D7037B0"/>
    <w:rsid w:val="6DFC1CC6"/>
    <w:rsid w:val="6E021B42"/>
    <w:rsid w:val="6E0A7608"/>
    <w:rsid w:val="6E4018D4"/>
    <w:rsid w:val="6ECC0EDF"/>
    <w:rsid w:val="6EDB5ABA"/>
    <w:rsid w:val="6F49731F"/>
    <w:rsid w:val="6F9F67FA"/>
    <w:rsid w:val="6FCC625A"/>
    <w:rsid w:val="70250E81"/>
    <w:rsid w:val="70296198"/>
    <w:rsid w:val="70AD06FE"/>
    <w:rsid w:val="70BA5995"/>
    <w:rsid w:val="71052FEB"/>
    <w:rsid w:val="714D2727"/>
    <w:rsid w:val="71883E72"/>
    <w:rsid w:val="729616D1"/>
    <w:rsid w:val="72AC7C32"/>
    <w:rsid w:val="72C93791"/>
    <w:rsid w:val="72EA07C3"/>
    <w:rsid w:val="72F410BA"/>
    <w:rsid w:val="731071F5"/>
    <w:rsid w:val="736D58FF"/>
    <w:rsid w:val="739A75B0"/>
    <w:rsid w:val="73AB1246"/>
    <w:rsid w:val="73B552BA"/>
    <w:rsid w:val="743E47E1"/>
    <w:rsid w:val="7469736E"/>
    <w:rsid w:val="75DA534F"/>
    <w:rsid w:val="772C2EAC"/>
    <w:rsid w:val="773A50AE"/>
    <w:rsid w:val="775A37B9"/>
    <w:rsid w:val="78C979CC"/>
    <w:rsid w:val="794679AA"/>
    <w:rsid w:val="795F77F7"/>
    <w:rsid w:val="799046D3"/>
    <w:rsid w:val="79F62CB6"/>
    <w:rsid w:val="7A2120CB"/>
    <w:rsid w:val="7A5107D7"/>
    <w:rsid w:val="7A573DF5"/>
    <w:rsid w:val="7A835D78"/>
    <w:rsid w:val="7B057546"/>
    <w:rsid w:val="7B09062B"/>
    <w:rsid w:val="7B7A62E5"/>
    <w:rsid w:val="7C80406D"/>
    <w:rsid w:val="7CB63946"/>
    <w:rsid w:val="7CE808D9"/>
    <w:rsid w:val="7D2F7F6C"/>
    <w:rsid w:val="7D4827BB"/>
    <w:rsid w:val="7D7A6312"/>
    <w:rsid w:val="7DCE48AA"/>
    <w:rsid w:val="7DDB59DB"/>
    <w:rsid w:val="7DE27609"/>
    <w:rsid w:val="7E792433"/>
    <w:rsid w:val="7E8914B1"/>
    <w:rsid w:val="7E8B0E67"/>
    <w:rsid w:val="7FA24341"/>
    <w:rsid w:val="7FB9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58"/>
    <w:qFormat/>
    <w:uiPriority w:val="0"/>
    <w:pPr>
      <w:spacing w:before="340" w:after="330" w:line="360" w:lineRule="auto"/>
      <w:jc w:val="center"/>
      <w:outlineLvl w:val="0"/>
    </w:pPr>
    <w:rPr>
      <w:rFonts w:eastAsia="黑体"/>
      <w:kern w:val="44"/>
      <w:szCs w:val="44"/>
    </w:rPr>
  </w:style>
  <w:style w:type="paragraph" w:styleId="6">
    <w:name w:val="heading 2"/>
    <w:basedOn w:val="1"/>
    <w:next w:val="1"/>
    <w:link w:val="280"/>
    <w:qFormat/>
    <w:uiPriority w:val="9"/>
    <w:pPr>
      <w:adjustRightInd w:val="0"/>
      <w:jc w:val="center"/>
      <w:textAlignment w:val="baseline"/>
      <w:outlineLvl w:val="1"/>
    </w:pPr>
    <w:rPr>
      <w:bCs/>
      <w:kern w:val="0"/>
      <w:sz w:val="24"/>
      <w:szCs w:val="20"/>
    </w:rPr>
  </w:style>
  <w:style w:type="paragraph" w:styleId="4">
    <w:name w:val="heading 3"/>
    <w:basedOn w:val="5"/>
    <w:next w:val="1"/>
    <w:link w:val="285"/>
    <w:qFormat/>
    <w:uiPriority w:val="0"/>
    <w:pPr>
      <w:spacing w:before="260" w:after="260" w:line="240" w:lineRule="auto"/>
      <w:outlineLvl w:val="2"/>
    </w:pPr>
    <w:rPr>
      <w:rFonts w:ascii="宋体" w:hAnsi="宋体" w:eastAsia="宋体"/>
      <w:szCs w:val="32"/>
    </w:rPr>
  </w:style>
  <w:style w:type="paragraph" w:styleId="5">
    <w:name w:val="heading 4"/>
    <w:basedOn w:val="1"/>
    <w:next w:val="1"/>
    <w:link w:val="25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qFormat/>
    <w:uiPriority w:val="0"/>
    <w:pPr>
      <w:keepNext/>
      <w:keepLines/>
      <w:spacing w:before="280" w:after="290" w:line="376" w:lineRule="auto"/>
      <w:outlineLvl w:val="4"/>
    </w:pPr>
    <w:rPr>
      <w:b/>
      <w:sz w:val="28"/>
      <w:szCs w:val="20"/>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qFormat/>
    <w:uiPriority w:val="0"/>
    <w:pPr>
      <w:keepNext/>
      <w:keepLines/>
      <w:spacing w:before="240" w:after="64" w:line="320" w:lineRule="auto"/>
      <w:outlineLvl w:val="6"/>
    </w:pPr>
    <w:rPr>
      <w:b/>
      <w:sz w:val="24"/>
      <w:szCs w:val="20"/>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9"/>
    <w:qFormat/>
    <w:uiPriority w:val="0"/>
    <w:pPr>
      <w:spacing w:line="360" w:lineRule="auto"/>
    </w:pPr>
    <w:rPr>
      <w:rFonts w:ascii="Verdana" w:hAnsi="Verdana" w:eastAsia="仿宋_GB2312"/>
      <w:b/>
      <w:bCs/>
      <w:sz w:val="24"/>
      <w:lang w:eastAsia="en-US"/>
    </w:rPr>
  </w:style>
  <w:style w:type="paragraph" w:styleId="8">
    <w:name w:val="Normal Indent"/>
    <w:basedOn w:val="1"/>
    <w:link w:val="265"/>
    <w:qFormat/>
    <w:uiPriority w:val="0"/>
    <w:pPr>
      <w:ind w:firstLine="420"/>
    </w:pPr>
    <w:rPr>
      <w:szCs w:val="20"/>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Cs w:val="21"/>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286"/>
    <w:qFormat/>
    <w:uiPriority w:val="0"/>
    <w:pPr>
      <w:shd w:val="clear" w:color="auto" w:fill="000080"/>
    </w:pPr>
  </w:style>
  <w:style w:type="paragraph" w:styleId="17">
    <w:name w:val="annotation text"/>
    <w:basedOn w:val="1"/>
    <w:link w:val="252"/>
    <w:qFormat/>
    <w:uiPriority w:val="0"/>
    <w:pPr>
      <w:autoSpaceDE w:val="0"/>
      <w:autoSpaceDN w:val="0"/>
      <w:adjustRightInd w:val="0"/>
      <w:jc w:val="left"/>
      <w:textAlignment w:val="baseline"/>
    </w:pPr>
    <w:rPr>
      <w:rFonts w:ascii="宋体" w:hAnsi="Verdana" w:eastAsia="仿宋_GB2312"/>
      <w:kern w:val="0"/>
      <w:sz w:val="34"/>
      <w:szCs w:val="20"/>
      <w:lang w:eastAsia="en-US"/>
    </w:rPr>
  </w:style>
  <w:style w:type="paragraph" w:styleId="18">
    <w:name w:val="Salutation"/>
    <w:basedOn w:val="1"/>
    <w:next w:val="1"/>
    <w:link w:val="247"/>
    <w:qFormat/>
    <w:uiPriority w:val="0"/>
    <w:rPr>
      <w:rFonts w:ascii="Verdana" w:hAnsi="Verdana" w:eastAsia="仿宋_GB2312"/>
      <w:sz w:val="24"/>
      <w:szCs w:val="20"/>
      <w:lang w:eastAsia="en-US"/>
    </w:rPr>
  </w:style>
  <w:style w:type="paragraph" w:styleId="19">
    <w:name w:val="Body Text 3"/>
    <w:basedOn w:val="1"/>
    <w:qFormat/>
    <w:uiPriority w:val="0"/>
    <w:pPr>
      <w:spacing w:after="120"/>
    </w:pPr>
    <w:rPr>
      <w:sz w:val="16"/>
      <w:szCs w:val="16"/>
    </w:rPr>
  </w:style>
  <w:style w:type="paragraph" w:styleId="20">
    <w:name w:val="Body Text Indent"/>
    <w:basedOn w:val="1"/>
    <w:link w:val="238"/>
    <w:qFormat/>
    <w:uiPriority w:val="0"/>
    <w:pPr>
      <w:spacing w:line="360" w:lineRule="auto"/>
      <w:ind w:firstLine="420" w:firstLineChars="200"/>
    </w:pPr>
  </w:style>
  <w:style w:type="paragraph" w:styleId="21">
    <w:name w:val="List 2"/>
    <w:basedOn w:val="1"/>
    <w:qFormat/>
    <w:uiPriority w:val="0"/>
    <w:pPr>
      <w:adjustRightInd w:val="0"/>
      <w:spacing w:line="360" w:lineRule="atLeast"/>
      <w:ind w:left="840" w:hanging="420"/>
      <w:jc w:val="left"/>
      <w:textAlignment w:val="baseline"/>
    </w:pPr>
    <w:rPr>
      <w:spacing w:val="10"/>
      <w:kern w:val="0"/>
      <w:sz w:val="24"/>
      <w:szCs w:val="20"/>
    </w:rPr>
  </w:style>
  <w:style w:type="paragraph" w:styleId="22">
    <w:name w:val="Block Text"/>
    <w:basedOn w:val="1"/>
    <w:qFormat/>
    <w:uiPriority w:val="0"/>
    <w:pPr>
      <w:spacing w:after="120"/>
      <w:ind w:left="1440" w:leftChars="700" w:right="1440" w:rightChars="700"/>
    </w:pPr>
  </w:style>
  <w:style w:type="paragraph" w:styleId="23">
    <w:name w:val="toc 5"/>
    <w:basedOn w:val="1"/>
    <w:next w:val="1"/>
    <w:qFormat/>
    <w:uiPriority w:val="0"/>
    <w:pPr>
      <w:ind w:left="840"/>
      <w:jc w:val="left"/>
    </w:pPr>
    <w:rPr>
      <w:szCs w:val="21"/>
    </w:rPr>
  </w:style>
  <w:style w:type="paragraph" w:styleId="24">
    <w:name w:val="toc 3"/>
    <w:basedOn w:val="1"/>
    <w:next w:val="1"/>
    <w:qFormat/>
    <w:uiPriority w:val="0"/>
    <w:pPr>
      <w:ind w:left="420"/>
      <w:jc w:val="left"/>
    </w:pPr>
    <w:rPr>
      <w:i/>
      <w:iCs/>
    </w:rPr>
  </w:style>
  <w:style w:type="paragraph" w:styleId="25">
    <w:name w:val="Plain Text"/>
    <w:basedOn w:val="1"/>
    <w:link w:val="241"/>
    <w:qFormat/>
    <w:uiPriority w:val="0"/>
    <w:rPr>
      <w:rFonts w:ascii="宋体" w:hAnsi="Courier New" w:eastAsia="仿宋_GB2312"/>
      <w:szCs w:val="20"/>
      <w:lang w:eastAsia="en-US"/>
    </w:rPr>
  </w:style>
  <w:style w:type="paragraph" w:styleId="26">
    <w:name w:val="toc 8"/>
    <w:basedOn w:val="1"/>
    <w:next w:val="1"/>
    <w:qFormat/>
    <w:uiPriority w:val="0"/>
    <w:pPr>
      <w:ind w:left="1470"/>
      <w:jc w:val="left"/>
    </w:pPr>
    <w:rPr>
      <w:szCs w:val="21"/>
    </w:rPr>
  </w:style>
  <w:style w:type="paragraph" w:styleId="27">
    <w:name w:val="Date"/>
    <w:basedOn w:val="1"/>
    <w:next w:val="1"/>
    <w:qFormat/>
    <w:uiPriority w:val="0"/>
    <w:rPr>
      <w:rFonts w:ascii="宋体" w:hAnsi="Courier New"/>
      <w:sz w:val="32"/>
      <w:szCs w:val="20"/>
    </w:rPr>
  </w:style>
  <w:style w:type="paragraph" w:styleId="28">
    <w:name w:val="Body Text Indent 2"/>
    <w:basedOn w:val="1"/>
    <w:qFormat/>
    <w:uiPriority w:val="0"/>
    <w:pPr>
      <w:spacing w:before="156" w:beforeLines="50" w:after="156" w:afterLines="50" w:line="120" w:lineRule="auto"/>
      <w:ind w:firstLine="840" w:firstLineChars="400"/>
      <w:jc w:val="left"/>
    </w:pPr>
    <w:rPr>
      <w:rFonts w:ascii="宋体" w:hAnsi="宋体"/>
    </w:rPr>
  </w:style>
  <w:style w:type="paragraph" w:styleId="29">
    <w:name w:val="Balloon Text"/>
    <w:basedOn w:val="1"/>
    <w:link w:val="233"/>
    <w:qFormat/>
    <w:uiPriority w:val="0"/>
    <w:rPr>
      <w:rFonts w:ascii="Verdana" w:hAnsi="Verdana" w:eastAsia="仿宋_GB2312"/>
      <w:sz w:val="18"/>
      <w:szCs w:val="18"/>
      <w:lang w:eastAsia="en-US"/>
    </w:rPr>
  </w:style>
  <w:style w:type="paragraph" w:styleId="30">
    <w:name w:val="footer"/>
    <w:basedOn w:val="1"/>
    <w:link w:val="235"/>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spacing w:before="120" w:after="120"/>
      <w:jc w:val="left"/>
    </w:pPr>
    <w:rPr>
      <w:b/>
      <w:bCs/>
      <w:caps/>
    </w:rPr>
  </w:style>
  <w:style w:type="paragraph" w:styleId="33">
    <w:name w:val="toc 4"/>
    <w:basedOn w:val="1"/>
    <w:next w:val="1"/>
    <w:qFormat/>
    <w:uiPriority w:val="0"/>
    <w:pPr>
      <w:ind w:left="630"/>
      <w:jc w:val="left"/>
    </w:pPr>
    <w:rPr>
      <w:szCs w:val="21"/>
    </w:rPr>
  </w:style>
  <w:style w:type="paragraph" w:styleId="34">
    <w:name w:val="index heading"/>
    <w:basedOn w:val="1"/>
    <w:next w:val="35"/>
    <w:qFormat/>
    <w:uiPriority w:val="99"/>
  </w:style>
  <w:style w:type="paragraph" w:styleId="35">
    <w:name w:val="index 1"/>
    <w:basedOn w:val="1"/>
    <w:next w:val="1"/>
    <w:qFormat/>
    <w:uiPriority w:val="0"/>
  </w:style>
  <w:style w:type="paragraph" w:styleId="36">
    <w:name w:val="List"/>
    <w:basedOn w:val="1"/>
    <w:qFormat/>
    <w:uiPriority w:val="0"/>
    <w:pPr>
      <w:ind w:left="200" w:hanging="200" w:hangingChars="200"/>
    </w:pPr>
    <w:rPr>
      <w:szCs w:val="20"/>
    </w:rPr>
  </w:style>
  <w:style w:type="paragraph" w:styleId="37">
    <w:name w:val="toc 6"/>
    <w:basedOn w:val="1"/>
    <w:next w:val="1"/>
    <w:qFormat/>
    <w:uiPriority w:val="0"/>
    <w:pPr>
      <w:ind w:left="1050"/>
      <w:jc w:val="left"/>
    </w:pPr>
    <w:rPr>
      <w:szCs w:val="21"/>
    </w:rPr>
  </w:style>
  <w:style w:type="paragraph" w:styleId="38">
    <w:name w:val="Body Text Indent 3"/>
    <w:basedOn w:val="1"/>
    <w:qFormat/>
    <w:uiPriority w:val="0"/>
    <w:pPr>
      <w:spacing w:line="360" w:lineRule="auto"/>
      <w:ind w:firstLine="482" w:firstLineChars="200"/>
    </w:pPr>
    <w:rPr>
      <w:rFonts w:ascii="宋体"/>
      <w:b/>
      <w:bCs/>
      <w:sz w:val="24"/>
    </w:rPr>
  </w:style>
  <w:style w:type="paragraph" w:styleId="39">
    <w:name w:val="toc 2"/>
    <w:basedOn w:val="1"/>
    <w:next w:val="1"/>
    <w:qFormat/>
    <w:uiPriority w:val="0"/>
    <w:pPr>
      <w:tabs>
        <w:tab w:val="right" w:leader="dot" w:pos="8296"/>
      </w:tabs>
      <w:ind w:left="210"/>
      <w:jc w:val="left"/>
    </w:pPr>
    <w:rPr>
      <w:smallCaps/>
    </w:rPr>
  </w:style>
  <w:style w:type="paragraph" w:styleId="40">
    <w:name w:val="toc 9"/>
    <w:basedOn w:val="1"/>
    <w:next w:val="1"/>
    <w:qFormat/>
    <w:uiPriority w:val="0"/>
    <w:pPr>
      <w:ind w:left="1680"/>
      <w:jc w:val="left"/>
    </w:pPr>
    <w:rPr>
      <w:szCs w:val="21"/>
    </w:rPr>
  </w:style>
  <w:style w:type="paragraph" w:styleId="41">
    <w:name w:val="Body Text 2"/>
    <w:basedOn w:val="1"/>
    <w:qFormat/>
    <w:uiPriority w:val="0"/>
    <w:pPr>
      <w:spacing w:line="360" w:lineRule="auto"/>
    </w:pPr>
    <w:rPr>
      <w:sz w:val="24"/>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3">
    <w:name w:val="Normal (Web)"/>
    <w:basedOn w:val="1"/>
    <w:qFormat/>
    <w:uiPriority w:val="99"/>
    <w:pPr>
      <w:spacing w:before="100" w:beforeAutospacing="1" w:after="100" w:afterAutospacing="1"/>
      <w:jc w:val="left"/>
    </w:pPr>
    <w:rPr>
      <w:kern w:val="0"/>
      <w:sz w:val="24"/>
    </w:rPr>
  </w:style>
  <w:style w:type="paragraph" w:styleId="44">
    <w:name w:val="Title"/>
    <w:basedOn w:val="1"/>
    <w:qFormat/>
    <w:uiPriority w:val="0"/>
    <w:pPr>
      <w:spacing w:before="240" w:after="60"/>
      <w:jc w:val="center"/>
      <w:outlineLvl w:val="0"/>
    </w:pPr>
    <w:rPr>
      <w:rFonts w:ascii="Arial" w:hAnsi="Arial" w:eastAsia="隶书" w:cs="Arial"/>
      <w:b/>
      <w:bCs/>
      <w:sz w:val="32"/>
      <w:szCs w:val="32"/>
    </w:rPr>
  </w:style>
  <w:style w:type="paragraph" w:styleId="45">
    <w:name w:val="annotation subject"/>
    <w:basedOn w:val="17"/>
    <w:next w:val="17"/>
    <w:link w:val="227"/>
    <w:qFormat/>
    <w:uiPriority w:val="0"/>
    <w:pPr>
      <w:autoSpaceDE/>
      <w:autoSpaceDN/>
      <w:adjustRightInd/>
      <w:textAlignment w:val="auto"/>
    </w:pPr>
    <w:rPr>
      <w:b/>
      <w:bCs/>
      <w:kern w:val="2"/>
      <w:sz w:val="21"/>
      <w:szCs w:val="24"/>
    </w:rPr>
  </w:style>
  <w:style w:type="paragraph" w:styleId="46">
    <w:name w:val="Body Text First Indent"/>
    <w:basedOn w:val="2"/>
    <w:link w:val="274"/>
    <w:qFormat/>
    <w:uiPriority w:val="0"/>
    <w:pPr>
      <w:spacing w:after="120" w:line="240" w:lineRule="auto"/>
      <w:ind w:firstLine="420" w:firstLineChars="100"/>
    </w:pPr>
    <w:rPr>
      <w:b w:val="0"/>
      <w:bCs w:val="0"/>
      <w:sz w:val="21"/>
    </w:rPr>
  </w:style>
  <w:style w:type="paragraph" w:styleId="47">
    <w:name w:val="Body Text First Indent 2"/>
    <w:basedOn w:val="20"/>
    <w:link w:val="284"/>
    <w:qFormat/>
    <w:uiPriority w:val="0"/>
    <w:pPr>
      <w:numPr>
        <w:ilvl w:val="0"/>
        <w:numId w:val="1"/>
      </w:numPr>
      <w:tabs>
        <w:tab w:val="left" w:pos="1050"/>
      </w:tabs>
      <w:spacing w:after="120" w:line="240" w:lineRule="auto"/>
      <w:ind w:left="420" w:leftChars="200" w:firstLine="420"/>
    </w:pPr>
    <w:rPr>
      <w:szCs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rFonts w:hint="eastAsia" w:ascii="宋体" w:hAnsi="宋体" w:eastAsia="宋体" w:cs="宋体"/>
      <w:color w:val="0031C1"/>
      <w:sz w:val="18"/>
      <w:szCs w:val="18"/>
      <w:u w:val="none"/>
    </w:rPr>
  </w:style>
  <w:style w:type="character" w:styleId="54">
    <w:name w:val="Emphasis"/>
    <w:qFormat/>
    <w:uiPriority w:val="0"/>
  </w:style>
  <w:style w:type="character" w:styleId="55">
    <w:name w:val="HTML Typewriter"/>
    <w:qFormat/>
    <w:uiPriority w:val="0"/>
    <w:rPr>
      <w:rFonts w:ascii="宋体" w:hAnsi="宋体" w:eastAsia="宋体" w:cs="宋体"/>
      <w:sz w:val="24"/>
      <w:szCs w:val="24"/>
    </w:rPr>
  </w:style>
  <w:style w:type="character" w:styleId="56">
    <w:name w:val="Hyperlink"/>
    <w:qFormat/>
    <w:uiPriority w:val="99"/>
    <w:rPr>
      <w:rFonts w:hint="eastAsia" w:ascii="宋体" w:hAnsi="宋体" w:eastAsia="宋体" w:cs="宋体"/>
      <w:color w:val="0031C1"/>
      <w:sz w:val="18"/>
      <w:szCs w:val="18"/>
      <w:u w:val="none"/>
    </w:rPr>
  </w:style>
  <w:style w:type="character" w:styleId="57">
    <w:name w:val="annotation reference"/>
    <w:qFormat/>
    <w:uiPriority w:val="0"/>
    <w:rPr>
      <w:rFonts w:ascii="Verdana" w:hAnsi="Verdana" w:eastAsia="仿宋_GB2312"/>
      <w:kern w:val="0"/>
      <w:sz w:val="21"/>
      <w:szCs w:val="21"/>
      <w:lang w:eastAsia="en-US"/>
    </w:rPr>
  </w:style>
  <w:style w:type="character" w:styleId="58">
    <w:name w:val="HTML Cite"/>
    <w:qFormat/>
    <w:uiPriority w:val="0"/>
    <w:rPr>
      <w:vanish/>
      <w:color w:val="008000"/>
    </w:rPr>
  </w:style>
  <w:style w:type="paragraph" w:customStyle="1" w:styleId="5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6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kern w:val="0"/>
      <w:sz w:val="20"/>
      <w:szCs w:val="20"/>
    </w:rPr>
  </w:style>
  <w:style w:type="paragraph" w:customStyle="1" w:styleId="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6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63">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kern w:val="0"/>
      <w:sz w:val="20"/>
      <w:szCs w:val="20"/>
    </w:rPr>
  </w:style>
  <w:style w:type="paragraph" w:customStyle="1" w:styleId="64">
    <w:name w:val="xl79"/>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65">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说明文字"/>
    <w:qFormat/>
    <w:uiPriority w:val="0"/>
    <w:pPr>
      <w:widowControl w:val="0"/>
      <w:autoSpaceDE w:val="0"/>
      <w:autoSpaceDN w:val="0"/>
      <w:adjustRightInd w:val="0"/>
      <w:spacing w:line="400" w:lineRule="atLeast"/>
      <w:ind w:firstLine="425"/>
      <w:jc w:val="both"/>
    </w:pPr>
    <w:rPr>
      <w:rFonts w:ascii="文鼎CS楷体" w:hAnsi="Times New Roman" w:eastAsia="文鼎CS楷体" w:cs="Times New Roman"/>
      <w:color w:val="000000"/>
      <w:sz w:val="22"/>
      <w:szCs w:val="22"/>
      <w:lang w:val="en-US" w:eastAsia="zh-CN" w:bidi="ar-SA"/>
    </w:rPr>
  </w:style>
  <w:style w:type="paragraph" w:customStyle="1" w:styleId="67">
    <w:name w:val="二级标题"/>
    <w:qFormat/>
    <w:uiPriority w:val="0"/>
    <w:pPr>
      <w:widowControl w:val="0"/>
      <w:autoSpaceDE w:val="0"/>
      <w:autoSpaceDN w:val="0"/>
      <w:adjustRightInd w:val="0"/>
      <w:spacing w:before="113" w:after="113" w:line="420" w:lineRule="atLeast"/>
      <w:jc w:val="both"/>
    </w:pPr>
    <w:rPr>
      <w:rFonts w:ascii="文鼎CS大隶书" w:hAnsi="Times New Roman" w:eastAsia="文鼎CS大隶书" w:cs="Times New Roman"/>
      <w:sz w:val="28"/>
      <w:szCs w:val="28"/>
      <w:lang w:val="en-US" w:eastAsia="zh-CN" w:bidi="ar-SA"/>
    </w:rPr>
  </w:style>
  <w:style w:type="paragraph" w:customStyle="1" w:styleId="68">
    <w:name w:val="xl66"/>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69">
    <w:name w:val="xl62"/>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eastAsia="Arial Unicode MS"/>
      <w:b/>
      <w:bCs/>
      <w:color w:val="333399"/>
      <w:kern w:val="0"/>
      <w:sz w:val="24"/>
    </w:rPr>
  </w:style>
  <w:style w:type="paragraph" w:customStyle="1" w:styleId="70">
    <w:name w:val="xl5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7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_Style 1"/>
    <w:basedOn w:val="1"/>
    <w:qFormat/>
    <w:uiPriority w:val="34"/>
    <w:pPr>
      <w:ind w:firstLine="420" w:firstLineChars="200"/>
    </w:pPr>
  </w:style>
  <w:style w:type="paragraph" w:customStyle="1" w:styleId="73">
    <w:name w:val="列出段落4"/>
    <w:basedOn w:val="1"/>
    <w:qFormat/>
    <w:uiPriority w:val="99"/>
    <w:pPr>
      <w:ind w:firstLine="420" w:firstLineChars="200"/>
    </w:pPr>
    <w:rPr>
      <w:rFonts w:ascii="Calibri" w:hAnsi="Calibri"/>
      <w:szCs w:val="22"/>
    </w:rPr>
  </w:style>
  <w:style w:type="paragraph" w:customStyle="1" w:styleId="74">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75">
    <w:name w:val="2册标题3"/>
    <w:basedOn w:val="1"/>
    <w:next w:val="1"/>
    <w:qFormat/>
    <w:uiPriority w:val="0"/>
    <w:pPr>
      <w:spacing w:before="156" w:beforeLines="50" w:after="156" w:afterLines="50" w:line="300" w:lineRule="auto"/>
      <w:ind w:left="210" w:leftChars="100"/>
      <w:jc w:val="center"/>
      <w:outlineLvl w:val="2"/>
    </w:pPr>
    <w:rPr>
      <w:rFonts w:ascii="宋体" w:hAnsi="宋体" w:cs="Arial"/>
      <w:b/>
      <w:bCs/>
      <w:sz w:val="30"/>
      <w:szCs w:val="28"/>
    </w:rPr>
  </w:style>
  <w:style w:type="paragraph" w:customStyle="1" w:styleId="76">
    <w:name w:val="Default"/>
    <w:link w:val="24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xl60"/>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333399"/>
      <w:kern w:val="0"/>
      <w:sz w:val="24"/>
    </w:rPr>
  </w:style>
  <w:style w:type="paragraph" w:customStyle="1" w:styleId="79">
    <w:name w:val="案例标题"/>
    <w:qFormat/>
    <w:uiPriority w:val="0"/>
    <w:pPr>
      <w:widowControl w:val="0"/>
      <w:autoSpaceDE w:val="0"/>
      <w:autoSpaceDN w:val="0"/>
      <w:adjustRightInd w:val="0"/>
      <w:spacing w:before="57" w:after="57" w:line="400" w:lineRule="atLeast"/>
      <w:jc w:val="center"/>
    </w:pPr>
    <w:rPr>
      <w:rFonts w:ascii="文鼎CS中宋" w:hAnsi="Times New Roman" w:eastAsia="文鼎CS中宋" w:cs="Times New Roman"/>
      <w:szCs w:val="24"/>
      <w:lang w:val="en-US" w:eastAsia="zh-CN" w:bidi="ar-SA"/>
    </w:rPr>
  </w:style>
  <w:style w:type="paragraph" w:customStyle="1" w:styleId="80">
    <w:name w:val="回信地址"/>
    <w:basedOn w:val="1"/>
    <w:qFormat/>
    <w:uiPriority w:val="0"/>
    <w:pPr>
      <w:keepLines/>
      <w:widowControl/>
      <w:spacing w:line="200" w:lineRule="atLeast"/>
      <w:ind w:right="-120"/>
      <w:jc w:val="left"/>
    </w:pPr>
    <w:rPr>
      <w:kern w:val="0"/>
      <w:sz w:val="16"/>
      <w:szCs w:val="16"/>
    </w:rPr>
  </w:style>
  <w:style w:type="paragraph" w:customStyle="1" w:styleId="81">
    <w:name w:val="节名"/>
    <w:qFormat/>
    <w:uiPriority w:val="0"/>
    <w:pPr>
      <w:widowControl w:val="0"/>
      <w:autoSpaceDE w:val="0"/>
      <w:autoSpaceDN w:val="0"/>
      <w:adjustRightInd w:val="0"/>
      <w:spacing w:line="940" w:lineRule="atLeast"/>
      <w:jc w:val="center"/>
    </w:pPr>
    <w:rPr>
      <w:rFonts w:ascii="文鼎CS楷体" w:hAnsi="Times New Roman" w:eastAsia="文鼎CS楷体" w:cs="Times New Roman"/>
      <w:b/>
      <w:bCs/>
      <w:color w:val="000000"/>
      <w:sz w:val="44"/>
      <w:szCs w:val="44"/>
      <w:lang w:val="en-US" w:eastAsia="zh-CN" w:bidi="ar-SA"/>
    </w:rPr>
  </w:style>
  <w:style w:type="paragraph" w:customStyle="1" w:styleId="82">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bottom"/>
    </w:pPr>
    <w:rPr>
      <w:rFonts w:ascii="Arial Unicode MS" w:hAnsi="Arial Unicode MS" w:eastAsia="Arial Unicode MS" w:cs="Arial Unicode MS"/>
      <w:kern w:val="0"/>
      <w:sz w:val="20"/>
      <w:szCs w:val="20"/>
    </w:rPr>
  </w:style>
  <w:style w:type="paragraph" w:customStyle="1" w:styleId="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eastAsia="Arial Unicode MS" w:cs="Arial"/>
      <w:kern w:val="0"/>
      <w:sz w:val="20"/>
      <w:szCs w:val="20"/>
    </w:rPr>
  </w:style>
  <w:style w:type="paragraph" w:customStyle="1" w:styleId="8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Arial" w:hAnsi="Arial" w:eastAsia="Arial Unicode MS" w:cs="Arial"/>
      <w:kern w:val="0"/>
      <w:sz w:val="20"/>
      <w:szCs w:val="20"/>
    </w:rPr>
  </w:style>
  <w:style w:type="paragraph" w:customStyle="1" w:styleId="86">
    <w:name w:val="Char Char Char"/>
    <w:basedOn w:val="1"/>
    <w:qFormat/>
    <w:uiPriority w:val="0"/>
    <w:pPr>
      <w:spacing w:line="360" w:lineRule="auto"/>
      <w:ind w:firstLine="560" w:firstLineChars="200"/>
    </w:pPr>
    <w:rPr>
      <w:rFonts w:ascii="Calibri" w:hAnsi="Calibri"/>
      <w:szCs w:val="20"/>
    </w:rPr>
  </w:style>
  <w:style w:type="paragraph" w:customStyle="1" w:styleId="87">
    <w:name w:val="小标题 2"/>
    <w:basedOn w:val="88"/>
    <w:qFormat/>
    <w:uiPriority w:val="0"/>
    <w:pPr>
      <w:spacing w:before="57" w:after="57" w:line="400" w:lineRule="atLeast"/>
      <w:ind w:firstLine="539"/>
      <w:jc w:val="left"/>
    </w:pPr>
    <w:rPr>
      <w:rFonts w:ascii="文鼎CS中宋" w:eastAsia="文鼎CS中宋"/>
      <w:sz w:val="20"/>
      <w:szCs w:val="24"/>
    </w:rPr>
  </w:style>
  <w:style w:type="paragraph" w:customStyle="1" w:styleId="8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89">
    <w:name w:val="列出段落11"/>
    <w:basedOn w:val="1"/>
    <w:qFormat/>
    <w:uiPriority w:val="99"/>
    <w:pPr>
      <w:ind w:firstLine="420" w:firstLineChars="200"/>
    </w:pPr>
    <w:rPr>
      <w:szCs w:val="21"/>
    </w:rPr>
  </w:style>
  <w:style w:type="paragraph" w:customStyle="1" w:styleId="9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2">
    <w:name w:val="Char Char Char Char11"/>
    <w:basedOn w:val="1"/>
    <w:link w:val="263"/>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样式4"/>
    <w:basedOn w:val="1"/>
    <w:qFormat/>
    <w:uiPriority w:val="0"/>
    <w:pPr>
      <w:numPr>
        <w:ilvl w:val="3"/>
        <w:numId w:val="1"/>
      </w:numPr>
      <w:tabs>
        <w:tab w:val="left" w:pos="757"/>
        <w:tab w:val="left" w:pos="2040"/>
      </w:tabs>
      <w:spacing w:before="120" w:after="120" w:line="360" w:lineRule="auto"/>
      <w:ind w:firstLine="397"/>
    </w:pPr>
    <w:rPr>
      <w:b/>
      <w:sz w:val="28"/>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eastAsia="Arial Unicode MS"/>
      <w:kern w:val="0"/>
      <w:sz w:val="20"/>
      <w:szCs w:val="20"/>
    </w:rPr>
  </w:style>
  <w:style w:type="paragraph" w:customStyle="1" w:styleId="95">
    <w:name w:val="样式 宋体 小四 行距: 1.5 倍行距"/>
    <w:basedOn w:val="5"/>
    <w:qFormat/>
    <w:uiPriority w:val="0"/>
    <w:pPr>
      <w:spacing w:after="78" w:afterLines="25" w:line="360" w:lineRule="auto"/>
    </w:pPr>
    <w:rPr>
      <w:rFonts w:ascii="宋体" w:hAnsi="宋体" w:eastAsia="宋体"/>
      <w:b w:val="0"/>
      <w:sz w:val="24"/>
      <w:szCs w:val="20"/>
    </w:rPr>
  </w:style>
  <w:style w:type="paragraph" w:customStyle="1" w:styleId="96">
    <w:name w:val="样式 标题 + (中文) 黑体 五号 非加粗 段前: 6 磅 段后: 6 磅"/>
    <w:basedOn w:val="44"/>
    <w:qFormat/>
    <w:uiPriority w:val="0"/>
    <w:pPr>
      <w:adjustRightInd w:val="0"/>
      <w:snapToGrid w:val="0"/>
      <w:spacing w:before="0" w:after="0" w:line="600" w:lineRule="exact"/>
      <w:outlineLvl w:val="9"/>
    </w:pPr>
    <w:rPr>
      <w:rFonts w:ascii="黑体" w:hAnsi="Times New Roman" w:eastAsia="黑体" w:cs="Times New Roman"/>
      <w:b w:val="0"/>
      <w:bCs w:val="0"/>
      <w:szCs w:val="20"/>
    </w:rPr>
  </w:style>
  <w:style w:type="paragraph" w:customStyle="1" w:styleId="97">
    <w:name w:val="默认段落字体 Para Char Char Char Char"/>
    <w:basedOn w:val="1"/>
    <w:qFormat/>
    <w:uiPriority w:val="0"/>
  </w:style>
  <w:style w:type="paragraph" w:customStyle="1" w:styleId="98">
    <w:name w:val="xl75"/>
    <w:basedOn w:val="1"/>
    <w:qFormat/>
    <w:uiPriority w:val="0"/>
    <w:pPr>
      <w:widowControl/>
      <w:pBdr>
        <w:top w:val="single" w:color="auto" w:sz="4" w:space="0"/>
        <w:bottom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9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20"/>
      <w:szCs w:val="20"/>
    </w:rPr>
  </w:style>
  <w:style w:type="paragraph" w:customStyle="1" w:styleId="100">
    <w:name w:val="Char Char Char Char Char"/>
    <w:basedOn w:val="1"/>
    <w:qFormat/>
    <w:uiPriority w:val="0"/>
    <w:rPr>
      <w:rFonts w:ascii="Tahoma" w:hAnsi="Tahoma"/>
      <w:sz w:val="24"/>
      <w:szCs w:val="20"/>
    </w:rPr>
  </w:style>
  <w:style w:type="paragraph" w:customStyle="1" w:styleId="101">
    <w:name w:val="xl77"/>
    <w:basedOn w:val="1"/>
    <w:qFormat/>
    <w:uiPriority w:val="0"/>
    <w:pPr>
      <w:widowControl/>
      <w:pBdr>
        <w:top w:val="single" w:color="auto" w:sz="4" w:space="0"/>
        <w:bottom w:val="single" w:color="auto" w:sz="4" w:space="0"/>
      </w:pBdr>
      <w:shd w:val="clear" w:color="auto" w:fill="CCFFCC"/>
      <w:spacing w:before="100" w:beforeAutospacing="1" w:after="100" w:afterAutospacing="1"/>
      <w:jc w:val="left"/>
      <w:textAlignment w:val="bottom"/>
    </w:pPr>
    <w:rPr>
      <w:rFonts w:ascii="Arial Unicode MS" w:hAnsi="Arial Unicode MS" w:eastAsia="Arial Unicode MS" w:cs="Arial Unicode MS"/>
      <w:kern w:val="0"/>
      <w:sz w:val="20"/>
      <w:szCs w:val="20"/>
    </w:rPr>
  </w:style>
  <w:style w:type="paragraph" w:customStyle="1" w:styleId="102">
    <w:name w:val="小标题"/>
    <w:basedOn w:val="1"/>
    <w:qFormat/>
    <w:uiPriority w:val="0"/>
    <w:pPr>
      <w:tabs>
        <w:tab w:val="left" w:pos="720"/>
      </w:tabs>
      <w:spacing w:before="120" w:after="120"/>
      <w:ind w:left="720" w:firstLine="454"/>
    </w:pPr>
    <w:rPr>
      <w:b/>
      <w:sz w:val="24"/>
      <w:szCs w:val="20"/>
    </w:rPr>
  </w:style>
  <w:style w:type="paragraph" w:customStyle="1" w:styleId="103">
    <w:name w:val="1册标题2"/>
    <w:basedOn w:val="1"/>
    <w:next w:val="1"/>
    <w:qFormat/>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104">
    <w:name w:val="楷体"/>
    <w:basedOn w:val="1"/>
    <w:next w:val="1"/>
    <w:qFormat/>
    <w:uiPriority w:val="0"/>
    <w:pPr>
      <w:autoSpaceDE w:val="0"/>
      <w:autoSpaceDN w:val="0"/>
      <w:adjustRightInd w:val="0"/>
      <w:spacing w:line="420" w:lineRule="atLeast"/>
    </w:pPr>
    <w:rPr>
      <w:rFonts w:ascii="文鼎CS楷体" w:eastAsia="文鼎CS楷体"/>
      <w:spacing w:val="200"/>
      <w:kern w:val="0"/>
      <w:szCs w:val="21"/>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Char Char Char Char1"/>
    <w:basedOn w:val="1"/>
    <w:qFormat/>
    <w:uiPriority w:val="0"/>
    <w:pPr>
      <w:widowControl/>
      <w:spacing w:afterLines="25" w:line="240" w:lineRule="exact"/>
      <w:jc w:val="left"/>
    </w:pPr>
    <w:rPr>
      <w:rFonts w:ascii="Verdana" w:hAnsi="Verdana" w:eastAsia="仿宋_GB2312"/>
      <w:kern w:val="0"/>
      <w:sz w:val="24"/>
      <w:szCs w:val="20"/>
      <w:lang w:eastAsia="en-US"/>
    </w:rPr>
  </w:style>
  <w:style w:type="paragraph" w:customStyle="1" w:styleId="107">
    <w:name w:val="样式1"/>
    <w:basedOn w:val="44"/>
    <w:qFormat/>
    <w:uiPriority w:val="0"/>
    <w:pPr>
      <w:spacing w:before="120" w:after="120"/>
    </w:pPr>
    <w:rPr>
      <w:rFonts w:eastAsia="黑体"/>
      <w:b w:val="0"/>
      <w:sz w:val="30"/>
      <w:szCs w:val="21"/>
    </w:rPr>
  </w:style>
  <w:style w:type="paragraph" w:customStyle="1" w:styleId="108">
    <w:name w:val="xl63"/>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eastAsia="Arial Unicode MS"/>
      <w:b/>
      <w:bCs/>
      <w:color w:val="333399"/>
      <w:kern w:val="0"/>
      <w:sz w:val="24"/>
    </w:rPr>
  </w:style>
  <w:style w:type="paragraph" w:customStyle="1" w:styleId="109">
    <w:name w:val="xl45"/>
    <w:basedOn w:val="1"/>
    <w:qFormat/>
    <w:uiPriority w:val="0"/>
    <w:pPr>
      <w:widowControl/>
      <w:pBdr>
        <w:top w:val="single" w:color="auto" w:sz="8" w:space="0"/>
        <w:left w:val="single" w:color="auto" w:sz="8"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4"/>
    </w:rPr>
  </w:style>
  <w:style w:type="paragraph" w:customStyle="1" w:styleId="110">
    <w:name w:val="Char Char"/>
    <w:basedOn w:val="1"/>
    <w:qFormat/>
    <w:uiPriority w:val="0"/>
    <w:rPr>
      <w:rFonts w:ascii="Tahoma" w:hAnsi="Tahoma"/>
      <w:sz w:val="24"/>
      <w:szCs w:val="20"/>
    </w:rPr>
  </w:style>
  <w:style w:type="paragraph" w:customStyle="1" w:styleId="1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eastAsia="Arial Unicode MS" w:cs="Arial"/>
      <w:kern w:val="0"/>
      <w:sz w:val="20"/>
      <w:szCs w:val="20"/>
    </w:rPr>
  </w:style>
  <w:style w:type="paragraph" w:customStyle="1" w:styleId="11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13">
    <w:name w:val="一级"/>
    <w:basedOn w:val="1"/>
    <w:qFormat/>
    <w:uiPriority w:val="0"/>
    <w:pPr>
      <w:ind w:left="2100" w:hanging="420"/>
    </w:pPr>
    <w:rPr>
      <w:b/>
    </w:rPr>
  </w:style>
  <w:style w:type="paragraph" w:customStyle="1" w:styleId="114">
    <w:name w:val="表头"/>
    <w:qFormat/>
    <w:uiPriority w:val="0"/>
    <w:pPr>
      <w:widowControl w:val="0"/>
      <w:autoSpaceDE w:val="0"/>
      <w:autoSpaceDN w:val="0"/>
      <w:adjustRightInd w:val="0"/>
      <w:jc w:val="center"/>
    </w:pPr>
    <w:rPr>
      <w:rFonts w:ascii="文鼎CS中黑" w:hAnsi="Times New Roman" w:eastAsia="文鼎CS中黑" w:cs="Times New Roman"/>
      <w:sz w:val="22"/>
      <w:szCs w:val="22"/>
      <w:lang w:val="en-US" w:eastAsia="zh-CN" w:bidi="ar-SA"/>
    </w:rPr>
  </w:style>
  <w:style w:type="paragraph" w:customStyle="1" w:styleId="115">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116">
    <w:name w:val="样式5"/>
    <w:basedOn w:val="1"/>
    <w:qFormat/>
    <w:uiPriority w:val="0"/>
    <w:pPr>
      <w:numPr>
        <w:ilvl w:val="4"/>
        <w:numId w:val="2"/>
      </w:numPr>
      <w:tabs>
        <w:tab w:val="left" w:pos="360"/>
        <w:tab w:val="left" w:pos="980"/>
      </w:tabs>
      <w:spacing w:line="360" w:lineRule="auto"/>
    </w:pPr>
    <w:rPr>
      <w:sz w:val="24"/>
      <w:szCs w:val="20"/>
    </w:rPr>
  </w:style>
  <w:style w:type="paragraph" w:customStyle="1" w:styleId="117">
    <w:name w:val="样式1 Char Char"/>
    <w:basedOn w:val="1"/>
    <w:next w:val="25"/>
    <w:qFormat/>
    <w:uiPriority w:val="0"/>
    <w:pPr>
      <w:spacing w:line="360" w:lineRule="auto"/>
      <w:ind w:firstLine="516" w:firstLineChars="215"/>
    </w:pPr>
    <w:rPr>
      <w:sz w:val="24"/>
      <w:szCs w:val="20"/>
    </w:rPr>
  </w:style>
  <w:style w:type="paragraph" w:customStyle="1" w:styleId="118">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bottom"/>
    </w:pPr>
    <w:rPr>
      <w:rFonts w:ascii="Arial Unicode MS" w:hAnsi="Arial Unicode MS" w:eastAsia="Arial Unicode MS" w:cs="Arial Unicode MS"/>
      <w:kern w:val="0"/>
      <w:sz w:val="20"/>
      <w:szCs w:val="20"/>
    </w:rPr>
  </w:style>
  <w:style w:type="paragraph" w:customStyle="1" w:styleId="119">
    <w:name w:val="xl50"/>
    <w:basedOn w:val="1"/>
    <w:qFormat/>
    <w:uiPriority w:val="0"/>
    <w:pPr>
      <w:widowControl/>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hint="eastAsia" w:ascii="黑体" w:hAnsi="Arial Unicode MS" w:eastAsia="黑体" w:cs="Arial Unicode MS"/>
      <w:kern w:val="0"/>
      <w:sz w:val="24"/>
    </w:rPr>
  </w:style>
  <w:style w:type="paragraph" w:customStyle="1" w:styleId="1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1册标题3"/>
    <w:basedOn w:val="1"/>
    <w:next w:val="1"/>
    <w:qFormat/>
    <w:uiPriority w:val="0"/>
    <w:pPr>
      <w:keepNext/>
      <w:keepLines/>
      <w:adjustRightInd w:val="0"/>
      <w:spacing w:before="156" w:beforeLines="50" w:after="156" w:afterLines="50" w:line="300" w:lineRule="auto"/>
      <w:textAlignment w:val="baseline"/>
      <w:outlineLvl w:val="2"/>
    </w:pPr>
    <w:rPr>
      <w:rFonts w:ascii="Arial" w:hAnsi="Arial" w:eastAsia="黑体"/>
      <w:kern w:val="0"/>
      <w:sz w:val="30"/>
      <w:szCs w:val="20"/>
    </w:rPr>
  </w:style>
  <w:style w:type="paragraph" w:customStyle="1" w:styleId="122">
    <w:name w:val="列表项目"/>
    <w:basedOn w:val="1"/>
    <w:qFormat/>
    <w:uiPriority w:val="0"/>
    <w:pPr>
      <w:tabs>
        <w:tab w:val="left" w:pos="420"/>
      </w:tabs>
      <w:spacing w:line="288" w:lineRule="auto"/>
      <w:ind w:left="355" w:leftChars="200" w:hanging="155" w:hangingChars="155"/>
    </w:pPr>
    <w:rPr>
      <w:sz w:val="24"/>
      <w:szCs w:val="20"/>
    </w:rPr>
  </w:style>
  <w:style w:type="paragraph" w:customStyle="1" w:styleId="123">
    <w:name w:val="标题5"/>
    <w:basedOn w:val="5"/>
    <w:qFormat/>
    <w:uiPriority w:val="0"/>
    <w:pPr>
      <w:spacing w:before="156" w:after="156" w:line="180" w:lineRule="atLeast"/>
    </w:pPr>
    <w:rPr>
      <w:rFonts w:ascii="Times New Roman" w:hAnsi="Times New Roman" w:eastAsia="宋体"/>
      <w:b w:val="0"/>
      <w:bCs w:val="0"/>
      <w:sz w:val="24"/>
      <w:szCs w:val="20"/>
    </w:rPr>
  </w:style>
  <w:style w:type="paragraph" w:customStyle="1" w:styleId="124">
    <w:name w:val="xl88"/>
    <w:basedOn w:val="1"/>
    <w:qFormat/>
    <w:uiPriority w:val="0"/>
    <w:pPr>
      <w:widowControl/>
      <w:pBdr>
        <w:top w:val="single" w:color="auto" w:sz="4" w:space="0"/>
        <w:left w:val="single" w:color="auto" w:sz="4" w:space="0"/>
        <w:bottom w:val="single" w:color="auto" w:sz="8" w:space="0"/>
        <w:right w:val="single" w:color="auto" w:sz="8" w:space="0"/>
      </w:pBdr>
      <w:shd w:val="clear" w:color="auto" w:fill="FFCC99"/>
      <w:spacing w:before="100" w:beforeAutospacing="1" w:after="100" w:afterAutospacing="1"/>
      <w:jc w:val="right"/>
      <w:textAlignment w:val="bottom"/>
    </w:pPr>
    <w:rPr>
      <w:rFonts w:hint="eastAsia" w:ascii="黑体" w:hAnsi="Arial Unicode MS" w:eastAsia="黑体" w:cs="Arial Unicode MS"/>
      <w:b/>
      <w:bCs/>
      <w:kern w:val="0"/>
      <w:sz w:val="24"/>
    </w:rPr>
  </w:style>
  <w:style w:type="paragraph" w:customStyle="1" w:styleId="125">
    <w:name w:val="xl55"/>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12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b/>
      <w:bCs/>
      <w:kern w:val="0"/>
      <w:sz w:val="20"/>
      <w:szCs w:val="20"/>
    </w:rPr>
  </w:style>
  <w:style w:type="paragraph" w:customStyle="1" w:styleId="127">
    <w:name w:val="表格内文字"/>
    <w:basedOn w:val="1"/>
    <w:qFormat/>
    <w:uiPriority w:val="0"/>
    <w:rPr>
      <w:sz w:val="24"/>
      <w:szCs w:val="20"/>
    </w:rPr>
  </w:style>
  <w:style w:type="paragraph" w:customStyle="1" w:styleId="128">
    <w:name w:val="p9"/>
    <w:basedOn w:val="1"/>
    <w:qFormat/>
    <w:uiPriority w:val="0"/>
    <w:pPr>
      <w:widowControl/>
      <w:spacing w:before="100" w:beforeAutospacing="1" w:after="100" w:afterAutospacing="1"/>
      <w:jc w:val="left"/>
    </w:pPr>
    <w:rPr>
      <w:rFonts w:ascii="_x000B__x000C_" w:hAnsi="_x000B__x000C_" w:eastAsia="Arial Unicode MS"/>
      <w:color w:val="000000"/>
      <w:kern w:val="0"/>
      <w:sz w:val="18"/>
      <w:szCs w:val="18"/>
    </w:rPr>
  </w:style>
  <w:style w:type="paragraph" w:customStyle="1" w:styleId="129">
    <w:name w:val="正文（不缩进）"/>
    <w:basedOn w:val="1"/>
    <w:qFormat/>
    <w:uiPriority w:val="0"/>
    <w:pPr>
      <w:tabs>
        <w:tab w:val="left" w:pos="420"/>
      </w:tabs>
      <w:spacing w:line="360" w:lineRule="auto"/>
    </w:pPr>
    <w:rPr>
      <w:sz w:val="24"/>
      <w:szCs w:val="20"/>
    </w:rPr>
  </w:style>
  <w:style w:type="paragraph" w:customStyle="1" w:styleId="130">
    <w:name w:val="xl49"/>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333399"/>
      <w:kern w:val="0"/>
      <w:sz w:val="24"/>
    </w:rPr>
  </w:style>
  <w:style w:type="paragraph" w:customStyle="1" w:styleId="131">
    <w:name w:val="三级"/>
    <w:basedOn w:val="132"/>
    <w:qFormat/>
    <w:uiPriority w:val="0"/>
  </w:style>
  <w:style w:type="paragraph" w:customStyle="1" w:styleId="132">
    <w:name w:val="二级"/>
    <w:basedOn w:val="1"/>
    <w:qFormat/>
    <w:uiPriority w:val="0"/>
    <w:rPr>
      <w:rFonts w:ascii="宋体" w:hAnsi="宋体"/>
      <w:szCs w:val="21"/>
    </w:rPr>
  </w:style>
  <w:style w:type="paragraph" w:customStyle="1" w:styleId="133">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134">
    <w:name w:val="样式41"/>
    <w:basedOn w:val="1"/>
    <w:qFormat/>
    <w:uiPriority w:val="0"/>
    <w:pPr>
      <w:tabs>
        <w:tab w:val="left" w:pos="945"/>
      </w:tabs>
      <w:spacing w:line="360" w:lineRule="auto"/>
      <w:ind w:left="2040" w:hanging="360"/>
    </w:pPr>
    <w:rPr>
      <w:b/>
      <w:color w:val="000000"/>
      <w:sz w:val="24"/>
      <w:szCs w:val="20"/>
    </w:rPr>
  </w:style>
  <w:style w:type="paragraph" w:customStyle="1" w:styleId="135">
    <w:name w:val="小标题3"/>
    <w:basedOn w:val="1"/>
    <w:qFormat/>
    <w:uiPriority w:val="0"/>
    <w:pPr>
      <w:autoSpaceDE w:val="0"/>
      <w:autoSpaceDN w:val="0"/>
      <w:adjustRightInd w:val="0"/>
      <w:spacing w:line="400" w:lineRule="atLeast"/>
      <w:ind w:firstLine="510"/>
    </w:pPr>
    <w:rPr>
      <w:rFonts w:ascii="文鼎CS楷体" w:eastAsia="文鼎CS楷体"/>
      <w:kern w:val="0"/>
      <w:sz w:val="22"/>
      <w:szCs w:val="22"/>
    </w:rPr>
  </w:style>
  <w:style w:type="paragraph" w:customStyle="1" w:styleId="136">
    <w:name w:val="正文BIAO"/>
    <w:basedOn w:val="1"/>
    <w:qFormat/>
    <w:uiPriority w:val="0"/>
    <w:pPr>
      <w:tabs>
        <w:tab w:val="left" w:pos="360"/>
        <w:tab w:val="left" w:pos="720"/>
      </w:tabs>
      <w:spacing w:before="156" w:beforeLines="50" w:after="156" w:afterLines="50" w:line="360" w:lineRule="auto"/>
      <w:ind w:left="720" w:hanging="360"/>
    </w:pPr>
    <w:rPr>
      <w:rFonts w:eastAsia="黑体"/>
      <w:sz w:val="24"/>
    </w:rPr>
  </w:style>
  <w:style w:type="paragraph" w:customStyle="1" w:styleId="137">
    <w:name w:val="系统正文"/>
    <w:basedOn w:val="1"/>
    <w:qFormat/>
    <w:uiPriority w:val="0"/>
    <w:pPr>
      <w:spacing w:line="420" w:lineRule="exact"/>
      <w:ind w:firstLine="420" w:firstLineChars="200"/>
    </w:pPr>
    <w:rPr>
      <w:rFonts w:ascii="宋体" w:hAnsi="宋体"/>
    </w:rPr>
  </w:style>
  <w:style w:type="paragraph" w:customStyle="1" w:styleId="1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Unicode MS" w:hAnsi="Arial Unicode MS" w:eastAsia="Arial Unicode MS" w:cs="Arial Unicode MS"/>
      <w:kern w:val="0"/>
      <w:sz w:val="20"/>
      <w:szCs w:val="20"/>
    </w:rPr>
  </w:style>
  <w:style w:type="paragraph" w:customStyle="1" w:styleId="139">
    <w:name w:val="标题6"/>
    <w:basedOn w:val="1"/>
    <w:qFormat/>
    <w:uiPriority w:val="0"/>
    <w:pPr>
      <w:numPr>
        <w:ilvl w:val="0"/>
        <w:numId w:val="3"/>
      </w:numPr>
      <w:spacing w:line="480" w:lineRule="atLeast"/>
      <w:jc w:val="left"/>
    </w:pPr>
    <w:rPr>
      <w:rFonts w:eastAsia="仿宋_GB2312"/>
      <w:spacing w:val="10"/>
      <w:sz w:val="30"/>
      <w:szCs w:val="20"/>
    </w:rPr>
  </w:style>
  <w:style w:type="paragraph" w:customStyle="1" w:styleId="140">
    <w:name w:val="修订1"/>
    <w:unhideWhenUsed/>
    <w:qFormat/>
    <w:uiPriority w:val="99"/>
    <w:rPr>
      <w:rFonts w:ascii="Calibri" w:hAnsi="Calibri" w:eastAsia="宋体" w:cs="Times New Roman"/>
      <w:kern w:val="2"/>
      <w:sz w:val="21"/>
      <w:szCs w:val="22"/>
      <w:lang w:val="en-US" w:eastAsia="zh-CN" w:bidi="ar-SA"/>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142">
    <w:name w:val="font8"/>
    <w:basedOn w:val="1"/>
    <w:qFormat/>
    <w:uiPriority w:val="0"/>
    <w:pPr>
      <w:widowControl/>
      <w:spacing w:before="100" w:beforeAutospacing="1" w:after="100" w:afterAutospacing="1"/>
      <w:jc w:val="left"/>
    </w:pPr>
    <w:rPr>
      <w:rFonts w:eastAsia="Arial Unicode MS"/>
      <w:kern w:val="0"/>
      <w:sz w:val="24"/>
    </w:rPr>
  </w:style>
  <w:style w:type="paragraph" w:customStyle="1" w:styleId="143">
    <w:name w:val="12册标题"/>
    <w:basedOn w:val="1"/>
    <w:next w:val="1"/>
    <w:qFormat/>
    <w:uiPriority w:val="0"/>
    <w:pPr>
      <w:spacing w:before="156" w:beforeLines="50" w:after="156" w:afterLines="50" w:line="300" w:lineRule="auto"/>
      <w:jc w:val="center"/>
      <w:outlineLvl w:val="0"/>
    </w:pPr>
    <w:rPr>
      <w:rFonts w:ascii="Arial" w:hAnsi="Arial" w:eastAsia="黑体"/>
      <w:sz w:val="44"/>
      <w:szCs w:val="20"/>
    </w:rPr>
  </w:style>
  <w:style w:type="paragraph" w:customStyle="1" w:styleId="144">
    <w:name w:val="系统一级标题"/>
    <w:basedOn w:val="137"/>
    <w:qFormat/>
    <w:uiPriority w:val="0"/>
    <w:pPr>
      <w:spacing w:line="480" w:lineRule="auto"/>
      <w:ind w:firstLine="0" w:firstLineChars="0"/>
    </w:pPr>
    <w:rPr>
      <w:rFonts w:ascii="隶书" w:eastAsia="隶书"/>
      <w:sz w:val="28"/>
    </w:rPr>
  </w:style>
  <w:style w:type="paragraph" w:customStyle="1" w:styleId="145">
    <w:name w:val="xl61"/>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b/>
      <w:bCs/>
      <w:color w:val="333399"/>
      <w:kern w:val="0"/>
      <w:sz w:val="24"/>
    </w:rPr>
  </w:style>
  <w:style w:type="paragraph" w:customStyle="1" w:styleId="146">
    <w:name w:val="List Paragraph1"/>
    <w:basedOn w:val="1"/>
    <w:qFormat/>
    <w:uiPriority w:val="34"/>
    <w:pPr>
      <w:ind w:firstLine="420" w:firstLineChars="200"/>
    </w:pPr>
    <w:rPr>
      <w:rFonts w:ascii="Calibri" w:hAnsi="Calibri"/>
    </w:rPr>
  </w:style>
  <w:style w:type="paragraph" w:customStyle="1" w:styleId="147">
    <w:name w:val="xl51"/>
    <w:basedOn w:val="1"/>
    <w:qFormat/>
    <w:uiPriority w:val="0"/>
    <w:pPr>
      <w:widowControl/>
      <w:pBdr>
        <w:top w:val="single" w:color="auto" w:sz="8" w:space="0"/>
        <w:left w:val="single" w:color="auto" w:sz="4" w:space="0"/>
        <w:bottom w:val="single" w:color="auto" w:sz="4" w:space="0"/>
        <w:right w:val="single" w:color="auto" w:sz="8" w:space="0"/>
      </w:pBdr>
      <w:shd w:val="clear" w:color="auto" w:fill="99CCFF"/>
      <w:spacing w:before="100" w:beforeAutospacing="1" w:after="100" w:afterAutospacing="1"/>
      <w:jc w:val="center"/>
    </w:pPr>
    <w:rPr>
      <w:rFonts w:hint="eastAsia" w:ascii="黑体" w:hAnsi="Arial Unicode MS" w:eastAsia="黑体" w:cs="Arial Unicode MS"/>
      <w:kern w:val="0"/>
      <w:sz w:val="24"/>
    </w:rPr>
  </w:style>
  <w:style w:type="paragraph" w:customStyle="1" w:styleId="1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0"/>
      <w:szCs w:val="20"/>
    </w:rPr>
  </w:style>
  <w:style w:type="paragraph" w:customStyle="1" w:styleId="149">
    <w:name w:val="编号1"/>
    <w:basedOn w:val="1"/>
    <w:qFormat/>
    <w:uiPriority w:val="0"/>
    <w:pPr>
      <w:numPr>
        <w:ilvl w:val="0"/>
        <w:numId w:val="4"/>
      </w:numPr>
      <w:tabs>
        <w:tab w:val="left" w:pos="425"/>
      </w:tabs>
      <w:adjustRightInd w:val="0"/>
      <w:spacing w:line="300" w:lineRule="auto"/>
      <w:ind w:right="210"/>
      <w:textAlignment w:val="center"/>
    </w:pPr>
    <w:rPr>
      <w:rFonts w:ascii="宋体" w:hAnsi="宋体"/>
      <w:snapToGrid w:val="0"/>
      <w:spacing w:val="10"/>
      <w:kern w:val="24"/>
      <w:szCs w:val="20"/>
    </w:rPr>
  </w:style>
  <w:style w:type="paragraph" w:customStyle="1" w:styleId="150">
    <w:name w:val="List Bulleted Item 2"/>
    <w:basedOn w:val="1"/>
    <w:qFormat/>
    <w:uiPriority w:val="0"/>
    <w:pPr>
      <w:widowControl/>
      <w:numPr>
        <w:ilvl w:val="0"/>
        <w:numId w:val="5"/>
      </w:numPr>
      <w:tabs>
        <w:tab w:val="left" w:pos="1410"/>
      </w:tabs>
      <w:spacing w:before="40" w:after="80" w:line="240" w:lineRule="exact"/>
      <w:ind w:left="1410"/>
      <w:jc w:val="left"/>
    </w:pPr>
    <w:rPr>
      <w:rFonts w:ascii="Arial" w:hAnsi="Arial"/>
      <w:kern w:val="0"/>
      <w:sz w:val="20"/>
      <w:szCs w:val="20"/>
      <w:lang w:eastAsia="en-US"/>
    </w:rPr>
  </w:style>
  <w:style w:type="paragraph" w:customStyle="1" w:styleId="151">
    <w:name w:val="大标题"/>
    <w:qFormat/>
    <w:uiPriority w:val="0"/>
    <w:pPr>
      <w:widowControl w:val="0"/>
      <w:autoSpaceDE w:val="0"/>
      <w:autoSpaceDN w:val="0"/>
      <w:adjustRightInd w:val="0"/>
      <w:jc w:val="center"/>
    </w:pPr>
    <w:rPr>
      <w:rFonts w:ascii="文鼎CS中黑" w:hAnsi="Times New Roman" w:eastAsia="文鼎CS中黑" w:cs="Times New Roman"/>
      <w:sz w:val="36"/>
      <w:szCs w:val="36"/>
      <w:lang w:val="en-US" w:eastAsia="zh-CN" w:bidi="ar-SA"/>
    </w:rPr>
  </w:style>
  <w:style w:type="paragraph" w:customStyle="1" w:styleId="152">
    <w:name w:val="xl67"/>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153">
    <w:name w:val="xl78"/>
    <w:basedOn w:val="1"/>
    <w:qFormat/>
    <w:uiPriority w:val="0"/>
    <w:pPr>
      <w:widowControl/>
      <w:pBdr>
        <w:top w:val="single" w:color="auto" w:sz="4" w:space="0"/>
        <w:bottom w:val="single" w:color="auto" w:sz="4" w:space="0"/>
      </w:pBdr>
      <w:shd w:val="clear" w:color="auto" w:fill="CCFFCC"/>
      <w:spacing w:before="100" w:beforeAutospacing="1" w:after="100" w:afterAutospacing="1"/>
      <w:textAlignment w:val="top"/>
    </w:pPr>
    <w:rPr>
      <w:rFonts w:ascii="Arial" w:hAnsi="Arial" w:eastAsia="Arial Unicode MS" w:cs="Arial"/>
      <w:kern w:val="0"/>
      <w:sz w:val="20"/>
      <w:szCs w:val="20"/>
    </w:rPr>
  </w:style>
  <w:style w:type="paragraph" w:customStyle="1" w:styleId="15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op_mapdots_left"/>
    <w:basedOn w:val="1"/>
    <w:qFormat/>
    <w:uiPriority w:val="0"/>
    <w:pPr>
      <w:jc w:val="left"/>
    </w:pPr>
    <w:rPr>
      <w:rFonts w:ascii="Calibri" w:hAnsi="Calibri"/>
      <w:kern w:val="0"/>
    </w:rPr>
  </w:style>
  <w:style w:type="paragraph" w:customStyle="1" w:styleId="156">
    <w:name w:val="xl65"/>
    <w:basedOn w:val="1"/>
    <w:qFormat/>
    <w:uiPriority w:val="0"/>
    <w:pPr>
      <w:widowControl/>
      <w:pBdr>
        <w:bottom w:val="single" w:color="auto" w:sz="8" w:space="0"/>
      </w:pBdr>
      <w:spacing w:before="100" w:beforeAutospacing="1" w:after="100" w:afterAutospacing="1"/>
      <w:jc w:val="center"/>
    </w:pPr>
    <w:rPr>
      <w:rFonts w:hint="eastAsia" w:ascii="华文新魏" w:hAnsi="Arial Unicode MS" w:eastAsia="华文新魏" w:cs="Arial Unicode MS"/>
      <w:kern w:val="0"/>
      <w:sz w:val="32"/>
      <w:szCs w:val="32"/>
    </w:rPr>
  </w:style>
  <w:style w:type="paragraph" w:customStyle="1" w:styleId="157">
    <w:name w:val="xl80"/>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Arial" w:hAnsi="Arial" w:eastAsia="Arial Unicode MS" w:cs="Arial"/>
      <w:kern w:val="0"/>
      <w:sz w:val="20"/>
      <w:szCs w:val="20"/>
    </w:rPr>
  </w:style>
  <w:style w:type="paragraph" w:customStyle="1" w:styleId="158">
    <w:name w:val="xl68"/>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159">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60">
    <w:name w:val="列出段落1"/>
    <w:basedOn w:val="1"/>
    <w:qFormat/>
    <w:uiPriority w:val="99"/>
    <w:pPr>
      <w:ind w:firstLine="420" w:firstLineChars="200"/>
    </w:pPr>
    <w:rPr>
      <w:rFonts w:ascii="Cambria" w:hAnsi="Cambria"/>
      <w:sz w:val="24"/>
    </w:rPr>
  </w:style>
  <w:style w:type="paragraph" w:customStyle="1" w:styleId="16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xl90"/>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ascii="Arial Unicode MS" w:hAnsi="Arial Unicode MS" w:eastAsia="Arial Unicode MS" w:cs="Arial Unicode MS"/>
      <w:b/>
      <w:bCs/>
      <w:color w:val="000080"/>
      <w:kern w:val="0"/>
      <w:sz w:val="20"/>
      <w:szCs w:val="20"/>
    </w:rPr>
  </w:style>
  <w:style w:type="paragraph" w:customStyle="1" w:styleId="164">
    <w:name w:val="小标题1"/>
    <w:basedOn w:val="151"/>
    <w:qFormat/>
    <w:uiPriority w:val="0"/>
    <w:pPr>
      <w:ind w:left="556" w:hanging="556"/>
      <w:jc w:val="both"/>
    </w:pPr>
    <w:rPr>
      <w:rFonts w:ascii="文鼎CS楷体" w:eastAsia="文鼎CS楷体"/>
      <w:sz w:val="26"/>
      <w:szCs w:val="26"/>
    </w:rPr>
  </w:style>
  <w:style w:type="paragraph" w:customStyle="1" w:styleId="165">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67">
    <w:name w:val="content"/>
    <w:basedOn w:val="1"/>
    <w:qFormat/>
    <w:uiPriority w:val="0"/>
    <w:pPr>
      <w:widowControl/>
      <w:spacing w:before="192" w:after="192" w:line="240" w:lineRule="atLeast"/>
      <w:ind w:left="192" w:right="192"/>
      <w:jc w:val="left"/>
    </w:pPr>
    <w:rPr>
      <w:rFonts w:ascii="Arial" w:hAnsi="Arial" w:eastAsia="Arial Unicode MS" w:cs="Arial"/>
      <w:color w:val="153B63"/>
      <w:kern w:val="0"/>
      <w:sz w:val="19"/>
      <w:szCs w:val="19"/>
    </w:rPr>
  </w:style>
  <w:style w:type="paragraph" w:customStyle="1" w:styleId="168">
    <w:name w:val="xl87"/>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right"/>
      <w:textAlignment w:val="bottom"/>
    </w:pPr>
    <w:rPr>
      <w:rFonts w:ascii="Arial Unicode MS" w:hAnsi="Arial Unicode MS" w:eastAsia="Arial Unicode MS" w:cs="Arial Unicode MS"/>
      <w:b/>
      <w:bCs/>
      <w:kern w:val="0"/>
      <w:sz w:val="20"/>
      <w:szCs w:val="20"/>
    </w:rPr>
  </w:style>
  <w:style w:type="paragraph" w:customStyle="1" w:styleId="169">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left"/>
    </w:pPr>
    <w:rPr>
      <w:rFonts w:ascii="Arial Unicode MS" w:hAnsi="Arial Unicode MS" w:eastAsia="Arial Unicode MS" w:cs="Arial Unicode MS"/>
      <w:kern w:val="0"/>
      <w:sz w:val="24"/>
    </w:rPr>
  </w:style>
  <w:style w:type="paragraph" w:customStyle="1" w:styleId="1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Arial Unicode MS" w:cs="Arial"/>
      <w:kern w:val="0"/>
      <w:sz w:val="20"/>
      <w:szCs w:val="20"/>
    </w:rPr>
  </w:style>
  <w:style w:type="paragraph" w:customStyle="1" w:styleId="171">
    <w:name w:val="--规划正文"/>
    <w:basedOn w:val="1"/>
    <w:qFormat/>
    <w:uiPriority w:val="99"/>
    <w:pPr>
      <w:spacing w:line="360" w:lineRule="auto"/>
      <w:ind w:firstLine="200" w:firstLineChars="200"/>
    </w:pPr>
    <w:rPr>
      <w:szCs w:val="20"/>
    </w:rPr>
  </w:style>
  <w:style w:type="paragraph" w:customStyle="1" w:styleId="172">
    <w:name w:val="2册标题1"/>
    <w:basedOn w:val="1"/>
    <w:next w:val="1"/>
    <w:qFormat/>
    <w:uiPriority w:val="0"/>
    <w:pPr>
      <w:spacing w:before="156" w:beforeLines="50" w:after="156" w:afterLines="50" w:line="300" w:lineRule="auto"/>
      <w:jc w:val="center"/>
      <w:outlineLvl w:val="0"/>
    </w:pPr>
    <w:rPr>
      <w:rFonts w:ascii="Arial" w:hAnsi="Arial" w:eastAsia="黑体"/>
      <w:sz w:val="32"/>
      <w:szCs w:val="32"/>
    </w:rPr>
  </w:style>
  <w:style w:type="paragraph" w:customStyle="1" w:styleId="173">
    <w:name w:val="font9"/>
    <w:basedOn w:val="1"/>
    <w:qFormat/>
    <w:uiPriority w:val="0"/>
    <w:pPr>
      <w:widowControl/>
      <w:spacing w:before="100" w:beforeAutospacing="1" w:after="100" w:afterAutospacing="1"/>
      <w:jc w:val="left"/>
    </w:pPr>
    <w:rPr>
      <w:rFonts w:hint="eastAsia" w:ascii="黑体" w:hAnsi="Arial Unicode MS" w:eastAsia="黑体" w:cs="Arial Unicode MS"/>
      <w:b/>
      <w:bCs/>
      <w:color w:val="333399"/>
      <w:kern w:val="0"/>
      <w:sz w:val="24"/>
    </w:rPr>
  </w:style>
  <w:style w:type="paragraph" w:customStyle="1" w:styleId="17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kern w:val="0"/>
      <w:sz w:val="20"/>
      <w:szCs w:val="20"/>
    </w:rPr>
  </w:style>
  <w:style w:type="paragraph" w:customStyle="1" w:styleId="17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kern w:val="0"/>
      <w:sz w:val="20"/>
      <w:szCs w:val="20"/>
    </w:rPr>
  </w:style>
  <w:style w:type="paragraph" w:customStyle="1" w:styleId="17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77">
    <w:name w:val="xl64"/>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bottom"/>
    </w:pPr>
    <w:rPr>
      <w:rFonts w:eastAsia="Arial Unicode MS"/>
      <w:b/>
      <w:bCs/>
      <w:color w:val="333399"/>
      <w:kern w:val="0"/>
      <w:sz w:val="24"/>
    </w:rPr>
  </w:style>
  <w:style w:type="paragraph" w:customStyle="1" w:styleId="178">
    <w:name w:val="*正文"/>
    <w:basedOn w:val="1"/>
    <w:link w:val="272"/>
    <w:qFormat/>
    <w:uiPriority w:val="0"/>
    <w:pPr>
      <w:widowControl/>
      <w:spacing w:line="360" w:lineRule="auto"/>
      <w:ind w:firstLine="200" w:firstLineChars="200"/>
      <w:jc w:val="left"/>
    </w:pPr>
    <w:rPr>
      <w:rFonts w:ascii="仿宋_GB2312"/>
      <w:kern w:val="0"/>
      <w:sz w:val="24"/>
      <w:szCs w:val="28"/>
    </w:rPr>
  </w:style>
  <w:style w:type="paragraph" w:customStyle="1" w:styleId="179">
    <w:name w:val="段落"/>
    <w:basedOn w:val="1"/>
    <w:qFormat/>
    <w:uiPriority w:val="0"/>
    <w:pPr>
      <w:spacing w:before="120" w:after="120" w:line="0" w:lineRule="atLeast"/>
      <w:ind w:firstLine="567"/>
    </w:pPr>
    <w:rPr>
      <w:sz w:val="28"/>
      <w:szCs w:val="20"/>
    </w:rPr>
  </w:style>
  <w:style w:type="paragraph" w:customStyle="1" w:styleId="18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81">
    <w:name w:val="doc-a"/>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182">
    <w:name w:val="案例一级标题"/>
    <w:qFormat/>
    <w:uiPriority w:val="0"/>
    <w:pPr>
      <w:widowControl w:val="0"/>
      <w:autoSpaceDE w:val="0"/>
      <w:autoSpaceDN w:val="0"/>
      <w:adjustRightInd w:val="0"/>
      <w:spacing w:line="400" w:lineRule="atLeast"/>
      <w:ind w:firstLine="425"/>
      <w:jc w:val="both"/>
    </w:pPr>
    <w:rPr>
      <w:rFonts w:ascii="文鼎CS中黑" w:hAnsi="Times New Roman" w:eastAsia="文鼎CS中黑" w:cs="Times New Roman"/>
      <w:szCs w:val="24"/>
      <w:lang w:val="en-US" w:eastAsia="zh-CN" w:bidi="ar-SA"/>
    </w:rPr>
  </w:style>
  <w:style w:type="paragraph" w:customStyle="1" w:styleId="183">
    <w:name w:val="1节名"/>
    <w:qFormat/>
    <w:uiPriority w:val="0"/>
    <w:pPr>
      <w:widowControl w:val="0"/>
      <w:autoSpaceDE w:val="0"/>
      <w:autoSpaceDN w:val="0"/>
      <w:adjustRightInd w:val="0"/>
      <w:spacing w:line="940" w:lineRule="atLeast"/>
      <w:jc w:val="center"/>
    </w:pPr>
    <w:rPr>
      <w:rFonts w:ascii="文鼎CS楷体" w:hAnsi="Times New Roman" w:eastAsia="文鼎CS楷体" w:cs="Times New Roman"/>
      <w:b/>
      <w:bCs/>
      <w:color w:val="000000"/>
      <w:sz w:val="44"/>
      <w:szCs w:val="44"/>
      <w:lang w:val="en-US" w:eastAsia="zh-CN" w:bidi="ar-SA"/>
    </w:rPr>
  </w:style>
  <w:style w:type="paragraph" w:customStyle="1" w:styleId="184">
    <w:name w:val="abo_p"/>
    <w:basedOn w:val="1"/>
    <w:qFormat/>
    <w:uiPriority w:val="0"/>
    <w:pPr>
      <w:widowControl/>
      <w:spacing w:line="375" w:lineRule="atLeast"/>
      <w:jc w:val="left"/>
    </w:pPr>
    <w:rPr>
      <w:rFonts w:ascii="宋体" w:hAnsi="宋体" w:cs="宋体"/>
      <w:color w:val="333333"/>
      <w:kern w:val="0"/>
      <w:szCs w:val="21"/>
    </w:rPr>
  </w:style>
  <w:style w:type="paragraph" w:customStyle="1" w:styleId="185">
    <w:name w:val="Char5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6">
    <w:name w:val="xl89"/>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000080"/>
      <w:kern w:val="0"/>
      <w:sz w:val="28"/>
      <w:szCs w:val="28"/>
    </w:rPr>
  </w:style>
  <w:style w:type="paragraph" w:customStyle="1" w:styleId="18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Arial Unicode MS"/>
      <w:kern w:val="0"/>
      <w:sz w:val="20"/>
      <w:szCs w:val="20"/>
    </w:rPr>
  </w:style>
  <w:style w:type="paragraph" w:styleId="188">
    <w:name w:val="List Paragraph"/>
    <w:basedOn w:val="1"/>
    <w:qFormat/>
    <w:uiPriority w:val="99"/>
    <w:pPr>
      <w:ind w:firstLine="420" w:firstLineChars="200"/>
    </w:pPr>
    <w:rPr>
      <w:rFonts w:ascii="Calibri" w:hAnsi="Calibri"/>
      <w:szCs w:val="22"/>
    </w:rPr>
  </w:style>
  <w:style w:type="paragraph" w:customStyle="1" w:styleId="1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szCs w:val="20"/>
    </w:rPr>
  </w:style>
  <w:style w:type="paragraph" w:customStyle="1" w:styleId="190">
    <w:name w:val="规范"/>
    <w:basedOn w:val="1"/>
    <w:next w:val="1"/>
    <w:qFormat/>
    <w:uiPriority w:val="0"/>
    <w:pPr>
      <w:numPr>
        <w:ilvl w:val="0"/>
        <w:numId w:val="6"/>
      </w:numPr>
      <w:tabs>
        <w:tab w:val="left" w:pos="420"/>
      </w:tabs>
      <w:spacing w:line="288" w:lineRule="auto"/>
      <w:ind w:left="420" w:hanging="420"/>
      <w:jc w:val="left"/>
    </w:pPr>
    <w:rPr>
      <w:sz w:val="24"/>
    </w:rPr>
  </w:style>
  <w:style w:type="paragraph" w:customStyle="1" w:styleId="191">
    <w:name w:val="xl84"/>
    <w:basedOn w:val="1"/>
    <w:qFormat/>
    <w:uiPriority w:val="0"/>
    <w:pPr>
      <w:widowControl/>
      <w:pBdr>
        <w:top w:val="single" w:color="auto" w:sz="8" w:space="0"/>
        <w:left w:val="single" w:color="auto" w:sz="4" w:space="0"/>
        <w:bottom w:val="single" w:color="auto" w:sz="4" w:space="0"/>
        <w:right w:val="single" w:color="auto" w:sz="8"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8"/>
      <w:szCs w:val="28"/>
    </w:rPr>
  </w:style>
  <w:style w:type="paragraph" w:customStyle="1" w:styleId="192">
    <w:name w:val="xl58"/>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93">
    <w:name w:val="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4">
    <w:name w:val="xl82"/>
    <w:basedOn w:val="1"/>
    <w:qFormat/>
    <w:uiPriority w:val="0"/>
    <w:pPr>
      <w:widowControl/>
      <w:pBdr>
        <w:top w:val="single" w:color="auto" w:sz="4" w:space="0"/>
        <w:left w:val="single" w:color="auto" w:sz="8" w:space="0"/>
        <w:bottom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95">
    <w:name w:val="大大标题"/>
    <w:basedOn w:val="1"/>
    <w:qFormat/>
    <w:uiPriority w:val="0"/>
    <w:pPr>
      <w:autoSpaceDE w:val="0"/>
      <w:autoSpaceDN w:val="0"/>
      <w:adjustRightInd w:val="0"/>
      <w:jc w:val="center"/>
    </w:pPr>
    <w:rPr>
      <w:rFonts w:ascii="黑体" w:eastAsia="黑体"/>
      <w:kern w:val="0"/>
      <w:sz w:val="32"/>
      <w:szCs w:val="36"/>
    </w:rPr>
  </w:style>
  <w:style w:type="paragraph" w:customStyle="1" w:styleId="196">
    <w:name w:val="电子编码"/>
    <w:basedOn w:val="1"/>
    <w:qFormat/>
    <w:uiPriority w:val="0"/>
    <w:pPr>
      <w:autoSpaceDE w:val="0"/>
      <w:autoSpaceDN w:val="0"/>
      <w:adjustRightInd w:val="0"/>
      <w:spacing w:before="170" w:after="170" w:line="360" w:lineRule="auto"/>
    </w:pPr>
    <w:rPr>
      <w:rFonts w:ascii="幼圆" w:eastAsia="幼圆"/>
      <w:b/>
      <w:bCs/>
      <w:color w:val="000000"/>
      <w:kern w:val="0"/>
      <w:sz w:val="22"/>
      <w:szCs w:val="20"/>
    </w:rPr>
  </w:style>
  <w:style w:type="paragraph" w:customStyle="1" w:styleId="197">
    <w:name w:val="样式2"/>
    <w:basedOn w:val="1"/>
    <w:qFormat/>
    <w:uiPriority w:val="0"/>
    <w:pPr>
      <w:numPr>
        <w:ilvl w:val="1"/>
        <w:numId w:val="2"/>
      </w:numPr>
      <w:tabs>
        <w:tab w:val="left" w:pos="360"/>
      </w:tabs>
      <w:spacing w:before="200" w:after="200" w:line="360" w:lineRule="auto"/>
    </w:pPr>
    <w:rPr>
      <w:b/>
      <w:sz w:val="32"/>
      <w:szCs w:val="20"/>
    </w:rPr>
  </w:style>
  <w:style w:type="paragraph" w:customStyle="1" w:styleId="198">
    <w:name w:val="Char1 Char Char Char Char Char Char"/>
    <w:basedOn w:val="1"/>
    <w:qFormat/>
    <w:uiPriority w:val="0"/>
    <w:pPr>
      <w:widowControl/>
      <w:spacing w:after="160" w:line="240" w:lineRule="exact"/>
      <w:jc w:val="left"/>
    </w:pPr>
    <w:rPr>
      <w:szCs w:val="20"/>
    </w:rPr>
  </w:style>
  <w:style w:type="paragraph" w:customStyle="1" w:styleId="199">
    <w:name w:val="xl35"/>
    <w:basedOn w:val="1"/>
    <w:qFormat/>
    <w:uiPriority w:val="0"/>
    <w:pPr>
      <w:widowControl/>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4"/>
    </w:rPr>
  </w:style>
  <w:style w:type="paragraph" w:customStyle="1" w:styleId="200">
    <w:name w:val="xl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top"/>
    </w:pPr>
    <w:rPr>
      <w:rFonts w:ascii="Arial Unicode MS" w:hAnsi="Arial Unicode MS" w:eastAsia="Arial Unicode MS" w:cs="Arial Unicode MS"/>
      <w:kern w:val="0"/>
      <w:sz w:val="20"/>
      <w:szCs w:val="20"/>
    </w:rPr>
  </w:style>
  <w:style w:type="paragraph" w:customStyle="1" w:styleId="201">
    <w:name w:val="系统表格字体"/>
    <w:basedOn w:val="137"/>
    <w:qFormat/>
    <w:uiPriority w:val="0"/>
    <w:pPr>
      <w:ind w:firstLine="0" w:firstLineChars="0"/>
      <w:jc w:val="center"/>
    </w:pPr>
    <w:rPr>
      <w:rFonts w:ascii="楷体_GB2312" w:eastAsia="楷体_GB2312"/>
      <w:sz w:val="20"/>
    </w:rPr>
  </w:style>
  <w:style w:type="paragraph" w:customStyle="1" w:styleId="202">
    <w:name w:val="表格文字"/>
    <w:qFormat/>
    <w:uiPriority w:val="0"/>
    <w:pPr>
      <w:widowControl w:val="0"/>
      <w:autoSpaceDE w:val="0"/>
      <w:autoSpaceDN w:val="0"/>
      <w:adjustRightInd w:val="0"/>
      <w:spacing w:line="420" w:lineRule="atLeast"/>
      <w:ind w:firstLine="510"/>
      <w:jc w:val="both"/>
    </w:pPr>
    <w:rPr>
      <w:rFonts w:ascii="文鼎CS楷体" w:hAnsi="Times New Roman" w:eastAsia="文鼎CS楷体" w:cs="Times New Roman"/>
      <w:color w:val="000000"/>
      <w:sz w:val="22"/>
      <w:szCs w:val="22"/>
      <w:lang w:val="en-US" w:eastAsia="zh-CN" w:bidi="ar-SA"/>
    </w:rPr>
  </w:style>
  <w:style w:type="paragraph" w:customStyle="1" w:styleId="20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0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05">
    <w:name w:val="font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206">
    <w:name w:val="2册标题2"/>
    <w:basedOn w:val="1"/>
    <w:next w:val="1"/>
    <w:qFormat/>
    <w:uiPriority w:val="0"/>
    <w:pPr>
      <w:spacing w:before="156" w:beforeLines="50" w:after="156" w:afterLines="50" w:line="300" w:lineRule="auto"/>
      <w:outlineLvl w:val="1"/>
    </w:pPr>
    <w:rPr>
      <w:rFonts w:ascii="Arial" w:hAnsi="Arial" w:eastAsia="黑体"/>
      <w:sz w:val="30"/>
      <w:szCs w:val="30"/>
    </w:rPr>
  </w:style>
  <w:style w:type="paragraph" w:customStyle="1" w:styleId="207">
    <w:name w:val="一般正文"/>
    <w:basedOn w:val="1"/>
    <w:qFormat/>
    <w:uiPriority w:val="0"/>
    <w:pPr>
      <w:spacing w:before="120" w:after="120" w:line="0" w:lineRule="atLeast"/>
    </w:pPr>
    <w:rPr>
      <w:sz w:val="28"/>
      <w:szCs w:val="20"/>
    </w:rPr>
  </w:style>
  <w:style w:type="paragraph" w:customStyle="1" w:styleId="208">
    <w:name w:val="xl4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9">
    <w:name w:val="xl74"/>
    <w:basedOn w:val="1"/>
    <w:qFormat/>
    <w:uiPriority w:val="0"/>
    <w:pPr>
      <w:widowControl/>
      <w:pBdr>
        <w:top w:val="single" w:color="auto" w:sz="4" w:space="0"/>
        <w:left w:val="single" w:color="auto" w:sz="8" w:space="0"/>
        <w:bottom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210">
    <w:name w:val="自定义正文"/>
    <w:basedOn w:val="1"/>
    <w:qFormat/>
    <w:uiPriority w:val="0"/>
    <w:pPr>
      <w:spacing w:after="50" w:afterLines="50"/>
      <w:ind w:left="600" w:leftChars="600"/>
    </w:pPr>
  </w:style>
  <w:style w:type="paragraph" w:customStyle="1" w:styleId="2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 w:val="20"/>
      <w:szCs w:val="20"/>
    </w:rPr>
  </w:style>
  <w:style w:type="paragraph" w:customStyle="1" w:styleId="2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color w:val="000000"/>
      <w:kern w:val="0"/>
      <w:sz w:val="20"/>
      <w:szCs w:val="20"/>
    </w:rPr>
  </w:style>
  <w:style w:type="paragraph" w:customStyle="1" w:styleId="213">
    <w:name w:val="_Style 212"/>
    <w:unhideWhenUsed/>
    <w:qFormat/>
    <w:uiPriority w:val="99"/>
    <w:rPr>
      <w:rFonts w:ascii="Times New Roman" w:hAnsi="Times New Roman" w:eastAsia="宋体" w:cs="Times New Roman"/>
      <w:kern w:val="2"/>
      <w:sz w:val="21"/>
      <w:szCs w:val="24"/>
      <w:lang w:val="en-US" w:eastAsia="zh-CN" w:bidi="ar-SA"/>
    </w:rPr>
  </w:style>
  <w:style w:type="paragraph" w:customStyle="1" w:styleId="214">
    <w:name w:val="样式6"/>
    <w:basedOn w:val="1"/>
    <w:qFormat/>
    <w:uiPriority w:val="0"/>
    <w:pPr>
      <w:tabs>
        <w:tab w:val="left" w:pos="360"/>
        <w:tab w:val="left" w:pos="1077"/>
      </w:tabs>
      <w:spacing w:line="360" w:lineRule="auto"/>
      <w:ind w:left="1077" w:hanging="397"/>
    </w:pPr>
    <w:rPr>
      <w:sz w:val="24"/>
      <w:szCs w:val="20"/>
    </w:rPr>
  </w:style>
  <w:style w:type="paragraph" w:customStyle="1" w:styleId="215">
    <w:name w:val="_Style 72"/>
    <w:basedOn w:val="1"/>
    <w:qFormat/>
    <w:uiPriority w:val="99"/>
    <w:pPr>
      <w:ind w:firstLine="420" w:firstLineChars="200"/>
    </w:pPr>
    <w:rPr>
      <w:rFonts w:ascii="Calibri" w:hAnsi="Calibri"/>
      <w:sz w:val="22"/>
      <w:szCs w:val="20"/>
    </w:rPr>
  </w:style>
  <w:style w:type="paragraph" w:customStyle="1" w:styleId="216">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21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18">
    <w:name w:val="图表文字"/>
    <w:basedOn w:val="1"/>
    <w:qFormat/>
    <w:uiPriority w:val="0"/>
    <w:rPr>
      <w:szCs w:val="20"/>
    </w:rPr>
  </w:style>
  <w:style w:type="paragraph" w:customStyle="1" w:styleId="219">
    <w:name w:val="xl46"/>
    <w:basedOn w:val="1"/>
    <w:qFormat/>
    <w:uiPriority w:val="0"/>
    <w:pPr>
      <w:widowControl/>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4"/>
    </w:rPr>
  </w:style>
  <w:style w:type="paragraph" w:customStyle="1" w:styleId="220">
    <w:name w:val="日期1"/>
    <w:basedOn w:val="1"/>
    <w:next w:val="1"/>
    <w:qFormat/>
    <w:uiPriority w:val="0"/>
    <w:pPr>
      <w:adjustRightInd w:val="0"/>
      <w:spacing w:line="360" w:lineRule="auto"/>
      <w:textAlignment w:val="baseline"/>
    </w:pPr>
    <w:rPr>
      <w:rFonts w:ascii="宋体"/>
      <w:spacing w:val="2"/>
      <w:sz w:val="24"/>
      <w:szCs w:val="20"/>
    </w:rPr>
  </w:style>
  <w:style w:type="paragraph" w:customStyle="1" w:styleId="221">
    <w:name w:val="font11"/>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222">
    <w:name w:val="0级"/>
    <w:basedOn w:val="1"/>
    <w:link w:val="283"/>
    <w:qFormat/>
    <w:uiPriority w:val="0"/>
    <w:pPr>
      <w:ind w:left="420" w:hanging="420"/>
    </w:pPr>
    <w:rPr>
      <w:rFonts w:ascii="宋体" w:hAnsi="宋体"/>
      <w:color w:val="000000"/>
      <w:szCs w:val="21"/>
    </w:rPr>
  </w:style>
  <w:style w:type="paragraph" w:customStyle="1" w:styleId="223">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2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225">
    <w:name w:val="xl76"/>
    <w:basedOn w:val="1"/>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226">
    <w:name w:val="样式3"/>
    <w:basedOn w:val="1"/>
    <w:qFormat/>
    <w:uiPriority w:val="0"/>
    <w:pPr>
      <w:numPr>
        <w:ilvl w:val="2"/>
        <w:numId w:val="2"/>
      </w:numPr>
      <w:tabs>
        <w:tab w:val="left" w:pos="360"/>
        <w:tab w:val="left" w:pos="1080"/>
      </w:tabs>
      <w:spacing w:before="160" w:after="160" w:line="360" w:lineRule="auto"/>
    </w:pPr>
    <w:rPr>
      <w:b/>
      <w:sz w:val="30"/>
      <w:szCs w:val="20"/>
    </w:rPr>
  </w:style>
  <w:style w:type="character" w:customStyle="1" w:styleId="227">
    <w:name w:val="批注主题 字符"/>
    <w:link w:val="45"/>
    <w:qFormat/>
    <w:uiPriority w:val="0"/>
    <w:rPr>
      <w:rFonts w:ascii="宋体" w:hAnsi="Verdana" w:eastAsia="仿宋_GB2312"/>
      <w:b/>
      <w:bCs/>
      <w:kern w:val="2"/>
      <w:sz w:val="21"/>
      <w:szCs w:val="24"/>
      <w:lang w:eastAsia="en-US"/>
    </w:rPr>
  </w:style>
  <w:style w:type="character" w:customStyle="1" w:styleId="228">
    <w:name w:val="hilite5"/>
    <w:qFormat/>
    <w:uiPriority w:val="0"/>
    <w:rPr>
      <w:color w:val="000000"/>
    </w:rPr>
  </w:style>
  <w:style w:type="character" w:customStyle="1" w:styleId="229">
    <w:name w:val="正文缩进 Char"/>
    <w:qFormat/>
    <w:uiPriority w:val="0"/>
    <w:rPr>
      <w:rFonts w:eastAsia="宋体"/>
    </w:rPr>
  </w:style>
  <w:style w:type="character" w:customStyle="1" w:styleId="230">
    <w:name w:val="bodycopy1"/>
    <w:qFormat/>
    <w:uiPriority w:val="0"/>
    <w:rPr>
      <w:rFonts w:hint="default" w:ascii="Arial" w:hAnsi="Arial"/>
      <w:color w:val="000000"/>
      <w:sz w:val="18"/>
      <w:u w:val="none"/>
    </w:rPr>
  </w:style>
  <w:style w:type="character" w:customStyle="1" w:styleId="231">
    <w:name w:val="标题 2 Char1"/>
    <w:qFormat/>
    <w:uiPriority w:val="9"/>
    <w:rPr>
      <w:bCs/>
      <w:sz w:val="24"/>
    </w:rPr>
  </w:style>
  <w:style w:type="character" w:customStyle="1" w:styleId="232">
    <w:name w:val="标题 3 Char1"/>
    <w:qFormat/>
    <w:uiPriority w:val="0"/>
    <w:rPr>
      <w:rFonts w:ascii="宋体" w:hAnsi="宋体" w:eastAsia="宋体" w:cs="Times New Roman"/>
      <w:b/>
      <w:bCs/>
      <w:sz w:val="28"/>
      <w:szCs w:val="32"/>
    </w:rPr>
  </w:style>
  <w:style w:type="character" w:customStyle="1" w:styleId="233">
    <w:name w:val="批注框文本 字符1"/>
    <w:link w:val="29"/>
    <w:qFormat/>
    <w:uiPriority w:val="0"/>
    <w:rPr>
      <w:rFonts w:ascii="Verdana" w:hAnsi="Verdana" w:eastAsia="仿宋_GB2312"/>
      <w:kern w:val="2"/>
      <w:sz w:val="18"/>
      <w:szCs w:val="18"/>
      <w:lang w:eastAsia="en-US"/>
    </w:rPr>
  </w:style>
  <w:style w:type="character" w:customStyle="1" w:styleId="234">
    <w:name w:val="font21"/>
    <w:qFormat/>
    <w:uiPriority w:val="0"/>
    <w:rPr>
      <w:rFonts w:hint="eastAsia" w:ascii="宋体" w:hAnsi="宋体" w:eastAsia="宋体" w:cs="宋体"/>
      <w:b/>
      <w:color w:val="FF0000"/>
      <w:sz w:val="20"/>
      <w:szCs w:val="20"/>
      <w:u w:val="none"/>
    </w:rPr>
  </w:style>
  <w:style w:type="character" w:customStyle="1" w:styleId="235">
    <w:name w:val="页脚 字符"/>
    <w:link w:val="30"/>
    <w:qFormat/>
    <w:uiPriority w:val="0"/>
    <w:rPr>
      <w:kern w:val="2"/>
      <w:sz w:val="18"/>
      <w:szCs w:val="18"/>
    </w:rPr>
  </w:style>
  <w:style w:type="character" w:customStyle="1" w:styleId="236">
    <w:name w:val="标题 4 Char"/>
    <w:qFormat/>
    <w:uiPriority w:val="0"/>
    <w:rPr>
      <w:rFonts w:ascii="Arial" w:hAnsi="Arial" w:eastAsia="黑体"/>
      <w:b/>
      <w:bCs/>
      <w:kern w:val="2"/>
      <w:sz w:val="28"/>
      <w:szCs w:val="28"/>
      <w:lang w:val="en-US" w:eastAsia="zh-CN" w:bidi="ar-SA"/>
    </w:rPr>
  </w:style>
  <w:style w:type="character" w:customStyle="1" w:styleId="237">
    <w:name w:val="v91"/>
    <w:qFormat/>
    <w:uiPriority w:val="0"/>
    <w:rPr>
      <w:sz w:val="18"/>
      <w:szCs w:val="18"/>
    </w:rPr>
  </w:style>
  <w:style w:type="character" w:customStyle="1" w:styleId="238">
    <w:name w:val="正文文本缩进 字符"/>
    <w:link w:val="20"/>
    <w:qFormat/>
    <w:uiPriority w:val="0"/>
    <w:rPr>
      <w:kern w:val="2"/>
      <w:sz w:val="21"/>
      <w:szCs w:val="24"/>
    </w:rPr>
  </w:style>
  <w:style w:type="character" w:customStyle="1" w:styleId="239">
    <w:name w:val="页脚 Char"/>
    <w:qFormat/>
    <w:uiPriority w:val="99"/>
    <w:rPr>
      <w:rFonts w:ascii="Arial" w:hAnsi="Arial" w:eastAsia="楷体_GB2312"/>
      <w:sz w:val="18"/>
      <w:szCs w:val="18"/>
      <w:lang w:val="en-US" w:eastAsia="zh-CN" w:bidi="ar-SA"/>
    </w:rPr>
  </w:style>
  <w:style w:type="character" w:customStyle="1" w:styleId="240">
    <w:name w:val="active4"/>
    <w:qFormat/>
    <w:uiPriority w:val="0"/>
    <w:rPr>
      <w:color w:val="FFFFFF"/>
    </w:rPr>
  </w:style>
  <w:style w:type="character" w:customStyle="1" w:styleId="241">
    <w:name w:val="纯文本 字符"/>
    <w:link w:val="25"/>
    <w:qFormat/>
    <w:uiPriority w:val="0"/>
    <w:rPr>
      <w:rFonts w:ascii="宋体" w:hAnsi="Courier New" w:eastAsia="仿宋_GB2312"/>
      <w:kern w:val="2"/>
      <w:sz w:val="21"/>
      <w:szCs w:val="20"/>
      <w:lang w:eastAsia="en-US"/>
    </w:rPr>
  </w:style>
  <w:style w:type="character" w:customStyle="1" w:styleId="242">
    <w:name w:val="font71"/>
    <w:qFormat/>
    <w:uiPriority w:val="0"/>
    <w:rPr>
      <w:rFonts w:hint="eastAsia" w:ascii="宋体" w:hAnsi="宋体" w:eastAsia="宋体" w:cs="宋体"/>
      <w:color w:val="000000"/>
      <w:sz w:val="16"/>
      <w:szCs w:val="16"/>
      <w:u w:val="none"/>
    </w:rPr>
  </w:style>
  <w:style w:type="character" w:customStyle="1" w:styleId="243">
    <w:name w:val="标题 2 Char2"/>
    <w:qFormat/>
    <w:uiPriority w:val="0"/>
    <w:rPr>
      <w:rFonts w:ascii="Times New Roman" w:hAnsi="Times New Roman" w:eastAsia="宋体" w:cs="Times New Roman"/>
      <w:bCs/>
      <w:kern w:val="0"/>
      <w:sz w:val="24"/>
      <w:szCs w:val="20"/>
    </w:rPr>
  </w:style>
  <w:style w:type="character" w:customStyle="1" w:styleId="244">
    <w:name w:val="标题 2 Char"/>
    <w:qFormat/>
    <w:uiPriority w:val="0"/>
    <w:rPr>
      <w:rFonts w:ascii="Arial" w:hAnsi="Arial" w:eastAsia="黑体"/>
      <w:b/>
      <w:bCs/>
      <w:kern w:val="2"/>
      <w:sz w:val="32"/>
      <w:szCs w:val="32"/>
      <w:lang w:val="en-US" w:eastAsia="zh-CN" w:bidi="ar-SA"/>
    </w:rPr>
  </w:style>
  <w:style w:type="character" w:customStyle="1" w:styleId="245">
    <w:name w:val="apple-style-span"/>
    <w:basedOn w:val="50"/>
    <w:qFormat/>
    <w:uiPriority w:val="0"/>
  </w:style>
  <w:style w:type="character" w:customStyle="1" w:styleId="246">
    <w:name w:val="Default Char"/>
    <w:link w:val="76"/>
    <w:qFormat/>
    <w:uiPriority w:val="0"/>
    <w:rPr>
      <w:rFonts w:ascii="宋体" w:hAnsi="宋体" w:cs="宋体"/>
      <w:color w:val="000000"/>
      <w:sz w:val="24"/>
      <w:szCs w:val="24"/>
      <w:lang w:val="en-US" w:eastAsia="zh-CN" w:bidi="ar-SA"/>
    </w:rPr>
  </w:style>
  <w:style w:type="character" w:customStyle="1" w:styleId="247">
    <w:name w:val="称呼 字符"/>
    <w:link w:val="18"/>
    <w:qFormat/>
    <w:uiPriority w:val="0"/>
    <w:rPr>
      <w:rFonts w:ascii="Verdana" w:hAnsi="Verdana" w:eastAsia="仿宋_GB2312"/>
      <w:kern w:val="2"/>
      <w:sz w:val="24"/>
      <w:szCs w:val="20"/>
      <w:lang w:eastAsia="en-US"/>
    </w:rPr>
  </w:style>
  <w:style w:type="character" w:customStyle="1" w:styleId="248">
    <w:name w:val="消息标题号"/>
    <w:qFormat/>
    <w:uiPriority w:val="0"/>
    <w:rPr>
      <w:rFonts w:ascii="Arial" w:hAnsi="Arial" w:eastAsia="楷体_GB2312"/>
      <w:b/>
      <w:bCs/>
      <w:spacing w:val="-4"/>
      <w:sz w:val="18"/>
      <w:szCs w:val="18"/>
      <w:lang w:eastAsia="zh-CN"/>
    </w:rPr>
  </w:style>
  <w:style w:type="character" w:customStyle="1" w:styleId="249">
    <w:name w:val="文档结构图 Char"/>
    <w:qFormat/>
    <w:uiPriority w:val="0"/>
    <w:rPr>
      <w:rFonts w:ascii="宋体" w:hAnsi="Verdana" w:eastAsia="宋体"/>
      <w:kern w:val="2"/>
      <w:sz w:val="18"/>
      <w:szCs w:val="18"/>
      <w:lang w:eastAsia="en-US"/>
    </w:rPr>
  </w:style>
  <w:style w:type="character" w:customStyle="1" w:styleId="250">
    <w:name w:val="标题 3 Char"/>
    <w:qFormat/>
    <w:uiPriority w:val="0"/>
    <w:rPr>
      <w:rFonts w:ascii="黑体" w:eastAsia="黑体"/>
      <w:bCs/>
      <w:sz w:val="30"/>
    </w:rPr>
  </w:style>
  <w:style w:type="character" w:customStyle="1" w:styleId="251">
    <w:name w:val="fielderror"/>
    <w:qFormat/>
    <w:uiPriority w:val="0"/>
    <w:rPr>
      <w:color w:val="800000"/>
    </w:rPr>
  </w:style>
  <w:style w:type="character" w:customStyle="1" w:styleId="252">
    <w:name w:val="批注文字 字符"/>
    <w:link w:val="17"/>
    <w:qFormat/>
    <w:uiPriority w:val="0"/>
    <w:rPr>
      <w:rFonts w:ascii="宋体" w:hAnsi="Verdana" w:eastAsia="仿宋_GB2312"/>
      <w:kern w:val="0"/>
      <w:sz w:val="34"/>
      <w:szCs w:val="20"/>
      <w:lang w:eastAsia="en-US"/>
    </w:rPr>
  </w:style>
  <w:style w:type="character" w:customStyle="1" w:styleId="253">
    <w:name w:val="font41"/>
    <w:qFormat/>
    <w:uiPriority w:val="0"/>
    <w:rPr>
      <w:rFonts w:hint="eastAsia" w:ascii="宋体" w:hAnsi="宋体" w:eastAsia="宋体" w:cs="宋体"/>
      <w:color w:val="000000"/>
      <w:sz w:val="20"/>
      <w:szCs w:val="20"/>
      <w:u w:val="none"/>
    </w:rPr>
  </w:style>
  <w:style w:type="character" w:customStyle="1" w:styleId="254">
    <w:name w:val="active"/>
    <w:qFormat/>
    <w:uiPriority w:val="0"/>
    <w:rPr>
      <w:color w:val="FFFFFF"/>
    </w:rPr>
  </w:style>
  <w:style w:type="character" w:customStyle="1" w:styleId="255">
    <w:name w:val="main1"/>
    <w:qFormat/>
    <w:uiPriority w:val="0"/>
    <w:rPr>
      <w:color w:val="333333"/>
      <w:sz w:val="24"/>
      <w:szCs w:val="24"/>
    </w:rPr>
  </w:style>
  <w:style w:type="character" w:customStyle="1" w:styleId="256">
    <w:name w:val="active6"/>
    <w:qFormat/>
    <w:uiPriority w:val="0"/>
    <w:rPr>
      <w:color w:val="FFFFFF"/>
    </w:rPr>
  </w:style>
  <w:style w:type="character" w:customStyle="1" w:styleId="257">
    <w:name w:val="标题 4 字符"/>
    <w:link w:val="5"/>
    <w:qFormat/>
    <w:uiPriority w:val="0"/>
    <w:rPr>
      <w:rFonts w:ascii="Arial" w:hAnsi="Arial" w:eastAsia="黑体"/>
      <w:b/>
      <w:bCs/>
      <w:kern w:val="2"/>
      <w:sz w:val="28"/>
      <w:szCs w:val="28"/>
      <w:lang w:val="en-US" w:eastAsia="zh-CN" w:bidi="ar-SA"/>
    </w:rPr>
  </w:style>
  <w:style w:type="character" w:customStyle="1" w:styleId="258">
    <w:name w:val="标题 1 字符"/>
    <w:link w:val="3"/>
    <w:qFormat/>
    <w:uiPriority w:val="0"/>
    <w:rPr>
      <w:rFonts w:ascii="宋体" w:hAnsi="宋体" w:eastAsia="黑体"/>
      <w:b/>
      <w:bCs/>
      <w:kern w:val="44"/>
      <w:sz w:val="28"/>
      <w:szCs w:val="44"/>
      <w:lang w:val="en-US" w:eastAsia="zh-CN" w:bidi="ar-SA"/>
    </w:rPr>
  </w:style>
  <w:style w:type="character" w:customStyle="1" w:styleId="259">
    <w:name w:val="content1"/>
    <w:qFormat/>
    <w:uiPriority w:val="0"/>
    <w:rPr>
      <w:rFonts w:hint="default" w:ascii="ˎ̥" w:hAnsi="ˎ̥"/>
      <w:color w:val="000000"/>
      <w:sz w:val="22"/>
      <w:u w:val="none"/>
    </w:rPr>
  </w:style>
  <w:style w:type="character" w:customStyle="1" w:styleId="260">
    <w:name w:val="hilite"/>
    <w:qFormat/>
    <w:uiPriority w:val="0"/>
    <w:rPr>
      <w:color w:val="000000"/>
    </w:rPr>
  </w:style>
  <w:style w:type="character" w:customStyle="1" w:styleId="261">
    <w:name w:val="font01"/>
    <w:qFormat/>
    <w:uiPriority w:val="0"/>
    <w:rPr>
      <w:rFonts w:hint="eastAsia" w:ascii="宋体" w:hAnsi="宋体" w:eastAsia="宋体" w:cs="宋体"/>
      <w:b/>
      <w:color w:val="FF0000"/>
      <w:sz w:val="22"/>
      <w:szCs w:val="22"/>
      <w:u w:val="none"/>
    </w:rPr>
  </w:style>
  <w:style w:type="character" w:customStyle="1" w:styleId="262">
    <w:name w:val="正文文本 Char"/>
    <w:semiHidden/>
    <w:qFormat/>
    <w:uiPriority w:val="99"/>
    <w:rPr>
      <w:rFonts w:ascii="Times New Roman" w:hAnsi="Times New Roman" w:eastAsia="宋体" w:cs="Times New Roman"/>
      <w:kern w:val="0"/>
      <w:sz w:val="24"/>
      <w:szCs w:val="24"/>
      <w:lang w:eastAsia="en-US"/>
    </w:rPr>
  </w:style>
  <w:style w:type="character" w:customStyle="1" w:styleId="263">
    <w:name w:val="Char Char Char Char Char Char"/>
    <w:link w:val="92"/>
    <w:qFormat/>
    <w:uiPriority w:val="0"/>
    <w:rPr>
      <w:rFonts w:ascii="Verdana" w:hAnsi="Verdana" w:eastAsia="仿宋_GB2312"/>
      <w:sz w:val="24"/>
      <w:lang w:eastAsia="en-US"/>
    </w:rPr>
  </w:style>
  <w:style w:type="character" w:customStyle="1" w:styleId="264">
    <w:name w:val="批注框文本 字符"/>
    <w:qFormat/>
    <w:uiPriority w:val="0"/>
    <w:rPr>
      <w:rFonts w:eastAsia="宋体"/>
      <w:kern w:val="2"/>
      <w:sz w:val="18"/>
      <w:szCs w:val="18"/>
      <w:lang w:val="en-US" w:eastAsia="zh-CN" w:bidi="ar-SA"/>
    </w:rPr>
  </w:style>
  <w:style w:type="character" w:customStyle="1" w:styleId="265">
    <w:name w:val="正文缩进 字符1"/>
    <w:link w:val="8"/>
    <w:qFormat/>
    <w:uiPriority w:val="0"/>
    <w:rPr>
      <w:rFonts w:eastAsia="宋体"/>
      <w:kern w:val="2"/>
      <w:sz w:val="21"/>
      <w:lang w:val="en-US" w:eastAsia="zh-CN" w:bidi="ar-SA"/>
    </w:rPr>
  </w:style>
  <w:style w:type="character" w:customStyle="1" w:styleId="266">
    <w:name w:val="p12"/>
    <w:basedOn w:val="50"/>
    <w:qFormat/>
    <w:uiPriority w:val="0"/>
  </w:style>
  <w:style w:type="character" w:customStyle="1" w:styleId="267">
    <w:name w:val="headline-content2"/>
    <w:basedOn w:val="50"/>
    <w:qFormat/>
    <w:uiPriority w:val="0"/>
  </w:style>
  <w:style w:type="character" w:customStyle="1" w:styleId="268">
    <w:name w:val="正文缩进 Char1"/>
    <w:qFormat/>
    <w:uiPriority w:val="0"/>
    <w:rPr>
      <w:rFonts w:eastAsia="宋体"/>
      <w:kern w:val="2"/>
      <w:sz w:val="21"/>
      <w:lang w:val="en-US" w:eastAsia="zh-CN" w:bidi="ar-SA"/>
    </w:rPr>
  </w:style>
  <w:style w:type="character" w:customStyle="1" w:styleId="269">
    <w:name w:val="font31"/>
    <w:qFormat/>
    <w:uiPriority w:val="0"/>
    <w:rPr>
      <w:rFonts w:hint="eastAsia" w:ascii="宋体" w:hAnsi="宋体" w:eastAsia="宋体" w:cs="宋体"/>
      <w:color w:val="000000"/>
      <w:sz w:val="20"/>
      <w:szCs w:val="20"/>
      <w:u w:val="none"/>
    </w:rPr>
  </w:style>
  <w:style w:type="character" w:customStyle="1" w:styleId="270">
    <w:name w:val="正文缩进 字符"/>
    <w:qFormat/>
    <w:uiPriority w:val="0"/>
    <w:rPr>
      <w:rFonts w:ascii="Arial" w:hAnsi="Arial" w:eastAsia="宋体"/>
      <w:kern w:val="2"/>
      <w:sz w:val="21"/>
      <w:szCs w:val="24"/>
      <w:lang w:val="en-US" w:eastAsia="zh-CN" w:bidi="ar-SA"/>
    </w:rPr>
  </w:style>
  <w:style w:type="character" w:customStyle="1" w:styleId="271">
    <w:name w:val="标题 2 Char Char"/>
    <w:qFormat/>
    <w:uiPriority w:val="0"/>
    <w:rPr>
      <w:rFonts w:ascii="Arial" w:hAnsi="Arial" w:eastAsia="黑体"/>
      <w:bCs/>
      <w:kern w:val="2"/>
      <w:sz w:val="28"/>
      <w:szCs w:val="32"/>
      <w:lang w:val="en-US" w:eastAsia="zh-CN" w:bidi="ar-SA"/>
    </w:rPr>
  </w:style>
  <w:style w:type="character" w:customStyle="1" w:styleId="272">
    <w:name w:val="*正文 Char"/>
    <w:link w:val="178"/>
    <w:qFormat/>
    <w:uiPriority w:val="0"/>
    <w:rPr>
      <w:rFonts w:ascii="仿宋_GB2312"/>
      <w:sz w:val="24"/>
      <w:szCs w:val="28"/>
    </w:rPr>
  </w:style>
  <w:style w:type="character" w:customStyle="1" w:styleId="273">
    <w:name w:val="页脚 Char1"/>
    <w:qFormat/>
    <w:uiPriority w:val="0"/>
    <w:rPr>
      <w:kern w:val="2"/>
      <w:sz w:val="18"/>
      <w:szCs w:val="18"/>
    </w:rPr>
  </w:style>
  <w:style w:type="character" w:customStyle="1" w:styleId="274">
    <w:name w:val="正文文本首行缩进 字符"/>
    <w:link w:val="46"/>
    <w:qFormat/>
    <w:uiPriority w:val="0"/>
    <w:rPr>
      <w:rFonts w:ascii="Verdana" w:hAnsi="Verdana" w:eastAsia="仿宋_GB2312"/>
      <w:kern w:val="2"/>
      <w:sz w:val="21"/>
      <w:szCs w:val="24"/>
      <w:lang w:eastAsia="en-US"/>
    </w:rPr>
  </w:style>
  <w:style w:type="character" w:customStyle="1" w:styleId="275">
    <w:name w:val="font51"/>
    <w:qFormat/>
    <w:uiPriority w:val="0"/>
    <w:rPr>
      <w:rFonts w:hint="eastAsia" w:ascii="宋体" w:hAnsi="宋体" w:eastAsia="宋体" w:cs="宋体"/>
      <w:color w:val="000000"/>
      <w:sz w:val="18"/>
      <w:szCs w:val="18"/>
      <w:u w:val="none"/>
    </w:rPr>
  </w:style>
  <w:style w:type="character" w:customStyle="1" w:styleId="276">
    <w:name w:val="hilite6"/>
    <w:qFormat/>
    <w:uiPriority w:val="0"/>
    <w:rPr>
      <w:color w:val="000000"/>
    </w:rPr>
  </w:style>
  <w:style w:type="character" w:customStyle="1" w:styleId="277">
    <w:name w:val="text_edit editable-title"/>
    <w:basedOn w:val="50"/>
    <w:qFormat/>
    <w:uiPriority w:val="0"/>
  </w:style>
  <w:style w:type="character" w:customStyle="1" w:styleId="278">
    <w:name w:val="font61"/>
    <w:qFormat/>
    <w:uiPriority w:val="0"/>
    <w:rPr>
      <w:rFonts w:hint="eastAsia" w:ascii="宋体" w:hAnsi="宋体" w:eastAsia="宋体" w:cs="宋体"/>
      <w:color w:val="000000"/>
      <w:sz w:val="18"/>
      <w:szCs w:val="18"/>
      <w:u w:val="none"/>
    </w:rPr>
  </w:style>
  <w:style w:type="character" w:customStyle="1" w:styleId="279">
    <w:name w:val="正文文本 字符"/>
    <w:link w:val="2"/>
    <w:qFormat/>
    <w:uiPriority w:val="0"/>
    <w:rPr>
      <w:rFonts w:ascii="Verdana" w:hAnsi="Verdana" w:eastAsia="仿宋_GB2312"/>
      <w:b/>
      <w:bCs/>
      <w:kern w:val="2"/>
      <w:sz w:val="24"/>
      <w:szCs w:val="24"/>
      <w:lang w:eastAsia="en-US"/>
    </w:rPr>
  </w:style>
  <w:style w:type="character" w:customStyle="1" w:styleId="280">
    <w:name w:val="标题 2 字符"/>
    <w:link w:val="6"/>
    <w:qFormat/>
    <w:uiPriority w:val="9"/>
    <w:rPr>
      <w:bCs/>
      <w:sz w:val="24"/>
    </w:rPr>
  </w:style>
  <w:style w:type="character" w:customStyle="1" w:styleId="281">
    <w:name w:val="hilite4"/>
    <w:qFormat/>
    <w:uiPriority w:val="0"/>
    <w:rPr>
      <w:color w:val="000000"/>
    </w:rPr>
  </w:style>
  <w:style w:type="character" w:customStyle="1" w:styleId="282">
    <w:name w:val="批注文字 Char"/>
    <w:semiHidden/>
    <w:qFormat/>
    <w:uiPriority w:val="0"/>
    <w:rPr>
      <w:rFonts w:ascii="Verdana" w:hAnsi="Verdana" w:eastAsia="仿宋_GB2312"/>
      <w:kern w:val="2"/>
      <w:sz w:val="21"/>
      <w:szCs w:val="22"/>
      <w:lang w:eastAsia="en-US"/>
    </w:rPr>
  </w:style>
  <w:style w:type="character" w:customStyle="1" w:styleId="283">
    <w:name w:val="0级 Char"/>
    <w:link w:val="222"/>
    <w:qFormat/>
    <w:uiPriority w:val="0"/>
    <w:rPr>
      <w:rFonts w:ascii="宋体" w:hAnsi="宋体"/>
      <w:color w:val="000000"/>
      <w:kern w:val="2"/>
      <w:sz w:val="21"/>
      <w:szCs w:val="21"/>
    </w:rPr>
  </w:style>
  <w:style w:type="character" w:customStyle="1" w:styleId="284">
    <w:name w:val="正文文本首行缩进 2 字符"/>
    <w:basedOn w:val="238"/>
    <w:link w:val="47"/>
    <w:qFormat/>
    <w:uiPriority w:val="0"/>
    <w:rPr>
      <w:kern w:val="2"/>
      <w:sz w:val="21"/>
      <w:szCs w:val="24"/>
    </w:rPr>
  </w:style>
  <w:style w:type="character" w:customStyle="1" w:styleId="285">
    <w:name w:val="标题 3 字符"/>
    <w:link w:val="4"/>
    <w:qFormat/>
    <w:uiPriority w:val="0"/>
    <w:rPr>
      <w:rFonts w:ascii="宋体" w:hAnsi="宋体" w:eastAsia="宋体"/>
      <w:b/>
      <w:bCs/>
      <w:kern w:val="2"/>
      <w:sz w:val="28"/>
      <w:szCs w:val="32"/>
      <w:lang w:val="en-US" w:eastAsia="zh-CN" w:bidi="ar-SA"/>
    </w:rPr>
  </w:style>
  <w:style w:type="character" w:customStyle="1" w:styleId="286">
    <w:name w:val="文档结构图 字符"/>
    <w:link w:val="16"/>
    <w:qFormat/>
    <w:uiPriority w:val="0"/>
    <w:rPr>
      <w:kern w:val="2"/>
      <w:sz w:val="21"/>
      <w:szCs w:val="24"/>
      <w:shd w:val="clear" w:color="auto" w:fill="000080"/>
    </w:rPr>
  </w:style>
  <w:style w:type="character" w:customStyle="1" w:styleId="287">
    <w:name w:val="批注框文本 Char"/>
    <w:qFormat/>
    <w:uiPriority w:val="0"/>
    <w:rPr>
      <w:rFonts w:ascii="Verdana" w:hAnsi="Verdana" w:eastAsia="仿宋_GB2312"/>
      <w:kern w:val="2"/>
      <w:sz w:val="18"/>
      <w:szCs w:val="18"/>
      <w:lang w:eastAsia="en-US"/>
    </w:rPr>
  </w:style>
  <w:style w:type="character" w:customStyle="1" w:styleId="288">
    <w:name w:val="inline-help"/>
    <w:basedOn w:val="50"/>
    <w:qFormat/>
    <w:uiPriority w:val="0"/>
  </w:style>
  <w:style w:type="table" w:customStyle="1" w:styleId="289">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5544</Words>
  <Characters>31607</Characters>
  <Lines>263</Lines>
  <Paragraphs>74</Paragraphs>
  <TotalTime>6</TotalTime>
  <ScaleCrop>false</ScaleCrop>
  <LinksUpToDate>false</LinksUpToDate>
  <CharactersWithSpaces>37077</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2019-08-02T00:15:00Z</dcterms:created>
  <dc:creator>thsware</dc:creator>
  <cp:lastModifiedBy>hetianyi</cp:lastModifiedBy>
  <cp:lastPrinted>2019-01-16T10:53:00Z</cp:lastPrinted>
  <dcterms:modified xsi:type="dcterms:W3CDTF">2024-11-08T11:28:41Z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D969AE4A9BFDC32769852D6737B76ADA</vt:lpwstr>
  </property>
</Properties>
</file>