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keepNext w:val="0"/>
        <w:keepLines w:val="0"/>
        <w:widowControl/>
        <w:suppressLineNumbers w:val="0"/>
        <w:spacing w:before="454" w:beforeAutospacing="0" w:after="454" w:afterAutospacing="0"/>
        <w:ind w:left="454" w:right="454"/>
        <w:jc w:val="center"/>
        <w:outlineLvl w:val="0"/>
        <w:rPr>
          <w:rFonts w:ascii="黑体" w:hAnsi="宋体" w:eastAsia="黑体" w:cs="黑体"/>
          <w:color w:val="auto"/>
          <w:sz w:val="40"/>
          <w:szCs w:val="40"/>
        </w:rPr>
      </w:pPr>
      <w:bookmarkStart w:id="0" w:name="_Toc225245647"/>
      <w:bookmarkStart w:id="1" w:name="_Toc73517632"/>
      <w:bookmarkStart w:id="2" w:name="_Toc225306494"/>
      <w:bookmarkStart w:id="3" w:name="_Toc100052355"/>
      <w:bookmarkStart w:id="4" w:name="_Toc36604187"/>
      <w:bookmarkStart w:id="5" w:name="_Toc101074865"/>
      <w:bookmarkStart w:id="6" w:name="_Toc73518110"/>
      <w:bookmarkStart w:id="7" w:name="_Toc73521541"/>
      <w:bookmarkStart w:id="8" w:name="_Toc73521629"/>
      <w:r>
        <w:rPr>
          <w:rFonts w:hint="eastAsia" w:ascii="黑体" w:hAnsi="黑体" w:eastAsia="黑体" w:cs="黑体"/>
          <w:color w:val="auto"/>
          <w:sz w:val="40"/>
          <w:szCs w:val="40"/>
          <w:lang w:val="en-US" w:eastAsia="zh-CN"/>
        </w:rPr>
        <w:t>光明区教育局关于购买科裕新村幼儿园装修工程造价全过程咨询服务的</w:t>
      </w:r>
      <w:r>
        <w:rPr>
          <w:rFonts w:hint="eastAsia" w:ascii="黑体" w:hAnsi="宋体" w:eastAsia="黑体" w:cs="黑体"/>
          <w:color w:val="auto"/>
          <w:sz w:val="40"/>
          <w:szCs w:val="40"/>
        </w:rPr>
        <w:t>招标文件信息</w:t>
      </w:r>
    </w:p>
    <w:tbl>
      <w:tblPr>
        <w:tblStyle w:val="48"/>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项目编号：</w:t>
            </w:r>
          </w:p>
        </w:tc>
        <w:tc>
          <w:tcPr>
            <w:tcW w:w="5220" w:type="dxa"/>
            <w:noWrap w:val="0"/>
            <w:vAlign w:val="center"/>
          </w:tcPr>
          <w:p>
            <w:pPr>
              <w:widowControl/>
              <w:jc w:val="left"/>
              <w:rPr>
                <w:b/>
                <w:color w:val="auto"/>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项目名称：</w:t>
            </w:r>
          </w:p>
        </w:tc>
        <w:tc>
          <w:tcPr>
            <w:tcW w:w="5220" w:type="dxa"/>
            <w:noWrap w:val="0"/>
            <w:vAlign w:val="center"/>
          </w:tcPr>
          <w:p>
            <w:pPr>
              <w:widowControl/>
              <w:jc w:val="left"/>
              <w:rPr>
                <w:color w:val="auto"/>
                <w:sz w:val="30"/>
                <w:szCs w:val="30"/>
              </w:rPr>
            </w:pPr>
            <w:r>
              <w:rPr>
                <w:rFonts w:hint="eastAsia"/>
                <w:color w:val="auto"/>
                <w:sz w:val="30"/>
                <w:szCs w:val="30"/>
              </w:rPr>
              <w:t>光明区教育局关于</w:t>
            </w:r>
            <w:r>
              <w:rPr>
                <w:rFonts w:hint="eastAsia"/>
                <w:color w:val="auto"/>
                <w:sz w:val="30"/>
                <w:szCs w:val="30"/>
                <w:lang w:val="en-US" w:eastAsia="zh-CN"/>
              </w:rPr>
              <w:t>购买科裕新村幼儿园装修工程造价全过程咨询服务</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highlight w:val="none"/>
              </w:rPr>
            </w:pPr>
            <w:r>
              <w:rPr>
                <w:rFonts w:ascii="宋体" w:hAnsi="宋体" w:cs="宋体"/>
                <w:color w:val="auto"/>
                <w:kern w:val="0"/>
                <w:sz w:val="30"/>
                <w:szCs w:val="30"/>
                <w:highlight w:val="none"/>
                <w:lang w:bidi="ar"/>
              </w:rPr>
              <w:t>包 号：</w:t>
            </w:r>
          </w:p>
        </w:tc>
        <w:tc>
          <w:tcPr>
            <w:tcW w:w="5220" w:type="dxa"/>
            <w:noWrap w:val="0"/>
            <w:vAlign w:val="center"/>
          </w:tcPr>
          <w:p>
            <w:pPr>
              <w:widowControl/>
              <w:jc w:val="left"/>
              <w:rPr>
                <w:rFonts w:hint="default" w:eastAsia="宋体"/>
                <w:color w:val="auto"/>
                <w:sz w:val="30"/>
                <w:szCs w:val="30"/>
                <w:highlight w:val="none"/>
                <w:lang w:val="en-US" w:eastAsia="zh-CN"/>
              </w:rPr>
            </w:pPr>
            <w:r>
              <w:rPr>
                <w:rFonts w:hint="eastAsia"/>
                <w:color w:val="auto"/>
                <w:sz w:val="30"/>
                <w:szCs w:val="30"/>
                <w:highlight w:val="none"/>
                <w:lang w:val="en-US" w:eastAsia="zh-CN"/>
              </w:rPr>
              <w:t>C</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项目类型：</w:t>
            </w:r>
          </w:p>
        </w:tc>
        <w:tc>
          <w:tcPr>
            <w:tcW w:w="5220" w:type="dxa"/>
            <w:noWrap w:val="0"/>
            <w:vAlign w:val="center"/>
          </w:tcPr>
          <w:p>
            <w:pPr>
              <w:widowControl/>
              <w:jc w:val="left"/>
              <w:rPr>
                <w:color w:val="auto"/>
                <w:sz w:val="30"/>
                <w:szCs w:val="30"/>
              </w:rPr>
            </w:pPr>
            <w:r>
              <w:rPr>
                <w:rFonts w:hint="eastAsia" w:ascii="宋体" w:hAnsi="宋体" w:cs="宋体"/>
                <w:color w:val="auto"/>
                <w:kern w:val="0"/>
                <w:sz w:val="30"/>
                <w:szCs w:val="30"/>
                <w:lang w:val="en-US" w:eastAsia="zh-CN" w:bidi="ar"/>
              </w:rPr>
              <w:t>服务</w:t>
            </w:r>
            <w:r>
              <w:rPr>
                <w:rFonts w:ascii="宋体" w:hAnsi="宋体" w:cs="宋体"/>
                <w:color w:val="auto"/>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采购方式：</w:t>
            </w:r>
          </w:p>
        </w:tc>
        <w:tc>
          <w:tcPr>
            <w:tcW w:w="5220" w:type="dxa"/>
            <w:noWrap w:val="0"/>
            <w:vAlign w:val="center"/>
          </w:tcPr>
          <w:p>
            <w:pPr>
              <w:widowControl/>
              <w:jc w:val="left"/>
              <w:rPr>
                <w:color w:val="auto"/>
                <w:sz w:val="30"/>
                <w:szCs w:val="30"/>
              </w:rPr>
            </w:pPr>
            <w:r>
              <w:rPr>
                <w:rFonts w:ascii="宋体" w:hAnsi="宋体" w:cs="宋体"/>
                <w:color w:val="auto"/>
                <w:kern w:val="0"/>
                <w:sz w:val="30"/>
                <w:szCs w:val="30"/>
                <w:lang w:bidi="ar"/>
              </w:rPr>
              <w:t>公开招标</w:t>
            </w:r>
            <w:bookmarkStart w:id="35" w:name="_GoBack"/>
            <w:bookmarkEnd w:id="35"/>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货币类型：</w:t>
            </w:r>
          </w:p>
        </w:tc>
        <w:tc>
          <w:tcPr>
            <w:tcW w:w="5220" w:type="dxa"/>
            <w:noWrap w:val="0"/>
            <w:vAlign w:val="center"/>
          </w:tcPr>
          <w:p>
            <w:pPr>
              <w:widowControl/>
              <w:jc w:val="left"/>
              <w:rPr>
                <w:color w:val="auto"/>
                <w:sz w:val="30"/>
                <w:szCs w:val="30"/>
              </w:rPr>
            </w:pPr>
            <w:r>
              <w:rPr>
                <w:rFonts w:ascii="宋体" w:hAnsi="宋体" w:cs="宋体"/>
                <w:color w:val="auto"/>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rPr>
            </w:pPr>
            <w:r>
              <w:rPr>
                <w:rFonts w:ascii="宋体" w:hAnsi="宋体" w:cs="宋体"/>
                <w:color w:val="auto"/>
                <w:kern w:val="0"/>
                <w:sz w:val="30"/>
                <w:szCs w:val="30"/>
                <w:lang w:bidi="ar"/>
              </w:rPr>
              <w:t>评标方法：</w:t>
            </w:r>
          </w:p>
        </w:tc>
        <w:tc>
          <w:tcPr>
            <w:tcW w:w="5220" w:type="dxa"/>
            <w:noWrap w:val="0"/>
            <w:vAlign w:val="center"/>
          </w:tcPr>
          <w:p>
            <w:pPr>
              <w:widowControl/>
              <w:jc w:val="left"/>
              <w:rPr>
                <w:color w:val="auto"/>
                <w:sz w:val="30"/>
                <w:szCs w:val="30"/>
              </w:rPr>
            </w:pPr>
            <w:r>
              <w:rPr>
                <w:rFonts w:ascii="宋体" w:hAnsi="宋体" w:cs="宋体"/>
                <w:color w:val="auto"/>
                <w:kern w:val="0"/>
                <w:sz w:val="30"/>
                <w:szCs w:val="30"/>
                <w:lang w:bidi="ar"/>
              </w:rPr>
              <w:t>综合评分法（新价格分算法）</w:t>
            </w:r>
          </w:p>
        </w:tc>
      </w:tr>
    </w:tbl>
    <w:p>
      <w:pPr>
        <w:pStyle w:val="43"/>
        <w:widowControl/>
        <w:jc w:val="center"/>
        <w:outlineLvl w:val="1"/>
        <w:rPr>
          <w:rFonts w:hint="eastAsia"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资格性审查表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color w:val="auto"/>
                <w:sz w:val="28"/>
                <w:szCs w:val="28"/>
              </w:rPr>
            </w:pPr>
            <w:r>
              <w:rPr>
                <w:rFonts w:ascii="宋体" w:hAnsi="宋体" w:cs="宋体"/>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color w:val="auto"/>
                <w:sz w:val="28"/>
                <w:szCs w:val="28"/>
              </w:rPr>
            </w:pPr>
            <w:r>
              <w:rPr>
                <w:rFonts w:ascii="宋体" w:hAnsi="宋体" w:cs="宋体"/>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color w:val="auto"/>
                <w:szCs w:val="21"/>
              </w:rPr>
            </w:pPr>
            <w:r>
              <w:rPr>
                <w:rFonts w:ascii="宋体" w:hAnsi="宋体" w:cs="宋体"/>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color w:val="auto"/>
                <w:szCs w:val="21"/>
              </w:rPr>
            </w:pPr>
            <w:r>
              <w:rPr>
                <w:rFonts w:ascii="宋体" w:hAnsi="宋体" w:cs="宋体"/>
                <w:color w:val="auto"/>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color w:val="auto"/>
                <w:szCs w:val="21"/>
              </w:rPr>
            </w:pPr>
            <w:r>
              <w:rPr>
                <w:rFonts w:ascii="宋体" w:hAnsi="宋体" w:cs="宋体"/>
                <w:color w:val="auto"/>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color w:val="auto"/>
                <w:szCs w:val="21"/>
              </w:rPr>
            </w:pPr>
            <w:r>
              <w:rPr>
                <w:rFonts w:ascii="宋体" w:hAnsi="宋体" w:cs="宋体"/>
                <w:color w:val="auto"/>
                <w:kern w:val="0"/>
                <w:szCs w:val="21"/>
                <w:lang w:bidi="ar"/>
              </w:rPr>
              <w:t>投标人不具备国家有关法律规定的有关资质。</w:t>
            </w:r>
          </w:p>
        </w:tc>
      </w:tr>
    </w:tbl>
    <w:p>
      <w:pPr>
        <w:pStyle w:val="43"/>
        <w:widowControl/>
        <w:spacing w:before="280" w:beforeAutospacing="0"/>
        <w:jc w:val="center"/>
        <w:outlineLvl w:val="1"/>
        <w:rPr>
          <w:rFonts w:hint="eastAsia" w:ascii="黑体" w:hAnsi="宋体" w:eastAsia="黑体" w:cs="黑体"/>
          <w:color w:val="auto"/>
          <w:sz w:val="40"/>
          <w:szCs w:val="40"/>
        </w:rPr>
      </w:pPr>
      <w:r>
        <w:rPr>
          <w:rFonts w:hint="eastAsia" w:ascii="黑体" w:hAnsi="宋体" w:eastAsia="黑体" w:cs="黑体"/>
          <w:color w:val="auto"/>
          <w:sz w:val="40"/>
          <w:szCs w:val="40"/>
        </w:rPr>
        <w:t>符合性审查表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color w:val="auto"/>
                <w:sz w:val="28"/>
                <w:szCs w:val="28"/>
              </w:rPr>
            </w:pPr>
            <w:r>
              <w:rPr>
                <w:rFonts w:ascii="宋体" w:hAnsi="宋体" w:eastAsia="宋体" w:cs="宋体"/>
                <w:color w:val="auto"/>
                <w:kern w:val="0"/>
                <w:sz w:val="28"/>
                <w:szCs w:val="28"/>
                <w:lang w:val="en-US"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color w:val="auto"/>
                <w:sz w:val="28"/>
                <w:szCs w:val="28"/>
              </w:rPr>
            </w:pPr>
            <w:r>
              <w:rPr>
                <w:rFonts w:ascii="宋体" w:hAnsi="宋体" w:eastAsia="宋体" w:cs="宋体"/>
                <w:color w:val="auto"/>
                <w:kern w:val="0"/>
                <w:sz w:val="28"/>
                <w:szCs w:val="28"/>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3</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4</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5</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6</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7</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9</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color w:val="auto"/>
                <w:sz w:val="21"/>
                <w:szCs w:val="21"/>
              </w:rPr>
            </w:pPr>
            <w:r>
              <w:rPr>
                <w:rFonts w:ascii="宋体" w:hAnsi="宋体" w:eastAsia="宋体" w:cs="宋体"/>
                <w:color w:val="auto"/>
                <w:kern w:val="0"/>
                <w:sz w:val="21"/>
                <w:szCs w:val="21"/>
                <w:lang w:val="en-US" w:eastAsia="zh-CN" w:bidi="ar"/>
              </w:rPr>
              <w:t>10</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color w:val="auto"/>
                <w:sz w:val="21"/>
                <w:szCs w:val="21"/>
                <w:lang w:val="en-US"/>
              </w:rPr>
            </w:pPr>
            <w:r>
              <w:rPr>
                <w:rFonts w:hint="eastAsia" w:ascii="宋体" w:hAnsi="宋体" w:eastAsia="宋体" w:cs="宋体"/>
                <w:color w:val="auto"/>
                <w:kern w:val="0"/>
                <w:sz w:val="21"/>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color w:val="auto"/>
                <w:sz w:val="21"/>
                <w:szCs w:val="21"/>
              </w:rPr>
            </w:pPr>
            <w:r>
              <w:rPr>
                <w:rFonts w:ascii="宋体" w:hAnsi="宋体" w:eastAsia="宋体" w:cs="宋体"/>
                <w:color w:val="auto"/>
                <w:kern w:val="0"/>
                <w:sz w:val="21"/>
                <w:szCs w:val="21"/>
                <w:lang w:val="en-US" w:eastAsia="zh-CN" w:bidi="ar"/>
              </w:rPr>
              <w:t>法律、法规规定的其他情形。</w:t>
            </w:r>
          </w:p>
        </w:tc>
      </w:tr>
    </w:tbl>
    <w:p>
      <w:pPr>
        <w:pStyle w:val="43"/>
        <w:widowControl/>
        <w:jc w:val="center"/>
        <w:outlineLvl w:val="1"/>
        <w:rPr>
          <w:rFonts w:hint="eastAsia"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评标信息</w:t>
      </w:r>
    </w:p>
    <w:tbl>
      <w:tblPr>
        <w:tblStyle w:val="48"/>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noWrap w:val="0"/>
            <w:vAlign w:val="center"/>
          </w:tcPr>
          <w:p>
            <w:pPr>
              <w:widowControl/>
              <w:jc w:val="left"/>
              <w:rPr>
                <w:b/>
                <w:color w:val="auto"/>
                <w:sz w:val="24"/>
              </w:rPr>
            </w:pPr>
            <w:r>
              <w:rPr>
                <w:rFonts w:ascii="宋体" w:hAnsi="宋体" w:cs="宋体"/>
                <w:b/>
                <w:color w:val="auto"/>
                <w:kern w:val="0"/>
                <w:sz w:val="24"/>
                <w:lang w:bidi="ar"/>
              </w:rPr>
              <w:t>评标方法：综合评分法（新价格分算法）</w:t>
            </w:r>
          </w:p>
        </w:tc>
        <w:tc>
          <w:tcPr>
            <w:tcW w:w="218" w:type="dxa"/>
            <w:noWrap w:val="0"/>
            <w:vAlign w:val="center"/>
          </w:tcPr>
          <w:p>
            <w:pPr>
              <w:jc w:val="right"/>
              <w:rPr>
                <w:rFonts w:hint="eastAsia" w:ascii="宋体"/>
                <w:b/>
                <w:color w:val="auto"/>
                <w:sz w:val="24"/>
              </w:rPr>
            </w:pP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43"/>
              <w:widowControl/>
              <w:spacing w:line="324" w:lineRule="auto"/>
              <w:ind w:firstLine="420"/>
              <w:rPr>
                <w:color w:val="auto"/>
                <w:sz w:val="21"/>
                <w:szCs w:val="21"/>
              </w:rPr>
            </w:pPr>
            <w:r>
              <w:rPr>
                <w:color w:val="auto"/>
                <w:sz w:val="21"/>
                <w:szCs w:val="21"/>
              </w:rPr>
              <w:t xml:space="preserve">综合评分法，是指投标文件满足招标文件全部实质性要求，且按照评审因素的量化指标评审得分最高的投标人为中标候选人的评标方法。 </w:t>
            </w:r>
          </w:p>
          <w:p>
            <w:pPr>
              <w:pStyle w:val="43"/>
              <w:widowControl/>
              <w:ind w:firstLine="420"/>
              <w:rPr>
                <w:color w:val="auto"/>
                <w:sz w:val="21"/>
                <w:szCs w:val="21"/>
              </w:rPr>
            </w:pPr>
            <w:r>
              <w:rPr>
                <w:color w:val="auto"/>
                <w:sz w:val="21"/>
                <w:szCs w:val="21"/>
              </w:rPr>
              <w:t>价格分计算方法：</w:t>
            </w:r>
          </w:p>
          <w:p>
            <w:pPr>
              <w:pStyle w:val="43"/>
              <w:widowControl/>
              <w:spacing w:line="324" w:lineRule="auto"/>
              <w:ind w:left="420"/>
              <w:rPr>
                <w:color w:val="auto"/>
                <w:sz w:val="21"/>
                <w:szCs w:val="21"/>
              </w:rPr>
            </w:pPr>
            <w:r>
              <w:rPr>
                <w:color w:val="auto"/>
                <w:sz w:val="21"/>
                <w:szCs w:val="21"/>
              </w:rPr>
              <w:t xml:space="preserve">采用低价优先法计算，即满足招标文件要求且投标价格最低的投标报价为评标基准价，其价格分为满分。其他投标人的价格分统一按照下列公式计算：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 xml:space="preserve">投标报价得分=(评标基准价／投标报价)×100 </w:t>
            </w:r>
            <w:r>
              <w:rPr>
                <w:color w:val="auto"/>
                <w:sz w:val="21"/>
                <w:szCs w:val="21"/>
              </w:rPr>
              <w:br w:type="textWrapping"/>
            </w:r>
            <w:r>
              <w:rPr>
                <w:color w:val="auto"/>
                <w:sz w:val="21"/>
                <w:szCs w:val="21"/>
              </w:rPr>
              <w:t xml:space="preserve">评标总得分＝F1×A1＋F2×A2＋……＋Fn×An </w:t>
            </w:r>
            <w:r>
              <w:rPr>
                <w:color w:val="auto"/>
                <w:sz w:val="21"/>
                <w:szCs w:val="21"/>
              </w:rPr>
              <w:br w:type="textWrapping"/>
            </w:r>
            <w:r>
              <w:rPr>
                <w:color w:val="auto"/>
                <w:sz w:val="21"/>
                <w:szCs w:val="21"/>
              </w:rPr>
              <w:t xml:space="preserve">F1、F2……Fn分别为各项评审因素的得分； </w:t>
            </w:r>
            <w:r>
              <w:rPr>
                <w:color w:val="auto"/>
                <w:sz w:val="21"/>
                <w:szCs w:val="21"/>
              </w:rPr>
              <w:br w:type="textWrapping"/>
            </w:r>
            <w:r>
              <w:rPr>
                <w:color w:val="auto"/>
                <w:sz w:val="21"/>
                <w:szCs w:val="21"/>
              </w:rPr>
              <w:t xml:space="preserve">A1、A2、……An 分别为各项评审因素所占的权重(A1＋A2＋……＋An＝1)。 </w:t>
            </w:r>
            <w:r>
              <w:rPr>
                <w:color w:val="auto"/>
                <w:sz w:val="21"/>
                <w:szCs w:val="21"/>
              </w:rPr>
              <w:br w:type="textWrapping"/>
            </w:r>
            <w:r>
              <w:rPr>
                <w:color w:val="auto"/>
                <w:sz w:val="21"/>
                <w:szCs w:val="21"/>
              </w:rPr>
              <w:t xml:space="preserve">评标过程中，不得去掉报价中的最高报价和最低报价。 </w:t>
            </w:r>
            <w:r>
              <w:rPr>
                <w:color w:val="auto"/>
                <w:sz w:val="21"/>
                <w:szCs w:val="21"/>
              </w:rPr>
              <w:br w:type="textWrapping"/>
            </w:r>
            <w:r>
              <w:rPr>
                <w:color w:val="auto"/>
                <w:sz w:val="21"/>
                <w:szCs w:val="21"/>
              </w:rPr>
              <w:t xml:space="preserve">此方法适用于货物类、服务类、工程类项目。 </w:t>
            </w:r>
          </w:p>
          <w:p>
            <w:pPr>
              <w:pStyle w:val="43"/>
              <w:widowControl/>
              <w:spacing w:line="324" w:lineRule="auto"/>
              <w:ind w:left="42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评分标准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评分项</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价格分采用低价优先法计算，即满足招标文件要求且投标价格最低的投标报价为评标基准价，其价格分为满分。其他投标人的价格分统一按照下列公式计算：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rPr>
                  </w:pPr>
                  <w:r>
                    <w:rPr>
                      <w:rFonts w:hint="eastAsia" w:ascii="宋体" w:hAnsi="宋体"/>
                      <w:color w:val="auto"/>
                      <w:szCs w:val="21"/>
                    </w:rPr>
                    <w:t>投标报价得分=(评标基准价／投标报价)×100</w:t>
                  </w:r>
                </w:p>
                <w:p>
                  <w:pPr>
                    <w:ind w:firstLine="420" w:firstLineChars="200"/>
                    <w:rPr>
                      <w:rFonts w:ascii="宋体" w:hAnsi="宋体"/>
                      <w:color w:val="auto"/>
                      <w:szCs w:val="21"/>
                    </w:rPr>
                  </w:pPr>
                  <w:r>
                    <w:rPr>
                      <w:rFonts w:hint="eastAsia" w:ascii="宋体" w:hAnsi="宋体"/>
                      <w:color w:val="auto"/>
                      <w:szCs w:val="21"/>
                    </w:rPr>
                    <w:t>评标总得分＝F1×A1＋F2×A2＋……＋Fn×An</w:t>
                  </w:r>
                </w:p>
                <w:p>
                  <w:pPr>
                    <w:ind w:firstLine="420" w:firstLineChars="200"/>
                    <w:rPr>
                      <w:rFonts w:ascii="宋体" w:hAnsi="宋体"/>
                      <w:color w:val="auto"/>
                      <w:szCs w:val="21"/>
                    </w:rPr>
                  </w:pPr>
                  <w:r>
                    <w:rPr>
                      <w:rFonts w:hint="eastAsia" w:ascii="宋体" w:hAnsi="宋体"/>
                      <w:color w:val="auto"/>
                      <w:szCs w:val="21"/>
                    </w:rPr>
                    <w:t>F1、F2……Fn分别为各项评审因素的得分；</w:t>
                  </w:r>
                </w:p>
                <w:p>
                  <w:pPr>
                    <w:spacing w:line="360" w:lineRule="auto"/>
                    <w:ind w:firstLine="420" w:firstLineChars="200"/>
                    <w:rPr>
                      <w:rFonts w:ascii="宋体" w:hAnsi="宋体"/>
                      <w:color w:val="auto"/>
                      <w:szCs w:val="21"/>
                    </w:rPr>
                  </w:pPr>
                  <w:r>
                    <w:rPr>
                      <w:rFonts w:hint="eastAsia" w:ascii="宋体" w:hAnsi="宋体"/>
                      <w:color w:val="auto"/>
                      <w:szCs w:val="21"/>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投标人资质</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20</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ascii="宋体" w:hAnsi="宋体"/>
                      <w:bCs/>
                      <w:color w:val="auto"/>
                      <w:kern w:val="44"/>
                      <w:szCs w:val="21"/>
                    </w:rPr>
                    <w:t>专家</w:t>
                  </w:r>
                  <w:r>
                    <w:rPr>
                      <w:rFonts w:hint="eastAsia" w:ascii="宋体" w:hAnsi="宋体"/>
                      <w:bCs/>
                      <w:color w:val="auto"/>
                      <w:kern w:val="44"/>
                      <w:szCs w:val="21"/>
                      <w:lang w:val="en-US" w:eastAsia="zh-CN"/>
                    </w:rPr>
                    <w:t xml:space="preserve">         </w:t>
                  </w:r>
                  <w:r>
                    <w:rPr>
                      <w:rFonts w:hint="eastAsia" w:ascii="宋体" w:hAnsi="宋体"/>
                      <w:bCs/>
                      <w:color w:val="auto"/>
                      <w:kern w:val="44"/>
                      <w:szCs w:val="21"/>
                    </w:rPr>
                    <w:t>打分</w:t>
                  </w:r>
                </w:p>
              </w:tc>
              <w:tc>
                <w:tcPr>
                  <w:tcW w:w="4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根据投标人是否具有以下资质或服务认证进行评分：</w:t>
                  </w:r>
                </w:p>
                <w:p>
                  <w:pPr>
                    <w:jc w:val="left"/>
                    <w:rPr>
                      <w:rFonts w:hint="eastAsia" w:ascii="宋体" w:hAnsi="宋体"/>
                      <w:color w:val="auto"/>
                      <w:szCs w:val="21"/>
                    </w:rPr>
                  </w:pPr>
                  <w:r>
                    <w:rPr>
                      <w:rFonts w:hint="eastAsia" w:ascii="宋体" w:hAnsi="宋体"/>
                      <w:color w:val="auto"/>
                      <w:szCs w:val="21"/>
                    </w:rPr>
                    <w:t>具备工程造价咨询资质甲级的得20分。</w:t>
                  </w:r>
                </w:p>
                <w:p>
                  <w:pPr>
                    <w:jc w:val="left"/>
                    <w:rPr>
                      <w:rFonts w:hint="eastAsia"/>
                      <w:color w:val="auto"/>
                      <w:szCs w:val="21"/>
                    </w:rPr>
                  </w:pPr>
                  <w:r>
                    <w:rPr>
                      <w:rFonts w:hint="eastAsia" w:ascii="宋体" w:hAnsi="宋体"/>
                      <w:color w:val="auto"/>
                      <w:szCs w:val="21"/>
                    </w:rPr>
                    <w:t>具备工程造价咨询资质乙级的得10分。</w:t>
                  </w:r>
                </w:p>
                <w:p>
                  <w:pPr>
                    <w:jc w:val="left"/>
                    <w:rPr>
                      <w:rFonts w:ascii="宋体" w:hAnsi="宋体"/>
                      <w:bCs/>
                      <w:color w:val="auto"/>
                      <w:kern w:val="44"/>
                      <w:szCs w:val="21"/>
                    </w:rPr>
                  </w:pPr>
                  <w:r>
                    <w:rPr>
                      <w:rFonts w:hint="eastAsia" w:ascii="宋体" w:hAnsi="宋体"/>
                      <w:color w:val="auto"/>
                      <w:szCs w:val="21"/>
                    </w:rPr>
                    <w:t>提供资质证书扫描件，原件备查。未提供或不满足的不得分。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项目经验</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color w:val="auto"/>
                      <w:kern w:val="44"/>
                      <w:szCs w:val="21"/>
                    </w:rPr>
                  </w:pPr>
                  <w:r>
                    <w:rPr>
                      <w:rFonts w:hint="eastAsia" w:ascii="宋体" w:hAnsi="宋体"/>
                      <w:bCs/>
                      <w:color w:val="auto"/>
                      <w:kern w:val="44"/>
                      <w:szCs w:val="21"/>
                    </w:rPr>
                    <w:t>专家</w:t>
                  </w:r>
                  <w:r>
                    <w:rPr>
                      <w:rFonts w:hint="eastAsia" w:ascii="宋体" w:hAnsi="宋体"/>
                      <w:bCs/>
                      <w:color w:val="auto"/>
                      <w:kern w:val="44"/>
                      <w:szCs w:val="21"/>
                      <w:lang w:val="en-US" w:eastAsia="zh-CN"/>
                    </w:rPr>
                    <w:t xml:space="preserve">  </w:t>
                  </w:r>
                  <w:r>
                    <w:rPr>
                      <w:rFonts w:hint="eastAsia" w:ascii="宋体" w:hAnsi="宋体"/>
                      <w:bCs/>
                      <w:color w:val="auto"/>
                      <w:kern w:val="44"/>
                      <w:szCs w:val="21"/>
                    </w:rPr>
                    <w:t>打分</w:t>
                  </w:r>
                </w:p>
              </w:tc>
              <w:tc>
                <w:tcPr>
                  <w:tcW w:w="429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auto"/>
                      <w:szCs w:val="21"/>
                    </w:rPr>
                  </w:pPr>
                  <w:r>
                    <w:rPr>
                      <w:rFonts w:hint="eastAsia" w:ascii="宋体" w:hAnsi="宋体"/>
                      <w:color w:val="auto"/>
                      <w:szCs w:val="21"/>
                    </w:rPr>
                    <w:t>根据为政府部门提供项目审计服务进行班评分：</w:t>
                  </w:r>
                </w:p>
                <w:p>
                  <w:pPr>
                    <w:pStyle w:val="188"/>
                    <w:numPr>
                      <w:ilvl w:val="0"/>
                      <w:numId w:val="7"/>
                    </w:numPr>
                    <w:ind w:firstLineChars="0"/>
                    <w:jc w:val="left"/>
                    <w:rPr>
                      <w:rFonts w:hint="eastAsia" w:ascii="宋体" w:hAnsi="宋体"/>
                      <w:color w:val="auto"/>
                      <w:szCs w:val="21"/>
                    </w:rPr>
                  </w:pPr>
                  <w:r>
                    <w:rPr>
                      <w:rFonts w:hint="eastAsia" w:ascii="宋体" w:hAnsi="宋体"/>
                      <w:color w:val="auto"/>
                      <w:szCs w:val="21"/>
                    </w:rPr>
                    <w:t>在光明区政府部门有项目审计服务经验，得10分；</w:t>
                  </w:r>
                </w:p>
                <w:p>
                  <w:pPr>
                    <w:pStyle w:val="188"/>
                    <w:numPr>
                      <w:ilvl w:val="0"/>
                      <w:numId w:val="7"/>
                    </w:numPr>
                    <w:ind w:firstLineChars="0"/>
                    <w:jc w:val="left"/>
                    <w:rPr>
                      <w:rFonts w:hint="eastAsia" w:ascii="宋体" w:hAnsi="宋体"/>
                      <w:color w:val="auto"/>
                      <w:szCs w:val="21"/>
                    </w:rPr>
                  </w:pPr>
                  <w:r>
                    <w:rPr>
                      <w:rFonts w:hint="eastAsia" w:ascii="宋体" w:hAnsi="宋体"/>
                      <w:color w:val="auto"/>
                      <w:szCs w:val="21"/>
                    </w:rPr>
                    <w:t>深圳市其他区政府部门有项目审计服务经验，得8分；</w:t>
                  </w:r>
                </w:p>
                <w:p>
                  <w:pPr>
                    <w:pStyle w:val="188"/>
                    <w:numPr>
                      <w:ilvl w:val="0"/>
                      <w:numId w:val="7"/>
                    </w:numPr>
                    <w:ind w:firstLineChars="0"/>
                    <w:jc w:val="left"/>
                    <w:rPr>
                      <w:rFonts w:hint="eastAsia" w:ascii="宋体" w:hAnsi="宋体"/>
                      <w:color w:val="auto"/>
                      <w:szCs w:val="21"/>
                    </w:rPr>
                  </w:pPr>
                  <w:r>
                    <w:rPr>
                      <w:rFonts w:hint="eastAsia" w:ascii="宋体" w:hAnsi="宋体"/>
                      <w:color w:val="auto"/>
                      <w:szCs w:val="21"/>
                    </w:rPr>
                    <w:t>在深圳市外的政府部门有项目服务经验的，得6分.</w:t>
                  </w:r>
                </w:p>
                <w:p>
                  <w:pPr>
                    <w:jc w:val="left"/>
                    <w:rPr>
                      <w:rFonts w:hint="eastAsia" w:ascii="宋体" w:hAnsi="宋体"/>
                      <w:color w:val="auto"/>
                      <w:szCs w:val="21"/>
                    </w:rPr>
                  </w:pPr>
                  <w:r>
                    <w:rPr>
                      <w:rFonts w:hint="eastAsia" w:ascii="宋体" w:hAnsi="宋体"/>
                      <w:color w:val="auto"/>
                      <w:szCs w:val="21"/>
                    </w:rPr>
                    <w:t>无政府部门项目审计服务经验的，此项不得分。</w:t>
                  </w:r>
                </w:p>
                <w:p>
                  <w:pPr>
                    <w:jc w:val="left"/>
                    <w:rPr>
                      <w:rFonts w:hint="eastAsia" w:ascii="宋体" w:hAnsi="宋体"/>
                      <w:color w:val="auto"/>
                      <w:szCs w:val="21"/>
                    </w:rPr>
                  </w:pPr>
                  <w:r>
                    <w:rPr>
                      <w:rFonts w:hint="eastAsia" w:ascii="宋体" w:hAnsi="宋体"/>
                      <w:color w:val="auto"/>
                      <w:szCs w:val="21"/>
                    </w:rPr>
                    <w:t>提供合同关键页扫描件，原件备查。未提供或不清晰的不得分。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3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投标文件编制质量和响应程度评价</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szCs w:val="21"/>
                    </w:rPr>
                    <w:t>专家评分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横向比较各投标人投标文件编制的质量，优得5分，良得3分，差得1分。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项目服务方案理方案</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根据投标人提供的项目服务方案响应情况，评审委员会按优劣次序打分，优得10分，良得8分，中得6分，差不得分。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3</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项目组织计划及质量、安全措施</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根据投标人对本项目的项目进度计划安排，完工期、项目过程的管理制度，安全防护措施等进行评比：</w:t>
                  </w:r>
                </w:p>
                <w:p>
                  <w:pPr>
                    <w:spacing w:line="360" w:lineRule="exact"/>
                    <w:rPr>
                      <w:rFonts w:ascii="宋体" w:hAnsi="宋体"/>
                      <w:color w:val="auto"/>
                      <w:szCs w:val="21"/>
                    </w:rPr>
                  </w:pPr>
                  <w:r>
                    <w:rPr>
                      <w:rFonts w:hint="eastAsia" w:ascii="宋体" w:hAnsi="宋体"/>
                      <w:color w:val="auto"/>
                      <w:szCs w:val="21"/>
                    </w:rPr>
                    <w:t>优：投标人对本项目的项目进度计划安排合理，完工期、项目过程的管理制度完善，安全防护措施准备充足，得15分。</w:t>
                  </w:r>
                </w:p>
                <w:p>
                  <w:pPr>
                    <w:spacing w:line="360" w:lineRule="exact"/>
                    <w:rPr>
                      <w:rFonts w:ascii="宋体" w:hAnsi="宋体"/>
                      <w:color w:val="auto"/>
                      <w:szCs w:val="21"/>
                    </w:rPr>
                  </w:pPr>
                  <w:r>
                    <w:rPr>
                      <w:rFonts w:hint="eastAsia" w:ascii="宋体" w:hAnsi="宋体"/>
                      <w:color w:val="auto"/>
                      <w:szCs w:val="21"/>
                    </w:rPr>
                    <w:t>良：投标人对本项目的项目进度计划安排较为合理，完工期、项目过程的管理制度较为完善，安全防护措施较为充足，得10分。</w:t>
                  </w:r>
                </w:p>
                <w:p>
                  <w:pPr>
                    <w:spacing w:line="360" w:lineRule="exact"/>
                    <w:rPr>
                      <w:rFonts w:ascii="宋体" w:hAnsi="宋体"/>
                      <w:color w:val="auto"/>
                      <w:szCs w:val="21"/>
                    </w:rPr>
                  </w:pPr>
                  <w:r>
                    <w:rPr>
                      <w:rFonts w:hint="eastAsia" w:ascii="宋体" w:hAnsi="宋体"/>
                      <w:color w:val="auto"/>
                      <w:szCs w:val="21"/>
                    </w:rPr>
                    <w:t>差：投标人对本项目的项目进度计划安排不合理，完工期、项目过程的管理制度不完善，安全防护措施不充足，得5分。</w:t>
                  </w:r>
                </w:p>
                <w:p>
                  <w:pPr>
                    <w:spacing w:line="360" w:lineRule="exact"/>
                    <w:rPr>
                      <w:rFonts w:ascii="宋体" w:hAnsi="宋体"/>
                      <w:color w:val="auto"/>
                      <w:szCs w:val="21"/>
                    </w:rPr>
                  </w:pPr>
                  <w:r>
                    <w:rPr>
                      <w:rFonts w:hint="eastAsia" w:ascii="宋体" w:hAnsi="宋体"/>
                      <w:color w:val="auto"/>
                      <w:szCs w:val="21"/>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4</w:t>
                  </w:r>
                </w:p>
              </w:tc>
              <w:tc>
                <w:tcPr>
                  <w:tcW w:w="1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拟安排的项目负责人情况（仅限一人）</w:t>
                  </w:r>
                </w:p>
                <w:p>
                  <w:pPr>
                    <w:jc w:val="center"/>
                    <w:rPr>
                      <w:rFonts w:ascii="宋体" w:hAnsi="宋体"/>
                      <w:color w:val="auto"/>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10分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szCs w:val="21"/>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color w:val="auto"/>
                      <w:szCs w:val="21"/>
                    </w:rPr>
                  </w:pPr>
                  <w:r>
                    <w:rPr>
                      <w:rFonts w:hint="eastAsia" w:ascii="宋体" w:hAnsi="宋体"/>
                      <w:color w:val="auto"/>
                      <w:szCs w:val="21"/>
                    </w:rPr>
                    <w:t>拟安排的项目负责人为注册造价工程师的，得10分。</w:t>
                  </w:r>
                </w:p>
                <w:p>
                  <w:pPr>
                    <w:spacing w:line="360" w:lineRule="exact"/>
                    <w:rPr>
                      <w:rFonts w:ascii="宋体" w:hAnsi="宋体"/>
                      <w:color w:val="auto"/>
                      <w:szCs w:val="21"/>
                    </w:rPr>
                  </w:pPr>
                  <w:r>
                    <w:rPr>
                      <w:rFonts w:hint="eastAsia" w:ascii="宋体" w:hAnsi="宋体"/>
                      <w:color w:val="auto"/>
                      <w:szCs w:val="21"/>
                    </w:rPr>
                    <w:t>证明材料：提供证书以及近三个月投标人为其购买的社保证明材料，不满足或未提供有效证明文件的不得分。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rPr>
                  </w:pPr>
                  <w:r>
                    <w:rPr>
                      <w:rFonts w:hint="eastAsia" w:ascii="宋体" w:hAnsi="宋体"/>
                      <w:color w:val="auto"/>
                      <w:szCs w:val="21"/>
                    </w:rPr>
                    <w:t>5</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管理制度</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color w:val="auto"/>
                      <w:szCs w:val="21"/>
                    </w:rPr>
                    <w:t>10分</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Cs w:val="21"/>
                    </w:rPr>
                  </w:pPr>
                  <w:r>
                    <w:rPr>
                      <w:rFonts w:hint="eastAsia" w:ascii="宋体" w:hAnsi="宋体"/>
                      <w:color w:val="auto"/>
                      <w:szCs w:val="21"/>
                    </w:rPr>
                    <w:t>评审标准</w:t>
                  </w:r>
                </w:p>
                <w:p>
                  <w:pPr>
                    <w:spacing w:line="360" w:lineRule="exact"/>
                    <w:rPr>
                      <w:rFonts w:hint="eastAsia" w:ascii="宋体" w:hAnsi="宋体"/>
                      <w:color w:val="auto"/>
                      <w:szCs w:val="21"/>
                    </w:rPr>
                  </w:pPr>
                  <w:r>
                    <w:rPr>
                      <w:rFonts w:hint="eastAsia" w:ascii="宋体" w:hAnsi="宋体"/>
                      <w:color w:val="auto"/>
                      <w:szCs w:val="21"/>
                    </w:rPr>
                    <w:t>根据投标人提供的管理制度横向比较</w:t>
                  </w:r>
                </w:p>
                <w:p>
                  <w:pPr>
                    <w:spacing w:line="360" w:lineRule="exact"/>
                    <w:rPr>
                      <w:rFonts w:hint="eastAsia" w:ascii="宋体" w:hAnsi="宋体"/>
                      <w:color w:val="auto"/>
                      <w:szCs w:val="21"/>
                    </w:rPr>
                  </w:pPr>
                  <w:r>
                    <w:rPr>
                      <w:rFonts w:hint="eastAsia" w:ascii="宋体" w:hAnsi="宋体"/>
                      <w:color w:val="auto"/>
                      <w:szCs w:val="21"/>
                    </w:rPr>
                    <w:t>，评审委员会按优劣次序打分，优得10分，良得8分，中得5分，差不得分。</w:t>
                  </w:r>
                </w:p>
              </w:tc>
            </w:tr>
          </w:tbl>
          <w:p>
            <w:pPr>
              <w:pStyle w:val="43"/>
              <w:widowControl/>
              <w:spacing w:line="324" w:lineRule="auto"/>
              <w:ind w:left="420"/>
              <w:rPr>
                <w:rFonts w:hint="eastAsia" w:asciiTheme="minorEastAsia" w:hAnsiTheme="minorEastAsia" w:eastAsiaTheme="minorEastAsia"/>
                <w:color w:val="auto"/>
                <w:sz w:val="24"/>
              </w:rPr>
            </w:pPr>
          </w:p>
        </w:tc>
      </w:tr>
    </w:tbl>
    <w:p>
      <w:pPr>
        <w:rPr>
          <w:vanish/>
          <w:color w:val="auto"/>
          <w:sz w:val="24"/>
        </w:rPr>
      </w:pPr>
    </w:p>
    <w:p>
      <w:pPr>
        <w:spacing w:line="360" w:lineRule="auto"/>
        <w:rPr>
          <w:rFonts w:hint="eastAsia" w:ascii="宋体" w:hAnsi="宋体"/>
          <w:color w:val="auto"/>
          <w:szCs w:val="21"/>
        </w:rPr>
      </w:pPr>
      <w:r>
        <w:rPr>
          <w:rFonts w:hint="eastAsia" w:ascii="宋体" w:hAnsi="宋体"/>
          <w:color w:val="auto"/>
          <w:szCs w:val="21"/>
        </w:rPr>
        <w:t>注：</w:t>
      </w:r>
    </w:p>
    <w:p>
      <w:pPr>
        <w:spacing w:line="360" w:lineRule="auto"/>
        <w:ind w:firstLine="420" w:firstLineChars="200"/>
        <w:rPr>
          <w:rFonts w:hint="eastAsia" w:ascii="宋体" w:hAnsi="宋体"/>
          <w:color w:val="auto"/>
          <w:szCs w:val="21"/>
        </w:rPr>
      </w:pPr>
      <w:r>
        <w:rPr>
          <w:rFonts w:hint="eastAsia" w:ascii="宋体" w:hAnsi="宋体"/>
          <w:color w:val="auto"/>
          <w:szCs w:val="21"/>
        </w:rPr>
        <w:t>1. 每一项的得分均不能超过该项最高分值。</w:t>
      </w:r>
    </w:p>
    <w:p>
      <w:pPr>
        <w:spacing w:line="360" w:lineRule="auto"/>
        <w:ind w:firstLine="420" w:firstLineChars="200"/>
        <w:rPr>
          <w:rFonts w:hint="eastAsia" w:ascii="宋体" w:hAnsi="宋体"/>
          <w:color w:val="auto"/>
          <w:szCs w:val="21"/>
        </w:rPr>
      </w:pPr>
      <w:r>
        <w:rPr>
          <w:rFonts w:hint="eastAsia" w:ascii="宋体" w:hAnsi="宋体"/>
          <w:color w:val="auto"/>
          <w:szCs w:val="21"/>
        </w:rPr>
        <w:t>2. 缺项则该项为0分或不合格为0分。</w:t>
      </w:r>
    </w:p>
    <w:p>
      <w:pPr>
        <w:spacing w:line="360" w:lineRule="auto"/>
        <w:ind w:firstLine="420" w:firstLineChars="200"/>
        <w:rPr>
          <w:rFonts w:hint="eastAsia" w:ascii="宋体" w:hAnsi="宋体"/>
          <w:color w:val="auto"/>
          <w:szCs w:val="21"/>
        </w:rPr>
      </w:pPr>
      <w:r>
        <w:rPr>
          <w:rFonts w:hint="eastAsia" w:ascii="宋体" w:hAnsi="宋体"/>
          <w:color w:val="auto"/>
          <w:szCs w:val="21"/>
        </w:rPr>
        <w:t>3. 价格、技术、商务部分为针对项目具体情况设置项目，累加满分为100分。</w:t>
      </w:r>
    </w:p>
    <w:p>
      <w:pPr>
        <w:spacing w:line="360" w:lineRule="auto"/>
        <w:ind w:firstLine="420" w:firstLineChars="200"/>
        <w:rPr>
          <w:rFonts w:hint="eastAsia" w:ascii="宋体" w:hAnsi="宋体" w:cs="Arial"/>
          <w:snapToGrid w:val="0"/>
          <w:color w:val="auto"/>
          <w:kern w:val="0"/>
          <w:szCs w:val="21"/>
        </w:rPr>
      </w:pPr>
      <w:r>
        <w:rPr>
          <w:rFonts w:hint="eastAsia" w:ascii="宋体" w:hAnsi="宋体"/>
          <w:color w:val="auto"/>
          <w:szCs w:val="21"/>
        </w:rPr>
        <w:t>4. 综合以上</w:t>
      </w:r>
      <w:r>
        <w:rPr>
          <w:rFonts w:hint="eastAsia" w:ascii="宋体" w:hAnsi="宋体"/>
          <w:snapToGrid w:val="0"/>
          <w:color w:val="auto"/>
          <w:kern w:val="0"/>
          <w:szCs w:val="21"/>
        </w:rPr>
        <w:t>分析比较，评委会将对各投标文件进行书面的量化评定，得分</w:t>
      </w:r>
      <w:r>
        <w:rPr>
          <w:rFonts w:hint="eastAsia" w:ascii="宋体" w:hAnsi="宋体" w:cs="Arial"/>
          <w:snapToGrid w:val="0"/>
          <w:color w:val="auto"/>
          <w:kern w:val="0"/>
          <w:szCs w:val="21"/>
        </w:rPr>
        <w:t>精确到小数点后一位。</w:t>
      </w:r>
    </w:p>
    <w:p>
      <w:pPr>
        <w:pStyle w:val="43"/>
        <w:widowControl/>
        <w:jc w:val="center"/>
        <w:outlineLvl w:val="1"/>
        <w:rPr>
          <w:rFonts w:hint="eastAsia"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投标书目录</w:t>
      </w:r>
    </w:p>
    <w:tbl>
      <w:tblPr>
        <w:tblStyle w:val="48"/>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noWrap w:val="0"/>
            <w:vAlign w:val="center"/>
          </w:tcPr>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法定代表人证明书</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授权委托书</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投标函</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履约承诺函</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诚信承诺函</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项目费用支出清单</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供应商情况介绍</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rFonts w:hint="eastAsia"/>
                <w:color w:val="auto"/>
                <w:sz w:val="21"/>
                <w:szCs w:val="21"/>
                <w:lang w:val="en-US" w:eastAsia="zh-CN"/>
              </w:rPr>
              <w:t>技术保障</w:t>
            </w:r>
          </w:p>
          <w:p>
            <w:pPr>
              <w:keepNext w:val="0"/>
              <w:keepLines w:val="0"/>
              <w:widowControl/>
              <w:numPr>
                <w:ilvl w:val="0"/>
                <w:numId w:val="8"/>
              </w:numPr>
              <w:suppressLineNumbers w:val="0"/>
              <w:spacing w:before="100" w:beforeAutospacing="1" w:after="100" w:afterAutospacing="1" w:line="23" w:lineRule="atLeast"/>
              <w:ind w:left="720" w:hanging="360"/>
              <w:rPr>
                <w:color w:val="auto"/>
              </w:rPr>
            </w:pPr>
            <w:r>
              <w:rPr>
                <w:color w:val="auto"/>
                <w:sz w:val="21"/>
                <w:szCs w:val="21"/>
              </w:rPr>
              <w:t>投标人认为需要加以说明的其他内容（格式自定）</w:t>
            </w:r>
          </w:p>
        </w:tc>
      </w:tr>
    </w:tbl>
    <w:p>
      <w:pPr>
        <w:autoSpaceDE w:val="0"/>
        <w:autoSpaceDN w:val="0"/>
        <w:adjustRightInd w:val="0"/>
        <w:jc w:val="center"/>
        <w:rPr>
          <w:rFonts w:ascii="宋体" w:cs="宋体"/>
          <w:color w:val="auto"/>
          <w:kern w:val="0"/>
          <w:sz w:val="120"/>
          <w:szCs w:val="120"/>
        </w:rPr>
      </w:pPr>
      <w:r>
        <w:rPr>
          <w:rFonts w:hint="eastAsia" w:ascii="宋体" w:cs="宋体"/>
          <w:color w:val="auto"/>
          <w:kern w:val="0"/>
          <w:sz w:val="120"/>
          <w:szCs w:val="120"/>
        </w:rPr>
        <w:br w:type="page"/>
      </w:r>
      <w:r>
        <w:rPr>
          <w:rFonts w:hint="eastAsia" w:ascii="宋体" w:cs="宋体"/>
          <w:color w:val="auto"/>
          <w:kern w:val="0"/>
          <w:sz w:val="120"/>
          <w:szCs w:val="120"/>
        </w:rPr>
        <w:t>政府采购文件</w:t>
      </w:r>
    </w:p>
    <w:p>
      <w:pPr>
        <w:autoSpaceDE w:val="0"/>
        <w:autoSpaceDN w:val="0"/>
        <w:adjustRightInd w:val="0"/>
        <w:jc w:val="center"/>
        <w:rPr>
          <w:rFonts w:ascii="宋体" w:cs="宋体"/>
          <w:color w:val="auto"/>
          <w:kern w:val="0"/>
          <w:sz w:val="52"/>
          <w:szCs w:val="52"/>
        </w:rPr>
      </w:pPr>
      <w:r>
        <w:rPr>
          <w:rFonts w:hint="eastAsia" w:ascii="宋体" w:cs="宋体"/>
          <w:color w:val="auto"/>
          <w:kern w:val="0"/>
          <w:sz w:val="52"/>
          <w:szCs w:val="52"/>
        </w:rPr>
        <w:t>（</w:t>
      </w:r>
      <w:r>
        <w:rPr>
          <w:rFonts w:hint="eastAsia" w:ascii="宋体" w:cs="宋体"/>
          <w:color w:val="auto"/>
          <w:kern w:val="0"/>
          <w:sz w:val="52"/>
          <w:szCs w:val="52"/>
          <w:lang w:val="en-US" w:eastAsia="zh-CN"/>
        </w:rPr>
        <w:t>服务</w:t>
      </w:r>
      <w:r>
        <w:rPr>
          <w:rFonts w:hint="eastAsia" w:ascii="宋体" w:cs="宋体"/>
          <w:color w:val="auto"/>
          <w:kern w:val="0"/>
          <w:sz w:val="52"/>
          <w:szCs w:val="52"/>
        </w:rPr>
        <w:t>类）</w:t>
      </w: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left"/>
        <w:rPr>
          <w:rFonts w:hint="eastAsia" w:ascii="宋体" w:cs="宋体"/>
          <w:color w:val="auto"/>
          <w:kern w:val="0"/>
          <w:sz w:val="44"/>
          <w:szCs w:val="44"/>
        </w:rPr>
      </w:pPr>
    </w:p>
    <w:p>
      <w:pPr>
        <w:autoSpaceDE w:val="0"/>
        <w:autoSpaceDN w:val="0"/>
        <w:adjustRightInd w:val="0"/>
        <w:jc w:val="center"/>
        <w:rPr>
          <w:rFonts w:ascii="宋体" w:cs="宋体"/>
          <w:color w:val="auto"/>
          <w:kern w:val="0"/>
          <w:sz w:val="44"/>
          <w:szCs w:val="44"/>
        </w:rPr>
      </w:pPr>
      <w:r>
        <w:rPr>
          <w:rFonts w:hint="eastAsia" w:ascii="宋体" w:cs="宋体"/>
          <w:color w:val="auto"/>
          <w:kern w:val="0"/>
          <w:sz w:val="44"/>
          <w:szCs w:val="44"/>
        </w:rPr>
        <w:t>中国·深圳</w:t>
      </w:r>
      <w:r>
        <w:rPr>
          <w:rFonts w:ascii="宋体" w:cs="宋体"/>
          <w:color w:val="auto"/>
          <w:kern w:val="0"/>
          <w:sz w:val="44"/>
          <w:szCs w:val="44"/>
        </w:rPr>
        <w:t xml:space="preserve"> </w:t>
      </w:r>
      <w:r>
        <w:rPr>
          <w:rFonts w:hint="eastAsia" w:ascii="宋体" w:cs="宋体"/>
          <w:color w:val="auto"/>
          <w:kern w:val="0"/>
          <w:sz w:val="44"/>
          <w:szCs w:val="44"/>
        </w:rPr>
        <w:t>·光明</w:t>
      </w:r>
    </w:p>
    <w:p>
      <w:pPr>
        <w:pStyle w:val="3"/>
        <w:rPr>
          <w:rFonts w:hint="eastAsia" w:ascii="宋体" w:cs="宋体"/>
          <w:color w:val="auto"/>
          <w:sz w:val="28"/>
        </w:rPr>
      </w:pPr>
      <w:r>
        <w:rPr>
          <w:rFonts w:hint="eastAsia" w:ascii="宋体" w:cs="宋体"/>
          <w:color w:val="auto"/>
          <w:sz w:val="28"/>
        </w:rPr>
        <w:t>（</w:t>
      </w:r>
      <w:r>
        <w:rPr>
          <w:rFonts w:ascii="Times New Roman"/>
          <w:color w:val="auto"/>
          <w:sz w:val="28"/>
        </w:rPr>
        <w:t>20</w:t>
      </w:r>
      <w:r>
        <w:rPr>
          <w:rFonts w:hint="eastAsia" w:ascii="Times New Roman"/>
          <w:color w:val="auto"/>
          <w:sz w:val="28"/>
          <w:lang w:val="en-US" w:eastAsia="zh-CN"/>
        </w:rPr>
        <w:t>20</w:t>
      </w:r>
      <w:r>
        <w:rPr>
          <w:rFonts w:hint="eastAsia" w:ascii="宋体" w:cs="宋体"/>
          <w:color w:val="auto"/>
          <w:sz w:val="28"/>
        </w:rPr>
        <w:t>）</w:t>
      </w:r>
    </w:p>
    <w:p>
      <w:pPr>
        <w:pStyle w:val="3"/>
        <w:rPr>
          <w:color w:val="auto"/>
        </w:rPr>
      </w:pPr>
      <w:r>
        <w:rPr>
          <w:rFonts w:hint="eastAsia" w:ascii="宋体" w:cs="宋体"/>
          <w:color w:val="auto"/>
          <w:sz w:val="28"/>
        </w:rPr>
        <w:br w:type="page"/>
      </w:r>
      <w:r>
        <w:rPr>
          <w:rFonts w:hint="eastAsia"/>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hint="eastAsia" w:ascii="黑体" w:hAnsi="黑体" w:eastAsia="黑体"/>
          <w:color w:val="auto"/>
          <w:sz w:val="40"/>
          <w:szCs w:val="40"/>
        </w:rPr>
      </w:pPr>
    </w:p>
    <w:p>
      <w:pPr>
        <w:rPr>
          <w:rFonts w:hint="eastAsia" w:ascii="黑体" w:hAnsi="黑体" w:eastAsia="黑体"/>
          <w:color w:val="auto"/>
          <w:sz w:val="40"/>
          <w:szCs w:val="40"/>
        </w:rPr>
      </w:pPr>
    </w:p>
    <w:p>
      <w:pPr>
        <w:rPr>
          <w:rFonts w:hint="eastAsia" w:ascii="黑体" w:hAnsi="黑体" w:eastAsia="黑体"/>
          <w:color w:val="auto"/>
          <w:sz w:val="40"/>
          <w:szCs w:val="40"/>
        </w:rPr>
      </w:pPr>
    </w:p>
    <w:p>
      <w:pPr>
        <w:rPr>
          <w:rFonts w:hint="eastAsia" w:ascii="黑体" w:hAnsi="黑体" w:eastAsia="黑体"/>
          <w:color w:val="auto"/>
          <w:sz w:val="40"/>
          <w:szCs w:val="40"/>
        </w:rPr>
      </w:pPr>
    </w:p>
    <w:p>
      <w:pPr>
        <w:pStyle w:val="3"/>
        <w:rPr>
          <w:rFonts w:hint="eastAsia"/>
          <w:color w:val="auto"/>
        </w:rPr>
      </w:pPr>
      <w:r>
        <w:rPr>
          <w:rFonts w:hint="eastAsia"/>
          <w:color w:val="auto"/>
        </w:rPr>
        <w:t>目   录</w:t>
      </w:r>
    </w:p>
    <w:p>
      <w:pPr>
        <w:jc w:val="left"/>
        <w:rPr>
          <w:b/>
          <w:color w:val="auto"/>
          <w:sz w:val="24"/>
        </w:rPr>
      </w:pPr>
      <w:bookmarkStart w:id="9" w:name="bt投标人须知"/>
      <w:bookmarkEnd w:id="9"/>
      <w:bookmarkStart w:id="10" w:name="bt说明"/>
      <w:bookmarkEnd w:id="10"/>
      <w:r>
        <w:rPr>
          <w:rFonts w:hint="eastAsia"/>
          <w:color w:val="auto"/>
          <w:sz w:val="24"/>
        </w:rPr>
        <w:t>招标文件信息</w:t>
      </w:r>
    </w:p>
    <w:p>
      <w:pPr>
        <w:jc w:val="left"/>
        <w:rPr>
          <w:b/>
          <w:color w:val="auto"/>
          <w:sz w:val="24"/>
        </w:rPr>
      </w:pPr>
      <w:r>
        <w:rPr>
          <w:rFonts w:hint="eastAsia"/>
          <w:b/>
          <w:color w:val="auto"/>
          <w:sz w:val="24"/>
        </w:rPr>
        <w:t xml:space="preserve"> 第一册 专用条款</w:t>
      </w:r>
    </w:p>
    <w:p>
      <w:pPr>
        <w:ind w:firstLine="120" w:firstLineChars="50"/>
        <w:jc w:val="left"/>
        <w:rPr>
          <w:color w:val="auto"/>
          <w:sz w:val="24"/>
        </w:rPr>
      </w:pPr>
      <w:r>
        <w:rPr>
          <w:rFonts w:hint="eastAsia"/>
          <w:color w:val="auto"/>
          <w:sz w:val="24"/>
        </w:rPr>
        <w:t>第一章 招标公告</w:t>
      </w:r>
    </w:p>
    <w:p>
      <w:pPr>
        <w:ind w:firstLine="120" w:firstLineChars="50"/>
        <w:jc w:val="left"/>
        <w:rPr>
          <w:color w:val="auto"/>
          <w:sz w:val="24"/>
        </w:rPr>
      </w:pPr>
      <w:r>
        <w:rPr>
          <w:rFonts w:hint="eastAsia"/>
          <w:color w:val="auto"/>
          <w:sz w:val="24"/>
        </w:rPr>
        <w:t>第二章 用户需求书</w:t>
      </w:r>
    </w:p>
    <w:p>
      <w:pPr>
        <w:ind w:firstLine="120" w:firstLineChars="50"/>
        <w:jc w:val="left"/>
        <w:rPr>
          <w:color w:val="auto"/>
          <w:sz w:val="24"/>
        </w:rPr>
      </w:pPr>
      <w:r>
        <w:rPr>
          <w:rFonts w:hint="eastAsia"/>
          <w:color w:val="auto"/>
          <w:sz w:val="24"/>
        </w:rPr>
        <w:t>第三章 投标文件的格式、附件</w:t>
      </w:r>
    </w:p>
    <w:p>
      <w:pPr>
        <w:ind w:firstLine="120" w:firstLineChars="50"/>
        <w:jc w:val="left"/>
        <w:rPr>
          <w:color w:val="auto"/>
          <w:sz w:val="24"/>
        </w:rPr>
      </w:pPr>
      <w:r>
        <w:rPr>
          <w:rFonts w:hint="eastAsia"/>
          <w:color w:val="auto"/>
          <w:sz w:val="24"/>
        </w:rPr>
        <w:t>第四章 政府采购合同的签订、履约及验收</w:t>
      </w:r>
    </w:p>
    <w:p>
      <w:pPr>
        <w:jc w:val="left"/>
        <w:rPr>
          <w:b/>
          <w:color w:val="auto"/>
          <w:sz w:val="24"/>
        </w:rPr>
      </w:pPr>
      <w:r>
        <w:rPr>
          <w:rFonts w:hint="eastAsia"/>
          <w:b/>
          <w:color w:val="auto"/>
          <w:sz w:val="24"/>
        </w:rPr>
        <w:t xml:space="preserve"> 第二册 通用条款</w:t>
      </w:r>
    </w:p>
    <w:p>
      <w:pPr>
        <w:ind w:firstLine="120" w:firstLineChars="50"/>
        <w:jc w:val="left"/>
        <w:rPr>
          <w:color w:val="auto"/>
          <w:sz w:val="24"/>
        </w:rPr>
      </w:pPr>
      <w:r>
        <w:rPr>
          <w:rFonts w:hint="eastAsia"/>
          <w:color w:val="auto"/>
          <w:sz w:val="24"/>
        </w:rPr>
        <w:t>第一章 总则</w:t>
      </w:r>
    </w:p>
    <w:p>
      <w:pPr>
        <w:ind w:firstLine="120" w:firstLineChars="50"/>
        <w:jc w:val="left"/>
        <w:rPr>
          <w:color w:val="auto"/>
          <w:sz w:val="24"/>
        </w:rPr>
      </w:pPr>
      <w:r>
        <w:rPr>
          <w:rFonts w:hint="eastAsia"/>
          <w:color w:val="auto"/>
          <w:sz w:val="24"/>
        </w:rPr>
        <w:t>第二章 招标文件</w:t>
      </w:r>
    </w:p>
    <w:p>
      <w:pPr>
        <w:ind w:firstLine="120" w:firstLineChars="50"/>
        <w:jc w:val="left"/>
        <w:rPr>
          <w:color w:val="auto"/>
          <w:sz w:val="24"/>
        </w:rPr>
      </w:pPr>
      <w:r>
        <w:rPr>
          <w:rFonts w:hint="eastAsia"/>
          <w:color w:val="auto"/>
          <w:sz w:val="24"/>
        </w:rPr>
        <w:t>第三章 投标文件的编制</w:t>
      </w:r>
    </w:p>
    <w:p>
      <w:pPr>
        <w:ind w:firstLine="120" w:firstLineChars="50"/>
        <w:jc w:val="left"/>
        <w:rPr>
          <w:color w:val="auto"/>
          <w:sz w:val="24"/>
        </w:rPr>
      </w:pPr>
      <w:r>
        <w:rPr>
          <w:rFonts w:hint="eastAsia"/>
          <w:color w:val="auto"/>
          <w:sz w:val="24"/>
        </w:rPr>
        <w:t>第四章 投标文件的递交</w:t>
      </w:r>
    </w:p>
    <w:p>
      <w:pPr>
        <w:ind w:firstLine="120" w:firstLineChars="50"/>
        <w:jc w:val="left"/>
        <w:rPr>
          <w:color w:val="auto"/>
          <w:sz w:val="24"/>
        </w:rPr>
      </w:pPr>
      <w:r>
        <w:rPr>
          <w:rFonts w:hint="eastAsia"/>
          <w:color w:val="auto"/>
          <w:sz w:val="24"/>
        </w:rPr>
        <w:t>第五章 开标与评标</w:t>
      </w:r>
    </w:p>
    <w:p>
      <w:pPr>
        <w:ind w:firstLine="120" w:firstLineChars="50"/>
        <w:jc w:val="left"/>
        <w:rPr>
          <w:color w:val="auto"/>
          <w:sz w:val="24"/>
        </w:rPr>
      </w:pPr>
      <w:r>
        <w:rPr>
          <w:rFonts w:hint="eastAsia"/>
          <w:color w:val="auto"/>
          <w:sz w:val="24"/>
        </w:rPr>
        <w:t>第六章 定标及公示</w:t>
      </w:r>
    </w:p>
    <w:p>
      <w:pPr>
        <w:ind w:firstLine="120" w:firstLineChars="50"/>
        <w:jc w:val="left"/>
        <w:rPr>
          <w:color w:val="auto"/>
          <w:sz w:val="24"/>
        </w:rPr>
      </w:pPr>
      <w:r>
        <w:rPr>
          <w:rFonts w:hint="eastAsia"/>
          <w:color w:val="auto"/>
          <w:sz w:val="24"/>
        </w:rPr>
        <w:t>第七章 公开招标失败的后续处理</w:t>
      </w:r>
    </w:p>
    <w:p>
      <w:pPr>
        <w:ind w:firstLine="120" w:firstLineChars="50"/>
        <w:jc w:val="left"/>
        <w:rPr>
          <w:color w:val="auto"/>
          <w:sz w:val="24"/>
        </w:rPr>
      </w:pPr>
      <w:r>
        <w:rPr>
          <w:rFonts w:hint="eastAsia"/>
          <w:color w:val="auto"/>
          <w:sz w:val="24"/>
        </w:rPr>
        <w:t>第八章 授予合同</w:t>
      </w:r>
    </w:p>
    <w:p>
      <w:pPr>
        <w:ind w:firstLine="120" w:firstLineChars="50"/>
        <w:jc w:val="left"/>
        <w:rPr>
          <w:color w:val="auto"/>
          <w:sz w:val="24"/>
        </w:rPr>
      </w:pPr>
      <w:r>
        <w:rPr>
          <w:rFonts w:hint="eastAsia"/>
          <w:color w:val="auto"/>
          <w:sz w:val="24"/>
        </w:rPr>
        <w:t>第九章 质疑处理</w:t>
      </w:r>
    </w:p>
    <w:p>
      <w:pPr>
        <w:ind w:firstLine="240" w:firstLineChars="100"/>
        <w:rPr>
          <w:color w:val="auto"/>
          <w:sz w:val="24"/>
        </w:rPr>
      </w:pPr>
    </w:p>
    <w:p>
      <w:pPr>
        <w:rPr>
          <w:rFonts w:hint="eastAsia"/>
          <w:color w:val="auto"/>
          <w:sz w:val="24"/>
        </w:rPr>
      </w:pPr>
      <w:r>
        <w:rPr>
          <w:rFonts w:hint="eastAsia" w:ascii="宋体" w:hAnsi="宋体"/>
          <w:b/>
          <w:color w:val="auto"/>
          <w:szCs w:val="21"/>
        </w:rPr>
        <w:t>备注：专用条款与通用条款内容有冲突的，以专用条款为准</w:t>
      </w:r>
    </w:p>
    <w:p>
      <w:pPr>
        <w:rPr>
          <w:rFonts w:hint="eastAsia"/>
          <w:color w:val="auto"/>
          <w:sz w:val="24"/>
        </w:rPr>
      </w:pPr>
    </w:p>
    <w:p>
      <w:pPr>
        <w:rPr>
          <w:rFonts w:ascii="Verdana" w:hAnsi="Verdana" w:eastAsia="仿宋_GB2312"/>
          <w:color w:val="auto"/>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6"/>
        <w:keepNext/>
        <w:keepLines/>
        <w:tabs>
          <w:tab w:val="left" w:pos="720"/>
        </w:tabs>
        <w:spacing w:before="156" w:beforeLines="50" w:after="156" w:afterLines="50"/>
        <w:ind w:left="720" w:firstLine="3373" w:firstLineChars="1200"/>
        <w:jc w:val="both"/>
        <w:rPr>
          <w:rFonts w:hint="eastAsia" w:ascii="黑体" w:hAnsi="黑体" w:eastAsia="黑体"/>
          <w:b/>
          <w:color w:val="auto"/>
          <w:sz w:val="28"/>
          <w:szCs w:val="28"/>
        </w:rPr>
      </w:pPr>
      <w:r>
        <w:rPr>
          <w:rFonts w:hint="eastAsia" w:ascii="黑体" w:hAnsi="黑体" w:eastAsia="黑体"/>
          <w:b/>
          <w:color w:val="auto"/>
          <w:sz w:val="28"/>
          <w:szCs w:val="28"/>
        </w:rPr>
        <w:t>第一册  专用条款</w:t>
      </w:r>
    </w:p>
    <w:p>
      <w:pPr>
        <w:pStyle w:val="6"/>
        <w:keepNext/>
        <w:keepLines/>
        <w:spacing w:before="260" w:after="260"/>
        <w:rPr>
          <w:rFonts w:hint="eastAsia" w:ascii="宋体" w:hAnsi="宋体"/>
          <w:color w:val="auto"/>
          <w:szCs w:val="21"/>
        </w:rPr>
      </w:pPr>
      <w:r>
        <w:rPr>
          <w:rFonts w:hint="eastAsia" w:ascii="宋体" w:hAnsi="宋体"/>
          <w:b/>
          <w:color w:val="auto"/>
        </w:rPr>
        <w:t xml:space="preserve"> 招标公告</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shd w:val="clear" w:color="auto" w:fill="auto"/>
        </w:rPr>
        <w:t>光明区教育局</w:t>
      </w:r>
      <w:r>
        <w:rPr>
          <w:rFonts w:hint="eastAsia" w:ascii="宋体" w:hAnsi="宋体" w:eastAsia="宋体" w:cs="宋体"/>
          <w:color w:val="auto"/>
          <w:kern w:val="0"/>
          <w:sz w:val="21"/>
          <w:szCs w:val="21"/>
          <w:shd w:val="clear" w:color="auto" w:fill="auto"/>
          <w:lang w:val="en-US" w:eastAsia="zh-CN"/>
        </w:rPr>
        <w:t>关于购买科裕新村幼儿园装修全过程造价咨询进行公开招标采购</w:t>
      </w:r>
      <w:r>
        <w:rPr>
          <w:rFonts w:hint="eastAsia" w:ascii="宋体" w:hAnsi="宋体" w:eastAsia="宋体" w:cs="宋体"/>
          <w:color w:val="auto"/>
          <w:kern w:val="0"/>
          <w:sz w:val="21"/>
          <w:szCs w:val="21"/>
        </w:rPr>
        <w:t>，欢迎符合资格条件的供应商投标。</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lang w:val="en-US" w:eastAsia="zh-CN"/>
        </w:rPr>
      </w:pPr>
      <w:r>
        <w:rPr>
          <w:rFonts w:hint="eastAsia" w:ascii="宋体" w:hAnsi="宋体" w:eastAsia="宋体" w:cs="宋体"/>
          <w:b/>
          <w:color w:val="auto"/>
          <w:kern w:val="0"/>
          <w:sz w:val="21"/>
          <w:szCs w:val="21"/>
        </w:rPr>
        <w:t>一、采购项目名称：</w:t>
      </w:r>
      <w:r>
        <w:rPr>
          <w:rFonts w:hint="eastAsia" w:ascii="宋体" w:hAnsi="宋体" w:eastAsia="宋体" w:cs="宋体"/>
          <w:b/>
          <w:color w:val="auto"/>
          <w:kern w:val="0"/>
          <w:sz w:val="21"/>
          <w:szCs w:val="21"/>
          <w:lang w:val="en-US" w:eastAsia="zh-CN"/>
        </w:rPr>
        <w:t>科裕新村幼儿园装修全过程造价咨询</w:t>
      </w:r>
      <w:r>
        <w:rPr>
          <w:rFonts w:hint="eastAsia" w:ascii="宋体" w:hAnsi="宋体" w:cs="宋体"/>
          <w:b/>
          <w:color w:val="auto"/>
          <w:kern w:val="0"/>
          <w:sz w:val="21"/>
          <w:szCs w:val="21"/>
          <w:lang w:val="en-US" w:eastAsia="zh-CN"/>
        </w:rPr>
        <w:t>服务</w:t>
      </w:r>
      <w:r>
        <w:rPr>
          <w:rFonts w:hint="eastAsia" w:ascii="宋体" w:hAnsi="宋体" w:eastAsia="宋体" w:cs="宋体"/>
          <w:b/>
          <w:color w:val="auto"/>
          <w:kern w:val="0"/>
          <w:sz w:val="21"/>
          <w:szCs w:val="21"/>
          <w:lang w:val="en-US" w:eastAsia="zh-CN"/>
        </w:rPr>
        <w:t>的招标公告</w:t>
      </w:r>
    </w:p>
    <w:p>
      <w:pPr>
        <w:widowControl/>
        <w:shd w:val="clear" w:color="auto" w:fill="FFFFFF"/>
        <w:snapToGrid w:val="0"/>
        <w:spacing w:line="360" w:lineRule="auto"/>
        <w:ind w:firstLine="48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二、采购项目内容及需求: </w:t>
      </w:r>
    </w:p>
    <w:p>
      <w:pPr>
        <w:spacing w:line="360" w:lineRule="auto"/>
        <w:ind w:firstLine="420" w:firstLineChars="200"/>
        <w:rPr>
          <w:rFonts w:hint="eastAsia" w:hAnsi="宋体"/>
          <w:color w:val="auto"/>
          <w:sz w:val="21"/>
          <w:szCs w:val="21"/>
        </w:rPr>
      </w:pPr>
      <w:r>
        <w:rPr>
          <w:rFonts w:hint="eastAsia" w:hAnsi="宋体"/>
          <w:color w:val="auto"/>
          <w:sz w:val="21"/>
          <w:szCs w:val="21"/>
        </w:rPr>
        <w:t>工程概况：本工程位于深圳市光明区，项目拟对</w:t>
      </w:r>
      <w:r>
        <w:rPr>
          <w:rFonts w:hint="eastAsia" w:hAnsi="宋体"/>
          <w:color w:val="auto"/>
          <w:sz w:val="21"/>
          <w:szCs w:val="21"/>
          <w:lang w:val="en-US" w:eastAsia="zh-CN"/>
        </w:rPr>
        <w:t>科裕新村</w:t>
      </w:r>
      <w:r>
        <w:rPr>
          <w:rFonts w:hint="eastAsia" w:hAnsi="宋体"/>
          <w:color w:val="auto"/>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color w:val="auto"/>
          <w:sz w:val="21"/>
          <w:szCs w:val="21"/>
        </w:rPr>
      </w:pPr>
      <w:r>
        <w:rPr>
          <w:rFonts w:hint="eastAsia" w:hAnsi="宋体"/>
          <w:color w:val="auto"/>
          <w:sz w:val="21"/>
          <w:szCs w:val="21"/>
          <w:lang w:eastAsia="zh-CN"/>
        </w:rPr>
        <w:t>科裕新村</w:t>
      </w:r>
      <w:r>
        <w:rPr>
          <w:rFonts w:hint="eastAsia" w:hAnsi="宋体"/>
          <w:color w:val="auto"/>
          <w:sz w:val="21"/>
          <w:szCs w:val="21"/>
        </w:rPr>
        <w:t>幼儿园总建筑面积</w:t>
      </w:r>
      <w:r>
        <w:rPr>
          <w:rFonts w:hint="eastAsia" w:hAnsi="宋体"/>
          <w:color w:val="auto"/>
          <w:sz w:val="21"/>
          <w:szCs w:val="21"/>
          <w:lang w:val="en-US" w:eastAsia="zh-CN"/>
        </w:rPr>
        <w:t>3509.67</w:t>
      </w:r>
      <w:r>
        <w:rPr>
          <w:rFonts w:hint="eastAsia" w:hAnsi="宋体"/>
          <w:color w:val="auto"/>
          <w:sz w:val="21"/>
          <w:szCs w:val="21"/>
        </w:rPr>
        <w:t>平方米，办学规模12个班。项目总投资暂估</w:t>
      </w:r>
      <w:r>
        <w:rPr>
          <w:rFonts w:hint="eastAsia" w:hAnsi="宋体"/>
          <w:color w:val="auto"/>
          <w:sz w:val="21"/>
          <w:szCs w:val="21"/>
          <w:lang w:val="en-US" w:eastAsia="zh-CN"/>
        </w:rPr>
        <w:t>982.53</w:t>
      </w:r>
      <w:r>
        <w:rPr>
          <w:rFonts w:hint="eastAsia" w:hAnsi="宋体"/>
          <w:color w:val="auto"/>
          <w:sz w:val="21"/>
          <w:szCs w:val="21"/>
        </w:rPr>
        <w:t>万元，建筑安装工程费暂估</w:t>
      </w:r>
      <w:r>
        <w:rPr>
          <w:rFonts w:hint="eastAsia" w:hAnsi="宋体"/>
          <w:color w:val="auto"/>
          <w:sz w:val="21"/>
          <w:szCs w:val="21"/>
          <w:lang w:val="en-US" w:eastAsia="zh-CN"/>
        </w:rPr>
        <w:t>808.97</w:t>
      </w:r>
      <w:r>
        <w:rPr>
          <w:rFonts w:hint="eastAsia" w:hAnsi="宋体"/>
          <w:color w:val="auto"/>
          <w:sz w:val="21"/>
          <w:szCs w:val="21"/>
        </w:rPr>
        <w:t>万元</w:t>
      </w:r>
      <w:r>
        <w:rPr>
          <w:rFonts w:hint="eastAsia" w:hAnsi="宋体"/>
          <w:color w:val="auto"/>
          <w:sz w:val="21"/>
          <w:szCs w:val="21"/>
          <w:lang w:eastAsia="zh-CN"/>
        </w:rPr>
        <w:t>；</w:t>
      </w:r>
      <w:r>
        <w:rPr>
          <w:rFonts w:hint="eastAsia" w:hAnsi="宋体"/>
          <w:color w:val="auto"/>
          <w:sz w:val="21"/>
          <w:szCs w:val="21"/>
        </w:rPr>
        <w:t>（暂以总投资的85%比例算得，最终以发改批复的概算总投资为准）</w:t>
      </w:r>
    </w:p>
    <w:p>
      <w:pPr>
        <w:widowControl/>
        <w:shd w:val="clear" w:color="auto" w:fill="FFFFFF"/>
        <w:snapToGrid w:val="0"/>
        <w:spacing w:line="360" w:lineRule="auto"/>
        <w:ind w:firstLine="480"/>
        <w:jc w:val="left"/>
        <w:rPr>
          <w:rFonts w:ascii="宋体" w:hAnsi="宋体" w:cs="宋体"/>
          <w:color w:val="auto"/>
          <w:szCs w:val="21"/>
        </w:rPr>
      </w:pPr>
      <w:r>
        <w:rPr>
          <w:rFonts w:hint="eastAsia" w:ascii="宋体" w:hAnsi="宋体" w:cs="宋体"/>
          <w:color w:val="auto"/>
          <w:szCs w:val="21"/>
        </w:rPr>
        <w:t>招标范围：全过程造价控制，包括概算编制、招标控制价编制、结算审核、决算审核以及实施阶段变更审核等工作内容。</w:t>
      </w:r>
    </w:p>
    <w:p>
      <w:pPr>
        <w:widowControl/>
        <w:shd w:val="clear" w:color="auto" w:fill="FFFFFF"/>
        <w:snapToGrid w:val="0"/>
        <w:spacing w:line="360" w:lineRule="auto"/>
        <w:ind w:firstLine="48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三、投标人的资格要求：</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 </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（5）投标人为采购人提供整体设计、规范编制或者本项目管理、监理、检测等服务的，不得再参与此次采购项目的投标；</w:t>
      </w:r>
    </w:p>
    <w:p>
      <w:pPr>
        <w:widowControl/>
        <w:shd w:val="clear" w:color="auto" w:fill="FFFFFF"/>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本项目</w:t>
      </w:r>
      <w:r>
        <w:rPr>
          <w:rFonts w:hint="eastAsia" w:ascii="宋体" w:hAnsi="宋体" w:eastAsia="宋体" w:cs="宋体"/>
          <w:color w:val="auto"/>
          <w:kern w:val="0"/>
          <w:sz w:val="21"/>
          <w:szCs w:val="21"/>
          <w:lang w:val="en-US" w:eastAsia="zh-CN"/>
        </w:rPr>
        <w:t>分为</w:t>
      </w:r>
      <w:r>
        <w:rPr>
          <w:rFonts w:hint="eastAsia" w:ascii="宋体" w:hAnsi="宋体" w:cs="宋体"/>
          <w:color w:val="auto"/>
          <w:kern w:val="0"/>
          <w:sz w:val="21"/>
          <w:szCs w:val="21"/>
          <w:lang w:val="en-US" w:eastAsia="zh-CN"/>
        </w:rPr>
        <w:t>六</w:t>
      </w:r>
      <w:r>
        <w:rPr>
          <w:rFonts w:hint="eastAsia" w:ascii="宋体" w:hAnsi="宋体" w:eastAsia="宋体" w:cs="宋体"/>
          <w:color w:val="auto"/>
          <w:kern w:val="0"/>
          <w:sz w:val="21"/>
          <w:szCs w:val="21"/>
          <w:lang w:val="en-US" w:eastAsia="zh-CN"/>
        </w:rPr>
        <w:t>个标，</w:t>
      </w:r>
      <w:r>
        <w:rPr>
          <w:rFonts w:hint="eastAsia" w:ascii="宋体" w:hAnsi="宋体" w:cs="宋体"/>
          <w:color w:val="auto"/>
          <w:kern w:val="0"/>
          <w:szCs w:val="21"/>
        </w:rPr>
        <w:t>同一个投标人只能中标一次，</w:t>
      </w:r>
      <w:r>
        <w:rPr>
          <w:rFonts w:hint="eastAsia" w:ascii="宋体" w:hAnsi="宋体" w:eastAsia="宋体" w:cs="宋体"/>
          <w:color w:val="auto"/>
          <w:kern w:val="0"/>
          <w:sz w:val="21"/>
          <w:szCs w:val="21"/>
        </w:rPr>
        <w:t>不接受联合体投标，不接受投标人选用进口产品参与投标，不允许分包、转包。</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b/>
          <w:color w:val="auto"/>
          <w:kern w:val="0"/>
          <w:szCs w:val="21"/>
        </w:rPr>
        <w:t>四、警示条款：</w:t>
      </w:r>
      <w:r>
        <w:rPr>
          <w:rFonts w:hint="eastAsia" w:ascii="宋体" w:hAnsi="宋体" w:eastAsia="宋体" w:cs="宋体"/>
          <w:color w:val="auto"/>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b/>
          <w:color w:val="auto"/>
          <w:kern w:val="0"/>
          <w:szCs w:val="21"/>
        </w:rPr>
        <w:t>五、答疑事项：</w:t>
      </w:r>
      <w:r>
        <w:rPr>
          <w:rFonts w:hint="eastAsia" w:ascii="宋体" w:hAnsi="宋体" w:eastAsia="宋体" w:cs="宋体"/>
          <w:color w:val="auto"/>
          <w:kern w:val="0"/>
          <w:szCs w:val="21"/>
        </w:rPr>
        <w:t>凡有任何疑问的，请于</w:t>
      </w:r>
      <w:r>
        <w:rPr>
          <w:rFonts w:hint="eastAsia" w:ascii="宋体" w:hAnsi="宋体" w:eastAsia="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日14时30分前径向我单位咨询，逾期不予受理。</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Cs w:val="21"/>
          <w:highlight w:val="none"/>
        </w:rPr>
        <w:t>六、投标时间：</w:t>
      </w:r>
      <w:r>
        <w:rPr>
          <w:rFonts w:hint="eastAsia" w:ascii="宋体" w:hAnsi="宋体" w:eastAsia="宋体" w:cs="宋体"/>
          <w:color w:val="auto"/>
          <w:kern w:val="0"/>
          <w:szCs w:val="21"/>
          <w:highlight w:val="none"/>
        </w:rPr>
        <w:t>所有文件应于20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日中午12时之前递交到我单位。</w:t>
      </w:r>
      <w:r>
        <w:rPr>
          <w:rFonts w:hint="eastAsia" w:ascii="宋体" w:hAnsi="宋体" w:eastAsia="宋体" w:cs="宋体"/>
          <w:color w:val="auto"/>
          <w:kern w:val="0"/>
          <w:sz w:val="21"/>
          <w:szCs w:val="21"/>
          <w:highlight w:val="none"/>
        </w:rPr>
        <w:t>（注：本项目无报名环节，</w:t>
      </w:r>
      <w:r>
        <w:rPr>
          <w:rFonts w:hint="eastAsia" w:ascii="宋体" w:hAnsi="宋体" w:cs="宋体"/>
          <w:color w:val="auto"/>
          <w:kern w:val="0"/>
          <w:sz w:val="21"/>
          <w:szCs w:val="21"/>
          <w:highlight w:val="none"/>
          <w:lang w:val="en-US" w:eastAsia="zh-CN"/>
        </w:rPr>
        <w:t>投标文件为</w:t>
      </w:r>
      <w:r>
        <w:rPr>
          <w:rFonts w:hint="eastAsia" w:ascii="宋体" w:hAnsi="宋体" w:cs="宋体"/>
          <w:b w:val="0"/>
          <w:bCs/>
          <w:color w:val="auto"/>
          <w:kern w:val="0"/>
          <w:sz w:val="21"/>
          <w:szCs w:val="21"/>
          <w:highlight w:val="none"/>
          <w:lang w:val="en-US" w:eastAsia="zh-CN"/>
        </w:rPr>
        <w:t>纸质标书，一正四副，</w:t>
      </w:r>
      <w:r>
        <w:rPr>
          <w:rFonts w:hint="eastAsia" w:ascii="宋体" w:hAnsi="宋体" w:eastAsia="宋体" w:cs="宋体"/>
          <w:color w:val="auto"/>
          <w:kern w:val="0"/>
          <w:sz w:val="21"/>
          <w:szCs w:val="21"/>
          <w:highlight w:val="none"/>
        </w:rPr>
        <w:t>以本条款要求的递交文件时间为准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widowControl/>
        <w:shd w:val="clear" w:color="auto" w:fill="FFFFFF"/>
        <w:snapToGrid w:val="0"/>
        <w:spacing w:line="360" w:lineRule="auto"/>
        <w:ind w:firstLine="48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七、评审方式、时间和地点：</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定于20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日14时30分，采</w:t>
      </w:r>
      <w:r>
        <w:rPr>
          <w:rFonts w:hint="eastAsia" w:ascii="宋体" w:hAnsi="宋体" w:eastAsia="宋体" w:cs="宋体"/>
          <w:color w:val="auto"/>
          <w:kern w:val="0"/>
          <w:szCs w:val="21"/>
        </w:rPr>
        <w:t>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b/>
          <w:color w:val="auto"/>
          <w:kern w:val="0"/>
          <w:szCs w:val="21"/>
        </w:rPr>
        <w:t>八、联系方式：</w:t>
      </w:r>
      <w:r>
        <w:rPr>
          <w:rFonts w:hint="eastAsia" w:ascii="宋体" w:hAnsi="宋体" w:eastAsia="宋体" w:cs="宋体"/>
          <w:color w:val="auto"/>
          <w:kern w:val="0"/>
          <w:szCs w:val="21"/>
        </w:rPr>
        <w:t>如有疑问请与我们联系。</w:t>
      </w:r>
    </w:p>
    <w:p>
      <w:pPr>
        <w:widowControl/>
        <w:shd w:val="clear" w:color="auto" w:fill="FFFFFF"/>
        <w:snapToGrid w:val="0"/>
        <w:spacing w:line="360" w:lineRule="auto"/>
        <w:ind w:firstLine="48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联系方式：</w:t>
      </w:r>
      <w:r>
        <w:rPr>
          <w:rFonts w:hint="eastAsia" w:ascii="宋体" w:hAnsi="宋体" w:cs="宋体"/>
          <w:color w:val="auto"/>
          <w:kern w:val="0"/>
          <w:szCs w:val="21"/>
          <w:lang w:val="en-US" w:eastAsia="zh-CN"/>
        </w:rPr>
        <w:t>张</w:t>
      </w:r>
      <w:r>
        <w:rPr>
          <w:rFonts w:hint="eastAsia" w:ascii="宋体" w:hAnsi="宋体" w:eastAsia="宋体" w:cs="宋体"/>
          <w:color w:val="auto"/>
          <w:kern w:val="0"/>
          <w:szCs w:val="21"/>
        </w:rPr>
        <w:t>老师，8821</w:t>
      </w:r>
      <w:r>
        <w:rPr>
          <w:rFonts w:hint="eastAsia" w:ascii="宋体" w:hAnsi="宋体" w:cs="宋体"/>
          <w:color w:val="auto"/>
          <w:kern w:val="0"/>
          <w:szCs w:val="21"/>
          <w:lang w:val="en-US" w:eastAsia="zh-CN"/>
        </w:rPr>
        <w:t xml:space="preserve"> 9587</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详细地址：深圳市光明区光明街道牛山路33号公共服务平台423室</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邮政编码：518107</w:t>
      </w:r>
    </w:p>
    <w:p>
      <w:pPr>
        <w:widowControl/>
        <w:shd w:val="clear" w:color="auto" w:fill="FFFFFF"/>
        <w:snapToGrid w:val="0"/>
        <w:spacing w:line="360" w:lineRule="auto"/>
        <w:ind w:firstLine="480"/>
        <w:jc w:val="left"/>
        <w:rPr>
          <w:rFonts w:hint="eastAsia" w:ascii="宋体" w:hAnsi="宋体" w:eastAsia="宋体" w:cs="宋体"/>
          <w:color w:val="auto"/>
          <w:kern w:val="0"/>
          <w:szCs w:val="21"/>
        </w:rPr>
      </w:pPr>
    </w:p>
    <w:p>
      <w:pPr>
        <w:widowControl/>
        <w:shd w:val="clear" w:color="auto" w:fill="FFFFFF"/>
        <w:snapToGrid w:val="0"/>
        <w:spacing w:line="360" w:lineRule="auto"/>
        <w:ind w:firstLine="480"/>
        <w:jc w:val="left"/>
        <w:rPr>
          <w:rFonts w:hint="eastAsia" w:ascii="宋体" w:hAnsi="宋体" w:eastAsia="宋体" w:cs="宋体"/>
          <w:color w:val="auto"/>
          <w:kern w:val="0"/>
          <w:szCs w:val="21"/>
        </w:rPr>
      </w:pPr>
    </w:p>
    <w:p>
      <w:pPr>
        <w:widowControl/>
        <w:shd w:val="clear" w:color="auto" w:fill="FFFFFF"/>
        <w:snapToGrid w:val="0"/>
        <w:spacing w:line="360" w:lineRule="auto"/>
        <w:ind w:firstLine="480"/>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光明区教育局</w:t>
      </w:r>
    </w:p>
    <w:p>
      <w:pPr>
        <w:widowControl/>
        <w:shd w:val="clear" w:color="auto" w:fill="FFFFFF"/>
        <w:snapToGrid w:val="0"/>
        <w:spacing w:line="360" w:lineRule="auto"/>
        <w:ind w:firstLine="480"/>
        <w:jc w:val="center"/>
        <w:rPr>
          <w:color w:val="auto"/>
        </w:rPr>
      </w:pP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日</w:t>
      </w:r>
    </w:p>
    <w:p>
      <w:pPr>
        <w:widowControl/>
        <w:shd w:val="clear" w:color="auto" w:fill="FFFFFF"/>
        <w:snapToGrid w:val="0"/>
        <w:spacing w:line="360" w:lineRule="auto"/>
        <w:ind w:firstLine="480"/>
        <w:jc w:val="center"/>
        <w:rPr>
          <w:color w:val="auto"/>
        </w:rPr>
      </w:pPr>
    </w:p>
    <w:p>
      <w:pPr>
        <w:pStyle w:val="6"/>
        <w:keepNext/>
        <w:keepLines/>
        <w:tabs>
          <w:tab w:val="left" w:pos="720"/>
        </w:tabs>
        <w:spacing w:before="156" w:beforeLines="50" w:after="156" w:afterLines="50"/>
        <w:ind w:left="720" w:firstLine="3232" w:firstLineChars="1150"/>
        <w:jc w:val="both"/>
        <w:rPr>
          <w:rFonts w:hint="eastAsia"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第二章  用户需求书</w:t>
      </w:r>
    </w:p>
    <w:p>
      <w:pPr>
        <w:rPr>
          <w:rFonts w:hint="eastAsia"/>
          <w:b w:val="0"/>
          <w:bCs/>
          <w:color w:val="auto"/>
          <w:highlight w:val="none"/>
        </w:rPr>
      </w:pPr>
      <w:r>
        <w:rPr>
          <w:rFonts w:hint="eastAsia"/>
          <w:b w:val="0"/>
          <w:bCs/>
          <w:color w:val="auto"/>
          <w:highlight w:val="none"/>
        </w:rPr>
        <w:t>说明：</w:t>
      </w:r>
    </w:p>
    <w:p>
      <w:pPr>
        <w:ind w:firstLine="420" w:firstLineChars="200"/>
        <w:rPr>
          <w:rFonts w:ascii="宋体" w:hAnsi="宋体"/>
          <w:b w:val="0"/>
          <w:bCs/>
          <w:color w:val="auto"/>
          <w:szCs w:val="21"/>
          <w:highlight w:val="none"/>
        </w:rPr>
      </w:pPr>
      <w:bookmarkStart w:id="11" w:name="_Toc100052364"/>
      <w:bookmarkStart w:id="12" w:name="_Toc73521547"/>
      <w:bookmarkStart w:id="13" w:name="_Toc60631620"/>
      <w:bookmarkStart w:id="14" w:name="_Toc101074876"/>
      <w:bookmarkStart w:id="15" w:name="_Toc73521635"/>
      <w:bookmarkStart w:id="16" w:name="_Toc73518117"/>
      <w:bookmarkStart w:id="17" w:name="_Toc60560625"/>
      <w:bookmarkStart w:id="18" w:name="_Toc73517639"/>
      <w:r>
        <w:rPr>
          <w:rFonts w:hint="eastAsia" w:ascii="宋体" w:hAnsi="宋体"/>
          <w:b w:val="0"/>
          <w:bCs/>
          <w:color w:val="auto"/>
          <w:szCs w:val="21"/>
          <w:highlight w:val="none"/>
        </w:rPr>
        <w:t>1、本招标项目要求中所出现的</w:t>
      </w:r>
      <w:r>
        <w:rPr>
          <w:rFonts w:hint="eastAsia" w:ascii="宋体" w:hAnsi="宋体"/>
          <w:b w:val="0"/>
          <w:bCs/>
          <w:color w:val="auto"/>
          <w:szCs w:val="21"/>
          <w:highlight w:val="none"/>
          <w:lang w:val="en-US" w:eastAsia="zh-CN"/>
        </w:rPr>
        <w:t>幼儿园装修设计服务</w:t>
      </w:r>
      <w:r>
        <w:rPr>
          <w:rFonts w:hint="eastAsia" w:ascii="宋体" w:hAnsi="宋体"/>
          <w:b w:val="0"/>
          <w:bCs/>
          <w:color w:val="auto"/>
          <w:szCs w:val="21"/>
          <w:highlight w:val="none"/>
        </w:rPr>
        <w:t>仅为方便描述而没有限制性，投标人可以在其提供的</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资料中选用替代标准，但这些替代标准要优于或相当于技术规格中要求的标准。</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2、标注“▲”的条款为重点审查的要求，作为评分参考的标记，但不作为实质性要求和条件。</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标注“</w:t>
      </w:r>
      <w:r>
        <w:rPr>
          <w:rFonts w:ascii="宋体" w:hAnsi="宋体"/>
          <w:b w:val="0"/>
          <w:bCs/>
          <w:color w:val="auto"/>
          <w:kern w:val="0"/>
          <w:szCs w:val="21"/>
          <w:highlight w:val="none"/>
        </w:rPr>
        <w:t>★</w:t>
      </w:r>
      <w:r>
        <w:rPr>
          <w:rFonts w:hint="eastAsia" w:ascii="宋体" w:hAnsi="宋体"/>
          <w:b w:val="0"/>
          <w:bCs/>
          <w:color w:val="auto"/>
          <w:szCs w:val="21"/>
          <w:highlight w:val="none"/>
        </w:rPr>
        <w:t>”的条款为</w:t>
      </w:r>
      <w:r>
        <w:rPr>
          <w:rFonts w:hint="eastAsia" w:ascii="宋体" w:hAnsi="宋体" w:cs="宋体"/>
          <w:b w:val="0"/>
          <w:bCs/>
          <w:color w:val="auto"/>
          <w:kern w:val="0"/>
          <w:szCs w:val="21"/>
          <w:highlight w:val="none"/>
        </w:rPr>
        <w:t>不允许偏离的实质性要求和条件，不符合将视为不实质性满足招标文件要求，作</w:t>
      </w:r>
      <w:r>
        <w:rPr>
          <w:rFonts w:hint="eastAsia" w:ascii="宋体" w:hAnsi="宋体"/>
          <w:b w:val="0"/>
          <w:bCs/>
          <w:color w:val="auto"/>
          <w:szCs w:val="21"/>
          <w:highlight w:val="none"/>
        </w:rPr>
        <w:t>投标无效处理；未标注“</w:t>
      </w:r>
      <w:r>
        <w:rPr>
          <w:rFonts w:ascii="宋体" w:hAnsi="宋体"/>
          <w:b w:val="0"/>
          <w:bCs/>
          <w:color w:val="auto"/>
          <w:kern w:val="0"/>
          <w:szCs w:val="21"/>
          <w:highlight w:val="none"/>
        </w:rPr>
        <w:t>★</w:t>
      </w:r>
      <w:r>
        <w:rPr>
          <w:rFonts w:hint="eastAsia" w:ascii="宋体" w:hAnsi="宋体"/>
          <w:b w:val="0"/>
          <w:bCs/>
          <w:color w:val="auto"/>
          <w:szCs w:val="21"/>
          <w:highlight w:val="none"/>
        </w:rPr>
        <w:t>”的条款</w:t>
      </w:r>
      <w:r>
        <w:rPr>
          <w:rFonts w:hint="eastAsia" w:ascii="宋体" w:hAnsi="宋体" w:cs="宋体"/>
          <w:b w:val="0"/>
          <w:bCs/>
          <w:color w:val="auto"/>
          <w:kern w:val="0"/>
          <w:szCs w:val="21"/>
          <w:highlight w:val="none"/>
        </w:rPr>
        <w:t>不作为实质性要求和条件</w:t>
      </w:r>
      <w:r>
        <w:rPr>
          <w:rFonts w:hint="eastAsia" w:ascii="宋体" w:hAnsi="宋体"/>
          <w:b w:val="0"/>
          <w:bCs/>
          <w:color w:val="auto"/>
          <w:szCs w:val="21"/>
          <w:highlight w:val="none"/>
        </w:rPr>
        <w:t>。</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、投标人应根据本企业的成本自行决定报价，但不得以低于其企业成本的报价投标：</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①投标人报价明显低于成本或其他通过符合性审查投标人的报价，有可能影响</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②未做出报价合理性说明的，评审委员会认定为该报价低于成本价，并按投标无效处理；</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③供应商的报价说明是否合理，由评审委员会判定；</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④如该报价成为中标价格，该项目将成为重点监管、重点验收项目。</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⑤若评审委员会成员对是否须由投标人作出报价合理性说明 ，以及书面说明是否采纳等判断不一致的，按照“少数服从多数”的原则确定评审委员会的意见。</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、本项目由采购人授权评审委员会确定中标供应商，中标供应商数量为1。</w:t>
      </w:r>
    </w:p>
    <w:p>
      <w:pPr>
        <w:ind w:firstLine="420" w:firstLineChars="200"/>
        <w:rPr>
          <w:rFonts w:hint="eastAsia"/>
          <w:b w:val="0"/>
          <w:bCs/>
          <w:color w:val="auto"/>
          <w:highlight w:val="none"/>
        </w:rPr>
      </w:pP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w:t>
      </w:r>
      <w:r>
        <w:rPr>
          <w:rFonts w:hint="eastAsia"/>
          <w:b w:val="0"/>
          <w:bCs/>
          <w:color w:val="auto"/>
          <w:highlight w:val="none"/>
        </w:rPr>
        <w:t>评标优惠政策：</w:t>
      </w:r>
    </w:p>
    <w:p>
      <w:pPr>
        <w:ind w:firstLine="420" w:firstLineChars="200"/>
        <w:rPr>
          <w:rFonts w:hint="eastAsia"/>
          <w:b/>
          <w:color w:val="auto"/>
        </w:rPr>
      </w:pPr>
      <w:r>
        <w:rPr>
          <w:rFonts w:hint="eastAsia"/>
          <w:b w:val="0"/>
          <w:bCs/>
          <w:color w:val="auto"/>
          <w:highlight w:val="none"/>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 w:val="0"/>
          <w:bCs/>
          <w:color w:val="auto"/>
          <w:highlight w:val="none"/>
          <w:u w:val="single"/>
        </w:rPr>
        <w:t>6_</w:t>
      </w:r>
      <w:r>
        <w:rPr>
          <w:rFonts w:hint="eastAsia"/>
          <w:b w:val="0"/>
          <w:bCs/>
          <w:color w:val="auto"/>
          <w:highlight w:val="none"/>
        </w:rPr>
        <w:t>_%后参与评审。对于同时属于小微企业、监狱企业或残疾人福利性单位的，不重复进行投标报价扣除。如有其它政策支持因素（如鼓励创新等）需一并列出。</w:t>
      </w:r>
      <w:r>
        <w:rPr>
          <w:rFonts w:hint="eastAsia"/>
          <w:color w:val="auto"/>
          <w:sz w:val="28"/>
          <w:szCs w:val="28"/>
        </w:rPr>
        <w:br w:type="page"/>
      </w:r>
      <w:bookmarkEnd w:id="11"/>
      <w:bookmarkEnd w:id="12"/>
      <w:bookmarkEnd w:id="13"/>
      <w:bookmarkEnd w:id="14"/>
      <w:bookmarkEnd w:id="15"/>
      <w:bookmarkEnd w:id="16"/>
      <w:bookmarkEnd w:id="17"/>
      <w:bookmarkEnd w:id="18"/>
    </w:p>
    <w:p>
      <w:pPr>
        <w:spacing w:after="60"/>
        <w:ind w:firstLine="560" w:firstLineChars="200"/>
        <w:outlineLvl w:val="1"/>
        <w:rPr>
          <w:color w:val="auto"/>
          <w:sz w:val="28"/>
          <w:szCs w:val="28"/>
        </w:rPr>
      </w:pPr>
      <w:r>
        <w:rPr>
          <w:rFonts w:hint="eastAsia"/>
          <w:color w:val="auto"/>
          <w:sz w:val="28"/>
          <w:szCs w:val="28"/>
        </w:rPr>
        <w:t>二、项目基本信息</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auto"/>
                <w:szCs w:val="21"/>
              </w:rPr>
            </w:pPr>
            <w:r>
              <w:rPr>
                <w:rFonts w:hint="eastAsia" w:ascii="宋体" w:hAnsi="宋体"/>
                <w:bCs/>
                <w:color w:val="auto"/>
                <w:szCs w:val="21"/>
              </w:rPr>
              <w:t>项目编号</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auto"/>
                <w:szCs w:val="21"/>
              </w:rPr>
            </w:pPr>
            <w:r>
              <w:rPr>
                <w:rFonts w:hint="eastAsia" w:ascii="宋体" w:hAnsi="宋体"/>
                <w:bCs/>
                <w:color w:val="auto"/>
                <w:szCs w:val="21"/>
              </w:rPr>
              <w:t>项目名称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eastAsia"/>
                <w:color w:val="auto"/>
              </w:rPr>
            </w:pPr>
            <w:r>
              <w:rPr>
                <w:rFonts w:hint="eastAsia"/>
                <w:color w:val="auto"/>
              </w:rPr>
              <w:t>光明区教育局关于</w:t>
            </w:r>
            <w:r>
              <w:rPr>
                <w:rFonts w:hint="eastAsia"/>
                <w:color w:val="auto"/>
                <w:lang w:val="en-US" w:eastAsia="zh-CN"/>
              </w:rPr>
              <w:t>购买科裕新村幼儿园装修工程造价全过程咨询服务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auto"/>
                <w:szCs w:val="21"/>
              </w:rPr>
            </w:pPr>
            <w:r>
              <w:rPr>
                <w:rFonts w:hint="eastAsia" w:ascii="宋体" w:hAnsi="宋体"/>
                <w:bCs/>
                <w:color w:val="auto"/>
                <w:szCs w:val="21"/>
              </w:rPr>
              <w:t>预算金额</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ascii="宋体" w:cs="宋体"/>
                <w:b/>
                <w:bCs/>
                <w:color w:val="auto"/>
                <w:szCs w:val="21"/>
                <w:lang w:val="zh-CN"/>
              </w:rPr>
            </w:pPr>
            <w:r>
              <w:rPr>
                <w:rFonts w:hint="eastAsia" w:ascii="宋体" w:hAnsi="宋体" w:cs="宋体"/>
                <w:color w:val="auto"/>
                <w:sz w:val="24"/>
                <w:lang w:val="en-US" w:eastAsia="zh-CN"/>
              </w:rPr>
              <w:t>18.49</w:t>
            </w:r>
            <w:r>
              <w:rPr>
                <w:rFonts w:hint="eastAsia" w:ascii="宋体" w:hAnsi="宋体" w:cs="宋体"/>
                <w:color w:val="auto"/>
                <w:sz w:val="24"/>
              </w:rPr>
              <w:t>万元</w:t>
            </w:r>
            <w:r>
              <w:rPr>
                <w:rFonts w:hint="eastAsia"/>
                <w:color w:val="auto"/>
              </w:rPr>
              <w:t>（超出预算金额的报价将被当作无效投标处理）</w:t>
            </w:r>
          </w:p>
        </w:tc>
      </w:tr>
    </w:tbl>
    <w:p>
      <w:pPr>
        <w:spacing w:after="60" w:line="400" w:lineRule="exact"/>
        <w:ind w:firstLine="560" w:firstLineChars="200"/>
        <w:outlineLvl w:val="1"/>
        <w:rPr>
          <w:rFonts w:hint="eastAsia"/>
          <w:color w:val="auto"/>
          <w:sz w:val="28"/>
          <w:szCs w:val="28"/>
        </w:rPr>
      </w:pPr>
    </w:p>
    <w:p>
      <w:pPr>
        <w:numPr>
          <w:ilvl w:val="0"/>
          <w:numId w:val="0"/>
        </w:numPr>
        <w:spacing w:line="407" w:lineRule="auto"/>
        <w:ind w:right="22" w:rightChars="0" w:firstLine="560" w:firstLineChars="200"/>
        <w:rPr>
          <w:rFonts w:hint="default" w:ascii="宋体" w:hAnsi="宋体"/>
          <w:color w:val="auto"/>
          <w:kern w:val="2"/>
          <w:sz w:val="28"/>
          <w:szCs w:val="28"/>
          <w:lang w:val="en-US" w:eastAsia="zh-CN"/>
        </w:rPr>
      </w:pPr>
      <w:r>
        <w:rPr>
          <w:rFonts w:hint="eastAsia" w:ascii="宋体" w:hAnsi="宋体"/>
          <w:color w:val="auto"/>
          <w:kern w:val="2"/>
          <w:sz w:val="28"/>
          <w:szCs w:val="28"/>
          <w:lang w:val="en-US" w:eastAsia="zh-CN"/>
        </w:rPr>
        <w:t>三、项目概况</w:t>
      </w:r>
    </w:p>
    <w:p>
      <w:pPr>
        <w:spacing w:line="360" w:lineRule="auto"/>
        <w:ind w:firstLine="420" w:firstLineChars="200"/>
        <w:rPr>
          <w:rFonts w:hint="eastAsia" w:hAnsi="宋体"/>
          <w:color w:val="auto"/>
          <w:sz w:val="21"/>
          <w:szCs w:val="21"/>
        </w:rPr>
      </w:pPr>
      <w:r>
        <w:rPr>
          <w:rFonts w:hint="eastAsia" w:hAnsi="宋体"/>
          <w:color w:val="auto"/>
          <w:sz w:val="21"/>
          <w:szCs w:val="21"/>
        </w:rPr>
        <w:t>工程概况：</w:t>
      </w:r>
      <w:r>
        <w:rPr>
          <w:rFonts w:hint="eastAsia" w:hAnsi="宋体"/>
          <w:color w:val="auto"/>
          <w:sz w:val="21"/>
          <w:szCs w:val="21"/>
          <w:lang w:val="en-US" w:eastAsia="zh-CN"/>
        </w:rPr>
        <w:t>科裕新村</w:t>
      </w:r>
      <w:r>
        <w:rPr>
          <w:rFonts w:hint="eastAsia" w:hAnsi="宋体"/>
          <w:color w:val="auto"/>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eastAsia="宋体"/>
          <w:color w:val="auto"/>
          <w:sz w:val="21"/>
          <w:szCs w:val="21"/>
          <w:lang w:eastAsia="zh-CN"/>
        </w:rPr>
      </w:pPr>
      <w:r>
        <w:rPr>
          <w:rFonts w:hint="eastAsia" w:hAnsi="宋体"/>
          <w:color w:val="auto"/>
          <w:sz w:val="21"/>
          <w:szCs w:val="21"/>
          <w:lang w:eastAsia="zh-CN"/>
        </w:rPr>
        <w:t>科裕新村</w:t>
      </w:r>
      <w:r>
        <w:rPr>
          <w:rFonts w:hint="eastAsia" w:hAnsi="宋体"/>
          <w:color w:val="auto"/>
          <w:sz w:val="21"/>
          <w:szCs w:val="21"/>
        </w:rPr>
        <w:t>幼儿园总建筑面积</w:t>
      </w:r>
      <w:r>
        <w:rPr>
          <w:rFonts w:hint="eastAsia" w:hAnsi="宋体"/>
          <w:color w:val="auto"/>
          <w:sz w:val="21"/>
          <w:szCs w:val="21"/>
          <w:lang w:val="en-US" w:eastAsia="zh-CN"/>
        </w:rPr>
        <w:t>3509.67</w:t>
      </w:r>
      <w:r>
        <w:rPr>
          <w:rFonts w:hint="eastAsia" w:hAnsi="宋体"/>
          <w:color w:val="auto"/>
          <w:sz w:val="21"/>
          <w:szCs w:val="21"/>
        </w:rPr>
        <w:t>平方米，办学规模12个班。项目总投资暂估</w:t>
      </w:r>
      <w:r>
        <w:rPr>
          <w:rFonts w:hint="eastAsia" w:hAnsi="宋体"/>
          <w:color w:val="auto"/>
          <w:sz w:val="21"/>
          <w:szCs w:val="21"/>
          <w:lang w:val="en-US" w:eastAsia="zh-CN"/>
        </w:rPr>
        <w:t>982.53</w:t>
      </w:r>
      <w:r>
        <w:rPr>
          <w:rFonts w:hint="eastAsia" w:hAnsi="宋体"/>
          <w:color w:val="auto"/>
          <w:sz w:val="21"/>
          <w:szCs w:val="21"/>
        </w:rPr>
        <w:t>万元，建筑安装工程费暂估</w:t>
      </w:r>
      <w:r>
        <w:rPr>
          <w:rFonts w:hint="eastAsia" w:hAnsi="宋体"/>
          <w:color w:val="auto"/>
          <w:sz w:val="21"/>
          <w:szCs w:val="21"/>
          <w:lang w:val="en-US" w:eastAsia="zh-CN"/>
        </w:rPr>
        <w:t>808.97</w:t>
      </w:r>
      <w:r>
        <w:rPr>
          <w:rFonts w:hint="eastAsia" w:hAnsi="宋体"/>
          <w:color w:val="auto"/>
          <w:sz w:val="21"/>
          <w:szCs w:val="21"/>
        </w:rPr>
        <w:t>万元（暂以总投资的85%比例算得，最终以发改批复的概算总投资为准）</w:t>
      </w:r>
      <w:r>
        <w:rPr>
          <w:rFonts w:hint="eastAsia" w:hAnsi="宋体"/>
          <w:color w:val="auto"/>
          <w:sz w:val="21"/>
          <w:szCs w:val="21"/>
          <w:lang w:eastAsia="zh-CN"/>
        </w:rPr>
        <w:t>。</w:t>
      </w:r>
    </w:p>
    <w:p>
      <w:pPr>
        <w:pStyle w:val="2"/>
        <w:rPr>
          <w:rFonts w:hint="eastAsia"/>
          <w:color w:val="auto"/>
          <w:lang w:val="en-US" w:eastAsia="zh-CN"/>
        </w:rPr>
      </w:pPr>
    </w:p>
    <w:p>
      <w:pPr>
        <w:numPr>
          <w:ilvl w:val="0"/>
          <w:numId w:val="0"/>
        </w:numPr>
        <w:spacing w:line="407" w:lineRule="auto"/>
        <w:ind w:right="22" w:rightChars="0" w:firstLine="560" w:firstLineChars="200"/>
        <w:rPr>
          <w:rFonts w:hint="default" w:ascii="宋体" w:hAnsi="宋体"/>
          <w:color w:val="auto"/>
          <w:kern w:val="2"/>
          <w:sz w:val="28"/>
          <w:szCs w:val="28"/>
          <w:lang w:val="en-US" w:eastAsia="zh-CN"/>
        </w:rPr>
      </w:pPr>
      <w:r>
        <w:rPr>
          <w:rFonts w:hint="eastAsia" w:ascii="宋体" w:hAnsi="宋体"/>
          <w:color w:val="auto"/>
          <w:kern w:val="2"/>
          <w:sz w:val="28"/>
          <w:szCs w:val="28"/>
          <w:lang w:val="en-US" w:eastAsia="zh-CN"/>
        </w:rPr>
        <w:t>四、服务范围及要求</w:t>
      </w:r>
    </w:p>
    <w:p>
      <w:pPr>
        <w:spacing w:line="360" w:lineRule="auto"/>
        <w:ind w:firstLine="420" w:firstLineChars="200"/>
        <w:rPr>
          <w:rFonts w:hint="default" w:hAnsi="宋体"/>
          <w:color w:val="auto"/>
          <w:sz w:val="21"/>
          <w:szCs w:val="21"/>
          <w:lang w:val="en-US" w:eastAsia="zh-CN"/>
        </w:rPr>
      </w:pPr>
      <w:r>
        <w:rPr>
          <w:rFonts w:hint="eastAsia" w:hAnsi="宋体"/>
          <w:color w:val="auto"/>
          <w:sz w:val="21"/>
          <w:szCs w:val="21"/>
          <w:lang w:eastAsia="zh-CN"/>
        </w:rPr>
        <w:t>工程造价全过程咨询服务</w:t>
      </w:r>
      <w:r>
        <w:rPr>
          <w:rFonts w:hint="eastAsia" w:hAnsi="宋体"/>
          <w:color w:val="auto"/>
          <w:sz w:val="21"/>
          <w:szCs w:val="21"/>
        </w:rPr>
        <w:t>工作，以及按国家有关规程规范的要求应由</w:t>
      </w:r>
      <w:r>
        <w:rPr>
          <w:rFonts w:hint="eastAsia" w:hAnsi="宋体"/>
          <w:color w:val="auto"/>
          <w:sz w:val="21"/>
          <w:szCs w:val="21"/>
          <w:lang w:eastAsia="zh-CN"/>
        </w:rPr>
        <w:t>咨询</w:t>
      </w:r>
      <w:r>
        <w:rPr>
          <w:rFonts w:hint="eastAsia" w:hAnsi="宋体"/>
          <w:color w:val="auto"/>
          <w:sz w:val="21"/>
          <w:szCs w:val="21"/>
        </w:rPr>
        <w:t>单位完成的工作，提交报政府相关部门审核通过及备案的</w:t>
      </w:r>
      <w:r>
        <w:rPr>
          <w:rFonts w:hint="eastAsia" w:hAnsi="宋体"/>
          <w:color w:val="auto"/>
          <w:sz w:val="21"/>
          <w:szCs w:val="21"/>
          <w:lang w:eastAsia="zh-CN"/>
        </w:rPr>
        <w:t>咨询</w:t>
      </w:r>
      <w:r>
        <w:rPr>
          <w:rFonts w:hint="eastAsia" w:hAnsi="宋体"/>
          <w:color w:val="auto"/>
          <w:sz w:val="21"/>
          <w:szCs w:val="21"/>
        </w:rPr>
        <w:t>成果，提供施工配合等后续服务</w:t>
      </w:r>
      <w:r>
        <w:rPr>
          <w:rFonts w:hint="eastAsia" w:hAnsi="宋体"/>
          <w:color w:val="auto"/>
          <w:sz w:val="21"/>
          <w:szCs w:val="21"/>
          <w:lang w:eastAsia="zh-CN"/>
        </w:rPr>
        <w:t>，</w:t>
      </w:r>
      <w:r>
        <w:rPr>
          <w:rFonts w:hint="eastAsia" w:hAnsi="宋体"/>
          <w:color w:val="auto"/>
          <w:sz w:val="21"/>
          <w:szCs w:val="21"/>
          <w:lang w:val="en-US" w:eastAsia="zh-CN"/>
        </w:rPr>
        <w:t>详见幼儿园招标文件。</w:t>
      </w:r>
    </w:p>
    <w:p>
      <w:pPr>
        <w:spacing w:line="360" w:lineRule="auto"/>
        <w:ind w:firstLine="420" w:firstLineChars="200"/>
        <w:rPr>
          <w:rFonts w:hint="eastAsia" w:hAnsi="宋体"/>
          <w:color w:val="auto"/>
          <w:sz w:val="21"/>
          <w:szCs w:val="21"/>
        </w:rPr>
      </w:pPr>
      <w:r>
        <w:rPr>
          <w:rFonts w:hint="eastAsia" w:hAnsi="宋体"/>
          <w:color w:val="auto"/>
          <w:sz w:val="21"/>
          <w:szCs w:val="21"/>
        </w:rPr>
        <w:t>1.工程量计算准确，准确率必须达到95%以上；</w:t>
      </w:r>
    </w:p>
    <w:p>
      <w:pPr>
        <w:spacing w:line="360" w:lineRule="auto"/>
        <w:ind w:firstLine="420" w:firstLineChars="200"/>
        <w:rPr>
          <w:rFonts w:hint="eastAsia" w:hAnsi="宋体"/>
          <w:color w:val="auto"/>
          <w:sz w:val="21"/>
          <w:szCs w:val="21"/>
        </w:rPr>
      </w:pPr>
      <w:r>
        <w:rPr>
          <w:rFonts w:hint="eastAsia" w:hAnsi="宋体"/>
          <w:color w:val="auto"/>
          <w:sz w:val="21"/>
          <w:szCs w:val="21"/>
        </w:rPr>
        <w:t>2.各类工程计算造价与相关审计部门的审定价相差应小于5%；</w:t>
      </w:r>
    </w:p>
    <w:p>
      <w:pPr>
        <w:spacing w:line="360" w:lineRule="auto"/>
        <w:ind w:firstLine="420" w:firstLineChars="200"/>
        <w:rPr>
          <w:rFonts w:hint="eastAsia" w:hAnsi="宋体"/>
          <w:color w:val="auto"/>
          <w:sz w:val="21"/>
          <w:szCs w:val="21"/>
        </w:rPr>
      </w:pPr>
      <w:r>
        <w:rPr>
          <w:rFonts w:hint="eastAsia" w:hAnsi="宋体"/>
          <w:color w:val="auto"/>
          <w:sz w:val="21"/>
          <w:szCs w:val="21"/>
        </w:rPr>
        <w:t>3.造价文件必须真实完整、文字清晰整齐、签字盖章齐全，应有相关专业造价工程师盖注册章、公司负责人签章，并加盖公司公章。</w:t>
      </w:r>
    </w:p>
    <w:p>
      <w:pPr>
        <w:numPr>
          <w:ilvl w:val="0"/>
          <w:numId w:val="0"/>
        </w:numPr>
        <w:spacing w:line="407" w:lineRule="auto"/>
        <w:ind w:right="22" w:rightChars="0" w:firstLine="420" w:firstLineChars="200"/>
        <w:jc w:val="left"/>
        <w:rPr>
          <w:rFonts w:hint="eastAsia"/>
          <w:color w:val="auto"/>
          <w:szCs w:val="24"/>
        </w:rPr>
      </w:pPr>
      <w:r>
        <w:rPr>
          <w:rFonts w:hint="eastAsia" w:ascii="宋体" w:hAnsi="宋体"/>
          <w:color w:val="auto"/>
          <w:kern w:val="2"/>
          <w:sz w:val="21"/>
          <w:szCs w:val="21"/>
        </w:rPr>
        <w:br w:type="page"/>
      </w:r>
      <w:r>
        <w:rPr>
          <w:rFonts w:hint="eastAsia" w:ascii="宋体" w:hAnsi="宋体"/>
          <w:b/>
          <w:color w:val="auto"/>
          <w:sz w:val="28"/>
          <w:szCs w:val="36"/>
        </w:rPr>
        <w:t>第三章  投标文件的格式、附件</w:t>
      </w:r>
    </w:p>
    <w:p>
      <w:pPr>
        <w:ind w:left="420" w:leftChars="200" w:firstLine="0" w:firstLineChars="0"/>
        <w:rPr>
          <w:rFonts w:ascii="宋体" w:hAnsi="宋体"/>
          <w:color w:val="auto"/>
          <w:szCs w:val="21"/>
        </w:rPr>
      </w:pPr>
      <w:r>
        <w:rPr>
          <w:rStyle w:val="250"/>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firstLine="0" w:firstLineChars="0"/>
        <w:rPr>
          <w:rFonts w:ascii="宋体" w:hAnsi="宋体"/>
          <w:color w:val="auto"/>
          <w:szCs w:val="21"/>
        </w:rPr>
      </w:pPr>
    </w:p>
    <w:p>
      <w:pPr>
        <w:pStyle w:val="4"/>
        <w:numPr>
          <w:ilvl w:val="0"/>
          <w:numId w:val="0"/>
        </w:numPr>
        <w:ind w:leftChars="200"/>
        <w:jc w:val="center"/>
        <w:rPr>
          <w:rFonts w:ascii="黑体"/>
          <w:color w:val="auto"/>
          <w:kern w:val="0"/>
          <w:sz w:val="24"/>
        </w:rPr>
      </w:pPr>
      <w:r>
        <w:rPr>
          <w:rFonts w:hint="eastAsia" w:ascii="黑体"/>
          <w:color w:val="auto"/>
          <w:kern w:val="0"/>
          <w:sz w:val="24"/>
          <w:lang w:val="en-US" w:eastAsia="zh-CN"/>
        </w:rPr>
        <w:t>一、</w:t>
      </w:r>
      <w:r>
        <w:rPr>
          <w:rFonts w:hint="eastAsia" w:ascii="黑体"/>
          <w:color w:val="auto"/>
          <w:kern w:val="0"/>
          <w:sz w:val="24"/>
        </w:rPr>
        <w:t>法定代表人证明书</w:t>
      </w:r>
    </w:p>
    <w:p>
      <w:pPr>
        <w:ind w:left="420" w:leftChars="200" w:firstLine="0" w:firstLineChars="0"/>
        <w:rPr>
          <w:color w:val="auto"/>
          <w:sz w:val="24"/>
        </w:rPr>
      </w:pPr>
    </w:p>
    <w:p>
      <w:pPr>
        <w:ind w:left="420" w:leftChars="200" w:firstLine="0" w:firstLineChars="0"/>
        <w:rPr>
          <w:color w:val="auto"/>
          <w:szCs w:val="21"/>
          <w:u w:val="single"/>
        </w:rPr>
      </w:pPr>
      <w:r>
        <w:rPr>
          <w:rFonts w:hint="eastAsia"/>
          <w:color w:val="auto"/>
          <w:szCs w:val="21"/>
        </w:rPr>
        <w:t>单位名称：</w:t>
      </w:r>
    </w:p>
    <w:p>
      <w:pPr>
        <w:ind w:left="420" w:leftChars="200" w:firstLine="0" w:firstLineChars="0"/>
        <w:rPr>
          <w:color w:val="auto"/>
          <w:szCs w:val="21"/>
          <w:u w:val="single"/>
        </w:rPr>
      </w:pPr>
      <w:r>
        <w:rPr>
          <w:rFonts w:hint="eastAsia"/>
          <w:color w:val="auto"/>
          <w:szCs w:val="21"/>
        </w:rPr>
        <w:t>地址：</w:t>
      </w:r>
    </w:p>
    <w:p>
      <w:pPr>
        <w:ind w:left="420" w:leftChars="200" w:firstLine="0" w:firstLineChars="0"/>
        <w:rPr>
          <w:color w:val="auto"/>
          <w:szCs w:val="21"/>
          <w:u w:val="single"/>
        </w:rPr>
      </w:pPr>
      <w:r>
        <w:rPr>
          <w:rFonts w:hint="eastAsia"/>
          <w:color w:val="auto"/>
          <w:szCs w:val="21"/>
        </w:rPr>
        <w:t>姓名：  性别：    年龄：       身份证号码：                   职务：</w:t>
      </w:r>
    </w:p>
    <w:p>
      <w:pPr>
        <w:ind w:left="420" w:leftChars="200" w:firstLine="0" w:firstLineChars="0"/>
        <w:rPr>
          <w:color w:val="auto"/>
          <w:szCs w:val="21"/>
        </w:rPr>
      </w:pPr>
      <w:r>
        <w:rPr>
          <w:rFonts w:hint="eastAsia"/>
          <w:color w:val="auto"/>
          <w:szCs w:val="21"/>
        </w:rPr>
        <w:t>系</w:t>
      </w:r>
      <w:r>
        <w:rPr>
          <w:rFonts w:hint="eastAsia"/>
          <w:color w:val="auto"/>
          <w:szCs w:val="21"/>
          <w:u w:val="single"/>
        </w:rPr>
        <w:t>（投标人名称）</w:t>
      </w:r>
      <w:r>
        <w:rPr>
          <w:rFonts w:hint="eastAsia"/>
          <w:color w:val="auto"/>
          <w:szCs w:val="21"/>
        </w:rPr>
        <w:t>的法定代表人。</w:t>
      </w:r>
    </w:p>
    <w:p>
      <w:pPr>
        <w:ind w:left="420" w:leftChars="200" w:firstLine="0" w:firstLineChars="0"/>
        <w:rPr>
          <w:color w:val="auto"/>
          <w:szCs w:val="21"/>
        </w:rPr>
      </w:pPr>
      <w:r>
        <w:rPr>
          <w:rFonts w:hint="eastAsia"/>
          <w:color w:val="auto"/>
          <w:szCs w:val="21"/>
        </w:rPr>
        <w:t>特此证明</w:t>
      </w:r>
    </w:p>
    <w:p>
      <w:pPr>
        <w:ind w:left="420" w:leftChars="200" w:right="420" w:firstLine="0" w:firstLineChars="0"/>
        <w:jc w:val="right"/>
        <w:rPr>
          <w:color w:val="auto"/>
          <w:szCs w:val="21"/>
        </w:rPr>
      </w:pPr>
      <w:r>
        <w:rPr>
          <w:rFonts w:hint="eastAsia"/>
          <w:color w:val="auto"/>
          <w:szCs w:val="21"/>
        </w:rPr>
        <w:t>日期：年月日</w:t>
      </w:r>
    </w:p>
    <w:p>
      <w:pPr>
        <w:ind w:left="420" w:leftChars="200" w:firstLine="0" w:firstLineChars="0"/>
        <w:jc w:val="left"/>
        <w:rPr>
          <w:color w:val="auto"/>
          <w:szCs w:val="21"/>
        </w:rPr>
      </w:pPr>
    </w:p>
    <w:p>
      <w:pPr>
        <w:ind w:left="420" w:leftChars="200" w:firstLine="0" w:firstLineChars="0"/>
        <w:jc w:val="left"/>
        <w:rPr>
          <w:color w:val="auto"/>
          <w:szCs w:val="21"/>
        </w:rPr>
      </w:pPr>
      <w:r>
        <w:rPr>
          <w:rFonts w:hint="eastAsia"/>
          <w:color w:val="auto"/>
          <w:szCs w:val="21"/>
        </w:rPr>
        <w:t>附：法定代表人身份证复印件。</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firstLine="0" w:firstLineChars="0"/>
        <w:rPr>
          <w:b/>
          <w:color w:val="auto"/>
          <w:szCs w:val="21"/>
        </w:rPr>
      </w:pPr>
    </w:p>
    <w:p>
      <w:pPr>
        <w:ind w:left="420" w:leftChars="200" w:firstLine="0" w:firstLineChars="0"/>
        <w:rPr>
          <w:b/>
          <w:color w:val="auto"/>
          <w:szCs w:val="21"/>
        </w:rPr>
      </w:pPr>
    </w:p>
    <w:p>
      <w:pPr>
        <w:ind w:left="420" w:leftChars="200" w:firstLine="0" w:firstLineChars="0"/>
        <w:rPr>
          <w:b/>
          <w:color w:val="auto"/>
          <w:szCs w:val="21"/>
        </w:rPr>
      </w:pPr>
    </w:p>
    <w:p>
      <w:pPr>
        <w:pStyle w:val="4"/>
        <w:numPr>
          <w:ilvl w:val="0"/>
          <w:numId w:val="0"/>
        </w:numPr>
        <w:ind w:leftChars="200"/>
        <w:jc w:val="center"/>
        <w:rPr>
          <w:rFonts w:ascii="黑体"/>
          <w:color w:val="auto"/>
          <w:kern w:val="0"/>
          <w:sz w:val="24"/>
        </w:rPr>
      </w:pPr>
      <w:r>
        <w:rPr>
          <w:rFonts w:hint="eastAsia" w:ascii="黑体"/>
          <w:color w:val="auto"/>
          <w:kern w:val="0"/>
          <w:sz w:val="24"/>
          <w:lang w:val="en-US" w:eastAsia="zh-CN"/>
        </w:rPr>
        <w:t>二、</w:t>
      </w:r>
      <w:r>
        <w:rPr>
          <w:rFonts w:hint="eastAsia" w:ascii="黑体"/>
          <w:color w:val="auto"/>
          <w:kern w:val="0"/>
          <w:sz w:val="24"/>
        </w:rPr>
        <w:t>授权委托书</w:t>
      </w:r>
    </w:p>
    <w:p>
      <w:pPr>
        <w:spacing w:line="360" w:lineRule="auto"/>
        <w:ind w:left="420" w:leftChars="200" w:firstLine="0" w:firstLineChars="0"/>
        <w:rPr>
          <w:color w:val="auto"/>
          <w:szCs w:val="21"/>
        </w:rPr>
      </w:pPr>
      <w:r>
        <w:rPr>
          <w:rFonts w:hint="eastAsia"/>
          <w:color w:val="auto"/>
          <w:szCs w:val="21"/>
        </w:rPr>
        <w:t>我</w:t>
      </w:r>
      <w:r>
        <w:rPr>
          <w:rFonts w:hint="eastAsia"/>
          <w:color w:val="auto"/>
          <w:szCs w:val="21"/>
          <w:u w:val="single"/>
        </w:rPr>
        <w:t>（姓名）</w:t>
      </w:r>
      <w:r>
        <w:rPr>
          <w:rFonts w:hint="eastAsia"/>
          <w:color w:val="auto"/>
          <w:szCs w:val="21"/>
        </w:rPr>
        <w:t>系</w:t>
      </w:r>
      <w:r>
        <w:rPr>
          <w:rFonts w:hint="eastAsia"/>
          <w:color w:val="auto"/>
          <w:szCs w:val="21"/>
          <w:u w:val="single"/>
        </w:rPr>
        <w:t>（投标人名称）的</w:t>
      </w:r>
      <w:r>
        <w:rPr>
          <w:rFonts w:hint="eastAsia"/>
          <w:color w:val="auto"/>
          <w:szCs w:val="21"/>
        </w:rPr>
        <w:t>法定代表人，现授权我单位的</w:t>
      </w:r>
      <w:r>
        <w:rPr>
          <w:rFonts w:hint="eastAsia"/>
          <w:color w:val="auto"/>
          <w:szCs w:val="21"/>
          <w:u w:val="single"/>
        </w:rPr>
        <w:t>（姓名）（身份证号码：）</w:t>
      </w:r>
      <w:r>
        <w:rPr>
          <w:rFonts w:hint="eastAsia"/>
          <w:color w:val="auto"/>
          <w:szCs w:val="21"/>
        </w:rPr>
        <w:t>代表我单位签署</w:t>
      </w:r>
      <w:r>
        <w:rPr>
          <w:rFonts w:hint="eastAsia"/>
          <w:color w:val="auto"/>
          <w:szCs w:val="21"/>
          <w:u w:val="single"/>
        </w:rPr>
        <w:t>（项目名称：项目编号：）</w:t>
      </w:r>
      <w:r>
        <w:rPr>
          <w:rFonts w:hint="eastAsia"/>
          <w:color w:val="auto"/>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firstLine="0" w:firstLineChars="0"/>
        <w:rPr>
          <w:color w:val="auto"/>
          <w:szCs w:val="21"/>
        </w:rPr>
      </w:pPr>
      <w:r>
        <w:rPr>
          <w:rFonts w:hint="eastAsia"/>
          <w:color w:val="auto"/>
          <w:szCs w:val="21"/>
        </w:rPr>
        <w:t>被授权人签署的所有文件不因授权的撤消而消失；被授权人无转委权。</w:t>
      </w:r>
    </w:p>
    <w:p>
      <w:pPr>
        <w:spacing w:line="360" w:lineRule="auto"/>
        <w:ind w:left="420" w:leftChars="200" w:firstLine="0" w:firstLineChars="0"/>
        <w:rPr>
          <w:color w:val="auto"/>
          <w:szCs w:val="21"/>
          <w:u w:val="single"/>
        </w:rPr>
      </w:pPr>
      <w:r>
        <w:rPr>
          <w:rFonts w:hint="eastAsia"/>
          <w:color w:val="auto"/>
          <w:szCs w:val="21"/>
        </w:rPr>
        <w:t>被授权人：性别：年龄：</w:t>
      </w:r>
    </w:p>
    <w:p>
      <w:pPr>
        <w:spacing w:line="360" w:lineRule="auto"/>
        <w:ind w:left="420" w:leftChars="200" w:firstLine="0" w:firstLineChars="0"/>
        <w:rPr>
          <w:color w:val="auto"/>
          <w:szCs w:val="21"/>
        </w:rPr>
      </w:pPr>
      <w:r>
        <w:rPr>
          <w:rFonts w:hint="eastAsia"/>
          <w:color w:val="auto"/>
          <w:szCs w:val="21"/>
        </w:rPr>
        <w:t>联系电话：手机：</w:t>
      </w:r>
    </w:p>
    <w:p>
      <w:pPr>
        <w:spacing w:line="360" w:lineRule="auto"/>
        <w:ind w:left="420" w:leftChars="200" w:firstLine="0" w:firstLineChars="0"/>
        <w:jc w:val="right"/>
        <w:rPr>
          <w:color w:val="auto"/>
          <w:szCs w:val="21"/>
        </w:rPr>
      </w:pPr>
      <w:r>
        <w:rPr>
          <w:rFonts w:hint="eastAsia"/>
          <w:color w:val="auto"/>
          <w:szCs w:val="21"/>
        </w:rPr>
        <w:t>日期：年月日</w:t>
      </w:r>
    </w:p>
    <w:p>
      <w:pPr>
        <w:spacing w:line="360" w:lineRule="auto"/>
        <w:ind w:left="420" w:leftChars="200" w:firstLine="0" w:firstLineChars="0"/>
        <w:rPr>
          <w:color w:val="auto"/>
          <w:szCs w:val="21"/>
        </w:rPr>
      </w:pPr>
      <w:r>
        <w:rPr>
          <w:rFonts w:hint="eastAsia"/>
          <w:color w:val="auto"/>
          <w:szCs w:val="21"/>
        </w:rPr>
        <w:t>附：被授权人身份证复印件。</w:t>
      </w:r>
    </w:p>
    <w:p>
      <w:pPr>
        <w:ind w:left="420" w:leftChars="200" w:firstLine="0" w:firstLineChars="0"/>
        <w:rPr>
          <w:b/>
          <w:color w:val="auto"/>
          <w:szCs w:val="21"/>
        </w:rPr>
      </w:pPr>
    </w:p>
    <w:p>
      <w:pPr>
        <w:ind w:left="420" w:leftChars="200" w:firstLine="0" w:firstLineChars="0"/>
        <w:rPr>
          <w:b/>
          <w:color w:val="auto"/>
          <w:szCs w:val="21"/>
        </w:rPr>
      </w:pPr>
      <w:r>
        <w:rPr>
          <w:rFonts w:hint="eastAsia"/>
          <w:b/>
          <w:color w:val="auto"/>
          <w:szCs w:val="21"/>
        </w:rPr>
        <w:t>注：须提供被授权人有效期内身份证（正反面）扫描件。</w:t>
      </w:r>
    </w:p>
    <w:p>
      <w:pPr>
        <w:pStyle w:val="4"/>
        <w:numPr>
          <w:ilvl w:val="0"/>
          <w:numId w:val="0"/>
        </w:numPr>
        <w:ind w:leftChars="200"/>
        <w:jc w:val="center"/>
        <w:rPr>
          <w:rFonts w:ascii="黑体"/>
          <w:color w:val="auto"/>
          <w:kern w:val="0"/>
          <w:sz w:val="24"/>
        </w:rPr>
      </w:pPr>
      <w:r>
        <w:rPr>
          <w:rFonts w:hint="eastAsia" w:ascii="黑体"/>
          <w:color w:val="auto"/>
          <w:kern w:val="0"/>
          <w:sz w:val="24"/>
        </w:rPr>
        <w:br w:type="page"/>
      </w:r>
      <w:r>
        <w:rPr>
          <w:rFonts w:hint="eastAsia" w:ascii="黑体"/>
          <w:color w:val="auto"/>
          <w:kern w:val="0"/>
          <w:sz w:val="24"/>
          <w:lang w:val="en-US" w:eastAsia="zh-CN"/>
        </w:rPr>
        <w:t>三、</w:t>
      </w:r>
      <w:r>
        <w:rPr>
          <w:rFonts w:hint="eastAsia" w:ascii="黑体"/>
          <w:color w:val="auto"/>
          <w:kern w:val="0"/>
          <w:sz w:val="24"/>
        </w:rPr>
        <w:t>投标函</w:t>
      </w:r>
    </w:p>
    <w:p>
      <w:pPr>
        <w:ind w:left="420" w:leftChars="200" w:firstLine="0" w:firstLineChars="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firstLine="0" w:firstLineChars="0"/>
        <w:rPr>
          <w:rFonts w:hint="eastAsia" w:ascii="宋体" w:hAnsi="宋体" w:eastAsia="宋体"/>
          <w:color w:val="auto"/>
          <w:szCs w:val="21"/>
          <w:u w:val="single"/>
          <w:lang w:eastAsia="zh-CN"/>
        </w:rPr>
      </w:pPr>
      <w:r>
        <w:rPr>
          <w:rFonts w:hint="eastAsia"/>
          <w:color w:val="auto"/>
          <w:szCs w:val="21"/>
        </w:rPr>
        <w:t>致：</w:t>
      </w:r>
      <w:r>
        <w:rPr>
          <w:rFonts w:hint="eastAsia" w:ascii="宋体" w:hAnsi="宋体"/>
          <w:color w:val="auto"/>
          <w:szCs w:val="21"/>
          <w:u w:val="single"/>
        </w:rPr>
        <w:t>深圳市光明区</w:t>
      </w:r>
      <w:r>
        <w:rPr>
          <w:rFonts w:hint="eastAsia" w:ascii="宋体" w:hAnsi="宋体"/>
          <w:color w:val="auto"/>
          <w:szCs w:val="21"/>
          <w:u w:val="single"/>
          <w:lang w:eastAsia="zh-CN"/>
        </w:rPr>
        <w:t>教育局</w:t>
      </w:r>
    </w:p>
    <w:p>
      <w:pPr>
        <w:ind w:left="420" w:leftChars="200" w:firstLine="0" w:firstLineChars="0"/>
        <w:rPr>
          <w:color w:val="auto"/>
          <w:szCs w:val="21"/>
        </w:rPr>
      </w:pPr>
    </w:p>
    <w:p>
      <w:pPr>
        <w:ind w:left="420" w:leftChars="200" w:firstLine="0" w:firstLineChars="0"/>
        <w:rPr>
          <w:color w:val="auto"/>
          <w:szCs w:val="21"/>
        </w:rPr>
      </w:pPr>
      <w:r>
        <w:rPr>
          <w:rFonts w:hint="eastAsia"/>
          <w:color w:val="auto"/>
          <w:szCs w:val="21"/>
        </w:rPr>
        <w:t xml:space="preserve">1、根据贵中心组织实施  </w:t>
      </w:r>
      <w:r>
        <w:rPr>
          <w:rFonts w:hint="eastAsia"/>
          <w:color w:val="auto"/>
          <w:szCs w:val="21"/>
          <w:u w:val="single"/>
        </w:rPr>
        <w:t xml:space="preserve">     </w:t>
      </w:r>
      <w:r>
        <w:rPr>
          <w:rFonts w:hint="eastAsia"/>
          <w:color w:val="auto"/>
          <w:szCs w:val="21"/>
        </w:rPr>
        <w:t xml:space="preserve">项目（项目编号： </w:t>
      </w:r>
      <w:r>
        <w:rPr>
          <w:rFonts w:hint="eastAsia"/>
          <w:color w:val="auto"/>
          <w:szCs w:val="21"/>
          <w:u w:val="single"/>
        </w:rPr>
        <w:t xml:space="preserve">     </w:t>
      </w:r>
      <w:r>
        <w:rPr>
          <w:rFonts w:hint="eastAsia"/>
          <w:color w:val="auto"/>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firstLine="0" w:firstLineChars="0"/>
        <w:rPr>
          <w:color w:val="auto"/>
          <w:szCs w:val="21"/>
        </w:rPr>
      </w:pPr>
      <w:r>
        <w:rPr>
          <w:rFonts w:hint="eastAsia"/>
          <w:color w:val="auto"/>
          <w:szCs w:val="21"/>
        </w:rPr>
        <w:t>2、投标人将按招投标文件的规定履行合同权利和义务。</w:t>
      </w:r>
    </w:p>
    <w:p>
      <w:pPr>
        <w:ind w:left="420" w:leftChars="200" w:firstLine="0" w:firstLineChars="0"/>
        <w:rPr>
          <w:color w:val="auto"/>
          <w:szCs w:val="21"/>
        </w:rPr>
      </w:pPr>
      <w:r>
        <w:rPr>
          <w:rFonts w:hint="eastAsia"/>
          <w:color w:val="auto"/>
          <w:szCs w:val="21"/>
        </w:rPr>
        <w:t>3、我单位同意所递交的投标文件在“对通用条款的补充内容”中的投标有效期内有效，在此期间内我单位如有幸中标，我方将受此约束。</w:t>
      </w:r>
    </w:p>
    <w:p>
      <w:pPr>
        <w:ind w:left="420" w:leftChars="200" w:firstLine="0" w:firstLineChars="0"/>
        <w:rPr>
          <w:color w:val="auto"/>
          <w:szCs w:val="21"/>
        </w:rPr>
      </w:pPr>
      <w:r>
        <w:rPr>
          <w:rFonts w:hint="eastAsia"/>
          <w:color w:val="auto"/>
          <w:szCs w:val="21"/>
        </w:rPr>
        <w:t>4、我单位已认真详细阅读招标文件内容，在投标截止时间后，放弃提出对招标文件误解及质疑投诉的权利。</w:t>
      </w:r>
    </w:p>
    <w:p>
      <w:pPr>
        <w:ind w:left="420" w:leftChars="200" w:firstLine="0" w:firstLineChars="0"/>
        <w:rPr>
          <w:color w:val="auto"/>
          <w:szCs w:val="21"/>
        </w:rPr>
      </w:pPr>
      <w:r>
        <w:rPr>
          <w:rFonts w:hint="eastAsia"/>
          <w:color w:val="auto"/>
          <w:szCs w:val="21"/>
        </w:rPr>
        <w:t>5、如我单位有幸中标，中标通知书和本投标文件将作为本项目采购合同的附件约束我单位。</w:t>
      </w:r>
    </w:p>
    <w:p>
      <w:pPr>
        <w:ind w:left="420" w:leftChars="200" w:firstLine="0" w:firstLineChars="0"/>
        <w:rPr>
          <w:color w:val="auto"/>
          <w:szCs w:val="21"/>
        </w:rPr>
      </w:pPr>
      <w:r>
        <w:rPr>
          <w:color w:val="auto"/>
          <w:szCs w:val="21"/>
        </w:rPr>
        <w:t>6</w:t>
      </w:r>
      <w:r>
        <w:rPr>
          <w:rFonts w:hint="eastAsia"/>
          <w:color w:val="auto"/>
          <w:szCs w:val="21"/>
        </w:rPr>
        <w:t>、我单位愿意向贵中心及采购人提供任何与本项目有关的数据、情况和技术资料。</w:t>
      </w:r>
    </w:p>
    <w:p>
      <w:pPr>
        <w:ind w:left="420" w:leftChars="200" w:firstLine="0" w:firstLineChars="0"/>
        <w:rPr>
          <w:color w:val="auto"/>
          <w:szCs w:val="21"/>
        </w:rPr>
      </w:pPr>
    </w:p>
    <w:p>
      <w:pPr>
        <w:ind w:left="420" w:leftChars="200" w:firstLine="0" w:firstLineChars="0"/>
        <w:rPr>
          <w:color w:val="auto"/>
          <w:szCs w:val="21"/>
        </w:rPr>
      </w:pPr>
    </w:p>
    <w:p>
      <w:pPr>
        <w:ind w:left="420" w:leftChars="200" w:firstLine="0" w:firstLineChars="0"/>
        <w:rPr>
          <w:color w:val="auto"/>
          <w:szCs w:val="21"/>
        </w:rPr>
      </w:pPr>
      <w:r>
        <w:rPr>
          <w:rFonts w:hint="eastAsia"/>
          <w:color w:val="auto"/>
          <w:szCs w:val="21"/>
        </w:rPr>
        <w:t>与本投标有关的一切正式往来信函请寄：</w:t>
      </w:r>
    </w:p>
    <w:p>
      <w:pPr>
        <w:ind w:left="420" w:leftChars="200" w:firstLine="0" w:firstLineChars="0"/>
        <w:rPr>
          <w:color w:val="auto"/>
          <w:szCs w:val="21"/>
        </w:rPr>
      </w:pPr>
    </w:p>
    <w:p>
      <w:pPr>
        <w:ind w:left="420" w:leftChars="200" w:firstLine="0" w:firstLineChars="0"/>
        <w:rPr>
          <w:rFonts w:hint="eastAsia"/>
          <w:color w:val="auto"/>
          <w:szCs w:val="21"/>
        </w:rPr>
      </w:pPr>
      <w:r>
        <w:rPr>
          <w:rFonts w:hint="eastAsia"/>
          <w:color w:val="auto"/>
          <w:szCs w:val="21"/>
        </w:rPr>
        <w:t>投标人：</w:t>
      </w:r>
    </w:p>
    <w:p>
      <w:pPr>
        <w:ind w:left="420" w:leftChars="200" w:firstLine="0" w:firstLineChars="0"/>
        <w:rPr>
          <w:color w:val="auto"/>
          <w:szCs w:val="21"/>
        </w:rPr>
      </w:pPr>
      <w:r>
        <w:rPr>
          <w:rFonts w:hint="eastAsia"/>
          <w:color w:val="auto"/>
          <w:szCs w:val="21"/>
        </w:rPr>
        <w:t>地址：</w:t>
      </w:r>
    </w:p>
    <w:p>
      <w:pPr>
        <w:ind w:left="420" w:leftChars="200" w:firstLine="0" w:firstLineChars="0"/>
        <w:rPr>
          <w:color w:val="auto"/>
          <w:szCs w:val="21"/>
        </w:rPr>
      </w:pPr>
      <w:r>
        <w:rPr>
          <w:rFonts w:hint="eastAsia"/>
          <w:color w:val="auto"/>
          <w:szCs w:val="21"/>
        </w:rPr>
        <w:t>电话/手机：</w:t>
      </w:r>
    </w:p>
    <w:p>
      <w:pPr>
        <w:ind w:left="420" w:leftChars="200" w:firstLine="0" w:firstLineChars="0"/>
        <w:rPr>
          <w:color w:val="auto"/>
          <w:szCs w:val="21"/>
        </w:rPr>
      </w:pPr>
      <w:r>
        <w:rPr>
          <w:rFonts w:hint="eastAsia"/>
          <w:color w:val="auto"/>
          <w:szCs w:val="21"/>
        </w:rPr>
        <w:t>传真：</w:t>
      </w:r>
    </w:p>
    <w:p>
      <w:pPr>
        <w:ind w:left="420" w:leftChars="200" w:firstLine="0" w:firstLineChars="0"/>
        <w:rPr>
          <w:color w:val="auto"/>
          <w:szCs w:val="21"/>
        </w:rPr>
      </w:pPr>
      <w:r>
        <w:rPr>
          <w:rFonts w:hint="eastAsia"/>
          <w:color w:val="auto"/>
          <w:szCs w:val="21"/>
        </w:rPr>
        <w:t>邮箱：</w:t>
      </w:r>
    </w:p>
    <w:p>
      <w:pPr>
        <w:ind w:left="420" w:leftChars="200" w:firstLine="0" w:firstLineChars="0"/>
        <w:rPr>
          <w:rFonts w:hint="eastAsia"/>
          <w:color w:val="auto"/>
          <w:szCs w:val="21"/>
        </w:rPr>
      </w:pPr>
    </w:p>
    <w:p>
      <w:pPr>
        <w:ind w:left="420" w:leftChars="200" w:firstLine="0" w:firstLineChars="0"/>
        <w:rPr>
          <w:rFonts w:hint="eastAsia"/>
          <w:color w:val="auto"/>
          <w:szCs w:val="21"/>
        </w:rPr>
      </w:pPr>
    </w:p>
    <w:p>
      <w:pPr>
        <w:ind w:left="420" w:leftChars="200" w:right="315" w:firstLine="0" w:firstLineChars="0"/>
        <w:jc w:val="left"/>
        <w:rPr>
          <w:color w:val="auto"/>
          <w:szCs w:val="21"/>
        </w:rPr>
      </w:pPr>
      <w:r>
        <w:rPr>
          <w:rFonts w:hint="eastAsia"/>
          <w:color w:val="auto"/>
          <w:szCs w:val="21"/>
        </w:rPr>
        <w:t>日期</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firstLine="0" w:firstLineChars="0"/>
        <w:rPr>
          <w:color w:val="auto"/>
          <w:szCs w:val="21"/>
        </w:rPr>
      </w:pPr>
    </w:p>
    <w:p>
      <w:pPr>
        <w:ind w:left="420" w:leftChars="200" w:firstLine="0" w:firstLineChars="0"/>
        <w:rPr>
          <w:color w:val="auto"/>
          <w:szCs w:val="21"/>
        </w:rPr>
      </w:pPr>
    </w:p>
    <w:p>
      <w:pPr>
        <w:ind w:left="420" w:leftChars="200" w:firstLine="0" w:firstLineChars="0"/>
        <w:rPr>
          <w:rStyle w:val="250"/>
          <w:color w:val="auto"/>
        </w:rPr>
      </w:pPr>
    </w:p>
    <w:p>
      <w:pPr>
        <w:pStyle w:val="4"/>
        <w:numPr>
          <w:ilvl w:val="0"/>
          <w:numId w:val="0"/>
        </w:numPr>
        <w:ind w:leftChars="200"/>
        <w:jc w:val="center"/>
        <w:rPr>
          <w:color w:val="auto"/>
          <w:kern w:val="0"/>
          <w:sz w:val="24"/>
          <w:szCs w:val="24"/>
        </w:rPr>
      </w:pPr>
      <w:r>
        <w:rPr>
          <w:rFonts w:hint="eastAsia"/>
          <w:color w:val="auto"/>
          <w:kern w:val="0"/>
          <w:sz w:val="24"/>
          <w:szCs w:val="24"/>
        </w:rPr>
        <w:br w:type="page"/>
      </w:r>
      <w:r>
        <w:rPr>
          <w:rFonts w:hint="eastAsia"/>
          <w:color w:val="auto"/>
          <w:kern w:val="0"/>
          <w:sz w:val="24"/>
          <w:szCs w:val="24"/>
          <w:lang w:val="en-US" w:eastAsia="zh-CN"/>
        </w:rPr>
        <w:t>四、</w:t>
      </w:r>
      <w:r>
        <w:rPr>
          <w:rFonts w:hint="eastAsia"/>
          <w:color w:val="auto"/>
          <w:kern w:val="0"/>
          <w:sz w:val="24"/>
          <w:szCs w:val="24"/>
        </w:rPr>
        <w:t>履约承诺函</w:t>
      </w:r>
    </w:p>
    <w:p>
      <w:pPr>
        <w:ind w:left="420" w:leftChars="200" w:firstLine="0" w:firstLineChars="0"/>
        <w:rPr>
          <w:rFonts w:ascii="宋体" w:hAnsi="宋体"/>
          <w:color w:val="auto"/>
          <w:szCs w:val="21"/>
        </w:rPr>
      </w:pPr>
    </w:p>
    <w:p>
      <w:pPr>
        <w:ind w:left="420" w:leftChars="200" w:firstLine="0" w:firstLineChars="0"/>
        <w:rPr>
          <w:rFonts w:hint="eastAsia" w:ascii="宋体" w:hAnsi="宋体" w:eastAsia="宋体"/>
          <w:color w:val="auto"/>
          <w:szCs w:val="21"/>
          <w:lang w:eastAsia="zh-CN"/>
        </w:rPr>
      </w:pPr>
      <w:r>
        <w:rPr>
          <w:rFonts w:hint="eastAsia" w:ascii="宋体" w:hAnsi="宋体"/>
          <w:color w:val="auto"/>
          <w:szCs w:val="21"/>
        </w:rPr>
        <w:t>致：</w:t>
      </w:r>
      <w:r>
        <w:rPr>
          <w:rFonts w:hint="eastAsia" w:ascii="宋体" w:hAnsi="宋体"/>
          <w:color w:val="auto"/>
          <w:szCs w:val="21"/>
          <w:u w:val="single"/>
        </w:rPr>
        <w:t>深圳市光明区</w:t>
      </w:r>
      <w:r>
        <w:rPr>
          <w:rFonts w:hint="eastAsia" w:ascii="宋体" w:hAnsi="宋体"/>
          <w:color w:val="auto"/>
          <w:szCs w:val="21"/>
          <w:u w:val="single"/>
          <w:lang w:eastAsia="zh-CN"/>
        </w:rPr>
        <w:t>教育局</w:t>
      </w:r>
    </w:p>
    <w:p>
      <w:pPr>
        <w:ind w:left="420" w:leftChars="200" w:firstLine="0" w:firstLineChars="0"/>
        <w:rPr>
          <w:rFonts w:ascii="宋体" w:hAnsi="宋体"/>
          <w:color w:val="auto"/>
          <w:szCs w:val="21"/>
        </w:rPr>
      </w:pPr>
    </w:p>
    <w:p>
      <w:pPr>
        <w:ind w:left="420" w:leftChars="200" w:firstLine="0" w:firstLineChars="0"/>
        <w:rPr>
          <w:rFonts w:ascii="宋体" w:hAnsi="宋体"/>
          <w:color w:val="auto"/>
          <w:szCs w:val="21"/>
        </w:rPr>
      </w:pPr>
      <w:r>
        <w:rPr>
          <w:rFonts w:hint="eastAsia" w:ascii="宋体" w:hAnsi="宋体"/>
          <w:color w:val="auto"/>
          <w:szCs w:val="21"/>
        </w:rPr>
        <w:t>我单位承诺：</w:t>
      </w:r>
    </w:p>
    <w:p>
      <w:pPr>
        <w:ind w:left="420" w:leftChars="200" w:firstLine="0" w:firstLineChars="0"/>
        <w:rPr>
          <w:rFonts w:ascii="宋体" w:hAnsi="宋体"/>
          <w:color w:val="auto"/>
          <w:szCs w:val="21"/>
        </w:rPr>
      </w:pPr>
      <w:r>
        <w:rPr>
          <w:rFonts w:ascii="宋体" w:hAnsi="宋体"/>
          <w:color w:val="auto"/>
          <w:szCs w:val="21"/>
        </w:rPr>
        <w:t>1</w:t>
      </w:r>
      <w:r>
        <w:rPr>
          <w:rFonts w:hint="eastAsia" w:ascii="宋体" w:hAnsi="宋体"/>
          <w:color w:val="auto"/>
          <w:szCs w:val="21"/>
        </w:rPr>
        <w:t>. 对本招标项目所提供的货物、工程或服务未侵犯知识产权，我单位已清楚，提供虚假承诺或者被有关单位确认为侵犯知识产权的，三年内不得参加政府采购活动。</w:t>
      </w:r>
    </w:p>
    <w:p>
      <w:pPr>
        <w:ind w:left="420" w:leftChars="200" w:firstLine="0" w:firstLineChars="0"/>
        <w:rPr>
          <w:rFonts w:ascii="宋体" w:hAnsi="宋体"/>
          <w:color w:val="auto"/>
          <w:szCs w:val="21"/>
        </w:rPr>
      </w:pPr>
      <w:r>
        <w:rPr>
          <w:rFonts w:ascii="宋体" w:hAnsi="宋体"/>
          <w:color w:val="auto"/>
          <w:szCs w:val="21"/>
        </w:rPr>
        <w:t>2</w:t>
      </w:r>
      <w:r>
        <w:rPr>
          <w:rFonts w:hint="eastAsia" w:ascii="宋体" w:hAnsi="宋体"/>
          <w:color w:val="auto"/>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firstLine="0" w:firstLineChars="0"/>
        <w:rPr>
          <w:rFonts w:hint="eastAsia" w:ascii="宋体" w:hAnsi="宋体"/>
          <w:color w:val="auto"/>
          <w:szCs w:val="21"/>
        </w:rPr>
      </w:pPr>
      <w:r>
        <w:rPr>
          <w:rFonts w:hint="eastAsia" w:ascii="宋体" w:hAnsi="宋体"/>
          <w:color w:val="auto"/>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firstLine="0" w:firstLineChars="0"/>
        <w:rPr>
          <w:rFonts w:ascii="宋体" w:hAnsi="宋体"/>
          <w:color w:val="auto"/>
          <w:szCs w:val="21"/>
        </w:rPr>
      </w:pPr>
      <w:r>
        <w:rPr>
          <w:rFonts w:hint="eastAsia" w:ascii="宋体" w:hAnsi="宋体"/>
          <w:color w:val="auto"/>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firstLine="0" w:firstLineChars="0"/>
        <w:rPr>
          <w:rFonts w:ascii="宋体" w:hAnsi="宋体"/>
          <w:color w:val="auto"/>
          <w:szCs w:val="21"/>
        </w:rPr>
      </w:pPr>
      <w:r>
        <w:rPr>
          <w:rFonts w:hint="eastAsia" w:ascii="宋体" w:hAnsi="宋体"/>
          <w:color w:val="auto"/>
          <w:szCs w:val="21"/>
        </w:rPr>
        <w:t>5. 如我单位有幸中标，做到守信，依照本项目招标文件及投标文件要求、与采购单位签署的采购合同，以及本公司在投标中所作的一切承诺进行履约。</w:t>
      </w:r>
    </w:p>
    <w:p>
      <w:pPr>
        <w:ind w:left="420" w:leftChars="200" w:firstLine="0" w:firstLineChars="0"/>
        <w:rPr>
          <w:rFonts w:ascii="宋体" w:hAnsi="宋体"/>
          <w:color w:val="auto"/>
          <w:szCs w:val="21"/>
        </w:rPr>
      </w:pPr>
      <w:r>
        <w:rPr>
          <w:rFonts w:hint="eastAsia" w:ascii="宋体" w:hAnsi="宋体"/>
          <w:color w:val="auto"/>
          <w:szCs w:val="21"/>
        </w:rPr>
        <w:t>6. 我单位已认真阅读本项目需求，特别是交货期、完工期和服务期的要求，我司承诺完全满足本项目的交货期、完工期和服务期要求。</w:t>
      </w:r>
    </w:p>
    <w:p>
      <w:pPr>
        <w:ind w:left="420" w:leftChars="200" w:firstLine="0" w:firstLineChars="0"/>
        <w:rPr>
          <w:rFonts w:ascii="宋体" w:hAnsi="宋体"/>
          <w:color w:val="auto"/>
          <w:szCs w:val="21"/>
        </w:rPr>
      </w:pPr>
      <w:r>
        <w:rPr>
          <w:rFonts w:hint="eastAsia" w:ascii="宋体" w:hAnsi="宋体"/>
          <w:color w:val="auto"/>
          <w:szCs w:val="21"/>
        </w:rPr>
        <w:t>7.我单位承诺不转包或非法分包。</w:t>
      </w:r>
    </w:p>
    <w:p>
      <w:pPr>
        <w:ind w:left="420" w:leftChars="200" w:firstLine="0" w:firstLineChars="0"/>
        <w:rPr>
          <w:rFonts w:ascii="宋体" w:hAnsi="宋体"/>
          <w:color w:val="auto"/>
          <w:szCs w:val="21"/>
        </w:rPr>
      </w:pPr>
      <w:r>
        <w:rPr>
          <w:rFonts w:hint="eastAsia" w:ascii="宋体" w:hAnsi="宋体"/>
          <w:color w:val="auto"/>
          <w:szCs w:val="21"/>
        </w:rPr>
        <w:t>以上承诺，如有违反，愿依照国家相关法律处理，并赔偿由此给采购人带来的一切经济损失。</w:t>
      </w:r>
    </w:p>
    <w:p>
      <w:pPr>
        <w:ind w:left="420" w:leftChars="200" w:firstLine="0" w:firstLineChars="0"/>
        <w:rPr>
          <w:rFonts w:ascii="宋体" w:hAnsi="宋体"/>
          <w:color w:val="auto"/>
          <w:szCs w:val="21"/>
        </w:rPr>
      </w:pPr>
    </w:p>
    <w:p>
      <w:pPr>
        <w:ind w:left="420" w:leftChars="200" w:firstLine="0" w:firstLineChars="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firstLine="0" w:firstLineChars="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firstLine="0" w:firstLineChars="0"/>
        <w:jc w:val="left"/>
        <w:rPr>
          <w:rFonts w:ascii="宋体" w:hAnsi="宋体"/>
          <w:b w:val="0"/>
          <w:bCs w:val="0"/>
          <w:color w:val="auto"/>
          <w:sz w:val="21"/>
          <w:szCs w:val="21"/>
          <w:lang w:eastAsia="zh-CN"/>
        </w:rPr>
      </w:pPr>
    </w:p>
    <w:p>
      <w:pPr>
        <w:pStyle w:val="2"/>
        <w:ind w:left="420" w:leftChars="200" w:firstLine="0" w:firstLineChars="0"/>
        <w:jc w:val="left"/>
        <w:rPr>
          <w:rFonts w:ascii="宋体" w:hAnsi="宋体"/>
          <w:b w:val="0"/>
          <w:bCs w:val="0"/>
          <w:color w:val="auto"/>
          <w:sz w:val="21"/>
          <w:szCs w:val="21"/>
          <w:lang w:eastAsia="zh-CN"/>
        </w:rPr>
      </w:pPr>
    </w:p>
    <w:p>
      <w:pPr>
        <w:pStyle w:val="4"/>
        <w:numPr>
          <w:ilvl w:val="0"/>
          <w:numId w:val="0"/>
        </w:numPr>
        <w:ind w:leftChars="200"/>
        <w:jc w:val="center"/>
        <w:rPr>
          <w:rFonts w:ascii="黑体"/>
          <w:color w:val="auto"/>
          <w:kern w:val="0"/>
          <w:sz w:val="24"/>
        </w:rPr>
      </w:pPr>
      <w:r>
        <w:rPr>
          <w:rFonts w:hint="eastAsia"/>
          <w:color w:val="auto"/>
          <w:kern w:val="0"/>
          <w:sz w:val="24"/>
          <w:szCs w:val="24"/>
        </w:rPr>
        <w:br w:type="page"/>
      </w:r>
      <w:r>
        <w:rPr>
          <w:rFonts w:hint="eastAsia"/>
          <w:color w:val="auto"/>
          <w:kern w:val="0"/>
          <w:sz w:val="24"/>
          <w:szCs w:val="24"/>
          <w:lang w:val="en-US" w:eastAsia="zh-CN"/>
        </w:rPr>
        <w:t>五、</w:t>
      </w:r>
      <w:r>
        <w:rPr>
          <w:rFonts w:hint="eastAsia"/>
          <w:color w:val="auto"/>
          <w:kern w:val="0"/>
          <w:sz w:val="24"/>
          <w:szCs w:val="24"/>
        </w:rPr>
        <w:t>诚信承诺函</w:t>
      </w:r>
    </w:p>
    <w:p>
      <w:pPr>
        <w:pStyle w:val="2"/>
        <w:ind w:left="420" w:leftChars="200" w:firstLine="0" w:firstLineChars="0"/>
        <w:jc w:val="center"/>
        <w:rPr>
          <w:rFonts w:ascii="宋体" w:hAnsi="宋体"/>
          <w:bCs w:val="0"/>
          <w:color w:val="auto"/>
          <w:sz w:val="21"/>
          <w:szCs w:val="21"/>
          <w:lang w:eastAsia="zh-CN"/>
        </w:rPr>
      </w:pPr>
    </w:p>
    <w:p>
      <w:pPr>
        <w:ind w:left="420" w:leftChars="200" w:firstLine="0" w:firstLineChars="0"/>
        <w:rPr>
          <w:rFonts w:hint="eastAsia" w:ascii="宋体" w:hAnsi="宋体" w:eastAsia="宋体"/>
          <w:color w:val="auto"/>
          <w:szCs w:val="21"/>
          <w:lang w:eastAsia="zh-CN"/>
        </w:rPr>
      </w:pPr>
      <w:r>
        <w:rPr>
          <w:rFonts w:hint="eastAsia" w:ascii="宋体" w:hAnsi="宋体"/>
          <w:color w:val="auto"/>
          <w:szCs w:val="21"/>
        </w:rPr>
        <w:t>致：</w:t>
      </w:r>
      <w:r>
        <w:rPr>
          <w:rFonts w:hint="eastAsia" w:ascii="宋体" w:hAnsi="宋体"/>
          <w:color w:val="auto"/>
          <w:szCs w:val="21"/>
          <w:u w:val="single"/>
        </w:rPr>
        <w:t>深圳市光明区</w:t>
      </w:r>
      <w:r>
        <w:rPr>
          <w:rFonts w:hint="eastAsia" w:ascii="宋体" w:hAnsi="宋体"/>
          <w:color w:val="auto"/>
          <w:szCs w:val="21"/>
          <w:u w:val="single"/>
          <w:lang w:eastAsia="zh-CN"/>
        </w:rPr>
        <w:t>教育局</w:t>
      </w:r>
    </w:p>
    <w:p>
      <w:pPr>
        <w:ind w:left="420" w:leftChars="200" w:firstLine="0" w:firstLineChars="0"/>
        <w:rPr>
          <w:rFonts w:ascii="宋体" w:hAnsi="宋体"/>
          <w:color w:val="auto"/>
          <w:szCs w:val="21"/>
        </w:rPr>
      </w:pPr>
    </w:p>
    <w:p>
      <w:pPr>
        <w:ind w:left="420" w:leftChars="200" w:firstLine="0" w:firstLineChars="0"/>
        <w:rPr>
          <w:rFonts w:hint="eastAsia" w:ascii="宋体" w:hAnsi="宋体"/>
          <w:color w:val="auto"/>
          <w:szCs w:val="21"/>
        </w:rPr>
      </w:pPr>
      <w:r>
        <w:rPr>
          <w:rFonts w:hint="eastAsia" w:ascii="宋体" w:hAnsi="宋体"/>
          <w:color w:val="auto"/>
          <w:szCs w:val="21"/>
        </w:rPr>
        <w:t>我单位承诺：</w:t>
      </w:r>
    </w:p>
    <w:p>
      <w:pPr>
        <w:ind w:left="420" w:leftChars="200" w:firstLine="0" w:firstLineChars="0"/>
        <w:rPr>
          <w:rFonts w:hint="eastAsia" w:ascii="宋体" w:hAnsi="宋体"/>
          <w:color w:val="auto"/>
          <w:szCs w:val="21"/>
        </w:rPr>
      </w:pPr>
      <w:r>
        <w:rPr>
          <w:rFonts w:ascii="宋体" w:hAnsi="宋体"/>
          <w:color w:val="auto"/>
          <w:szCs w:val="21"/>
        </w:rPr>
        <w:t>1</w:t>
      </w:r>
      <w:r>
        <w:rPr>
          <w:rFonts w:hint="eastAsia" w:ascii="宋体" w:hAnsi="宋体"/>
          <w:color w:val="auto"/>
          <w:szCs w:val="21"/>
        </w:rPr>
        <w:t>.我单位参与本项目投标前三年内,无行贿犯罪记录。</w:t>
      </w:r>
    </w:p>
    <w:p>
      <w:pPr>
        <w:ind w:left="420" w:leftChars="200" w:firstLine="0" w:firstLineChars="0"/>
        <w:rPr>
          <w:rFonts w:ascii="宋体" w:hAnsi="宋体"/>
          <w:color w:val="auto"/>
          <w:szCs w:val="21"/>
        </w:rPr>
      </w:pPr>
      <w:r>
        <w:rPr>
          <w:rFonts w:ascii="宋体" w:hAnsi="宋体"/>
          <w:color w:val="auto"/>
          <w:szCs w:val="21"/>
        </w:rPr>
        <w:t>2</w:t>
      </w:r>
      <w:r>
        <w:rPr>
          <w:rFonts w:hint="eastAsia" w:ascii="宋体" w:hAnsi="宋体"/>
          <w:color w:val="auto"/>
          <w:szCs w:val="21"/>
        </w:rPr>
        <w:t>.我单位参与本项目投标前三年内，在经营活动中没有重大违法记录。</w:t>
      </w:r>
    </w:p>
    <w:p>
      <w:pPr>
        <w:ind w:left="420" w:leftChars="200" w:firstLine="0" w:firstLineChars="0"/>
        <w:rPr>
          <w:rFonts w:hint="eastAsia" w:ascii="宋体" w:hAnsi="宋体"/>
          <w:color w:val="auto"/>
          <w:szCs w:val="21"/>
        </w:rPr>
      </w:pPr>
      <w:r>
        <w:rPr>
          <w:rFonts w:ascii="宋体" w:hAnsi="宋体"/>
          <w:color w:val="auto"/>
          <w:szCs w:val="21"/>
        </w:rPr>
        <w:t>3</w:t>
      </w:r>
      <w:r>
        <w:rPr>
          <w:rFonts w:hint="eastAsia" w:ascii="宋体" w:hAnsi="宋体"/>
          <w:color w:val="auto"/>
          <w:szCs w:val="21"/>
        </w:rPr>
        <w:t>.我单位参与本项目政府采购活动时不存在被有关部门禁止参与政府采购活动且在有效期内的情况。</w:t>
      </w:r>
    </w:p>
    <w:p>
      <w:pPr>
        <w:ind w:left="420" w:leftChars="200" w:firstLine="0" w:firstLineChars="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我单位参与本项目政府采购活动时不存在被有关部门列入失信被执行人、重大税收违法案件当事人名单的情况</w:t>
      </w:r>
    </w:p>
    <w:p>
      <w:pPr>
        <w:ind w:left="420" w:leftChars="200" w:firstLine="0" w:firstLineChars="0"/>
        <w:rPr>
          <w:rFonts w:hint="eastAsia" w:ascii="宋体" w:hAnsi="宋体"/>
          <w:color w:val="auto"/>
          <w:szCs w:val="21"/>
        </w:rPr>
      </w:pPr>
      <w:r>
        <w:rPr>
          <w:rFonts w:hint="eastAsia" w:ascii="宋体" w:hAnsi="宋体"/>
          <w:color w:val="auto"/>
          <w:szCs w:val="21"/>
        </w:rPr>
        <w:t>5.除以上条件，我单位参与本项目政府采购活动时,具备《中华人民共和国政府采购法》第二十二条规定的其他的条件。</w:t>
      </w:r>
    </w:p>
    <w:p>
      <w:pPr>
        <w:ind w:left="420" w:leftChars="200" w:firstLine="0" w:firstLineChars="0"/>
        <w:rPr>
          <w:rFonts w:hint="eastAsia" w:ascii="宋体" w:hAnsi="宋体"/>
          <w:color w:val="auto"/>
          <w:szCs w:val="21"/>
        </w:rPr>
      </w:pPr>
      <w:r>
        <w:rPr>
          <w:rFonts w:hint="eastAsia" w:ascii="宋体" w:hAnsi="宋体"/>
          <w:color w:val="auto"/>
          <w:szCs w:val="21"/>
        </w:rPr>
        <w:t>以上承诺，如有违反，愿依照国家相关法律处理，并自愿承担投标无效的后果以及赔偿由此给采购人带来的一切经济损失。</w:t>
      </w:r>
    </w:p>
    <w:p>
      <w:pPr>
        <w:ind w:left="420" w:leftChars="200" w:firstLine="0" w:firstLineChars="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firstLine="0" w:firstLineChars="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firstLine="0" w:firstLineChars="0"/>
        <w:jc w:val="left"/>
        <w:rPr>
          <w:rFonts w:hint="eastAsia" w:ascii="宋体" w:hAnsi="宋体"/>
          <w:b w:val="0"/>
          <w:bCs w:val="0"/>
          <w:color w:val="auto"/>
          <w:sz w:val="21"/>
          <w:szCs w:val="21"/>
          <w:lang w:eastAsia="zh-CN"/>
        </w:rPr>
      </w:pPr>
    </w:p>
    <w:p>
      <w:pPr>
        <w:pStyle w:val="2"/>
        <w:ind w:left="420" w:leftChars="200" w:firstLine="0" w:firstLineChars="0"/>
        <w:jc w:val="left"/>
        <w:rPr>
          <w:rFonts w:hint="eastAsia" w:ascii="宋体" w:hAnsi="宋体"/>
          <w:b w:val="0"/>
          <w:bCs w:val="0"/>
          <w:color w:val="auto"/>
          <w:sz w:val="21"/>
          <w:szCs w:val="21"/>
          <w:lang w:eastAsia="zh-CN"/>
        </w:rPr>
      </w:pPr>
    </w:p>
    <w:p>
      <w:pPr>
        <w:pStyle w:val="4"/>
        <w:numPr>
          <w:ilvl w:val="0"/>
          <w:numId w:val="0"/>
        </w:numPr>
        <w:ind w:leftChars="200"/>
        <w:jc w:val="center"/>
        <w:rPr>
          <w:rFonts w:hint="eastAsia" w:ascii="宋体" w:hAnsi="宋体"/>
          <w:b w:val="0"/>
          <w:bCs w:val="0"/>
          <w:color w:val="auto"/>
          <w:sz w:val="21"/>
          <w:szCs w:val="21"/>
          <w:lang w:eastAsia="zh-CN"/>
        </w:rPr>
      </w:pPr>
      <w:r>
        <w:rPr>
          <w:rFonts w:hint="eastAsia"/>
          <w:color w:val="auto"/>
          <w:kern w:val="0"/>
          <w:sz w:val="24"/>
          <w:szCs w:val="24"/>
        </w:rPr>
        <w:br w:type="page"/>
      </w:r>
      <w:r>
        <w:rPr>
          <w:rFonts w:hint="eastAsia"/>
          <w:color w:val="auto"/>
          <w:kern w:val="0"/>
          <w:sz w:val="24"/>
          <w:szCs w:val="24"/>
          <w:lang w:val="en-US" w:eastAsia="zh-CN"/>
        </w:rPr>
        <w:t>六、</w:t>
      </w:r>
      <w:r>
        <w:rPr>
          <w:rFonts w:hint="eastAsia"/>
          <w:b/>
          <w:bCs/>
          <w:color w:val="auto"/>
          <w:kern w:val="0"/>
          <w:sz w:val="24"/>
          <w:szCs w:val="24"/>
        </w:rPr>
        <w:t>项目费用支出清单</w:t>
      </w:r>
    </w:p>
    <w:p>
      <w:pPr>
        <w:ind w:left="420" w:leftChars="200" w:firstLine="0" w:firstLineChars="0"/>
        <w:jc w:val="center"/>
        <w:rPr>
          <w:rFonts w:hint="eastAsia" w:hAnsi="宋体"/>
          <w:b w:val="0"/>
          <w:bCs w:val="0"/>
          <w:color w:val="auto"/>
          <w:sz w:val="24"/>
        </w:rPr>
      </w:pPr>
      <w:bookmarkStart w:id="19" w:name="_Toc73521600"/>
      <w:bookmarkStart w:id="20" w:name="_Toc73518172"/>
      <w:bookmarkStart w:id="21" w:name="_Toc73521688"/>
      <w:bookmarkStart w:id="22" w:name="_Toc73517694"/>
      <w:r>
        <w:rPr>
          <w:rFonts w:hint="eastAsia"/>
          <w:b/>
          <w:color w:val="auto"/>
          <w:sz w:val="24"/>
        </w:rPr>
        <w:t>（格式自定）</w:t>
      </w:r>
    </w:p>
    <w:bookmarkEnd w:id="19"/>
    <w:bookmarkEnd w:id="20"/>
    <w:bookmarkEnd w:id="21"/>
    <w:bookmarkEnd w:id="22"/>
    <w:p>
      <w:pPr>
        <w:spacing w:after="60"/>
        <w:jc w:val="both"/>
        <w:rPr>
          <w:rFonts w:hint="eastAsia"/>
          <w:color w:val="auto"/>
          <w:sz w:val="24"/>
        </w:rPr>
      </w:pPr>
      <w:bookmarkStart w:id="23" w:name="_Toc73518186"/>
      <w:bookmarkStart w:id="24" w:name="_Toc73521614"/>
      <w:bookmarkStart w:id="25" w:name="_Toc101074900"/>
      <w:bookmarkStart w:id="26" w:name="_Toc71860060"/>
      <w:bookmarkStart w:id="27" w:name="_Toc73517708"/>
      <w:bookmarkStart w:id="28" w:name="_Toc70748068"/>
      <w:bookmarkStart w:id="29" w:name="_Toc73521702"/>
      <w:bookmarkStart w:id="30" w:name="_Toc100052469"/>
    </w:p>
    <w:p>
      <w:pPr>
        <w:pStyle w:val="4"/>
        <w:numPr>
          <w:ilvl w:val="0"/>
          <w:numId w:val="0"/>
        </w:numPr>
        <w:ind w:leftChars="200"/>
        <w:jc w:val="center"/>
        <w:rPr>
          <w:color w:val="auto"/>
          <w:kern w:val="0"/>
          <w:sz w:val="24"/>
          <w:szCs w:val="24"/>
        </w:rPr>
      </w:pPr>
      <w:r>
        <w:rPr>
          <w:rFonts w:hint="eastAsia"/>
          <w:color w:val="auto"/>
          <w:kern w:val="0"/>
          <w:sz w:val="24"/>
          <w:szCs w:val="24"/>
          <w:lang w:val="en-US" w:eastAsia="zh-CN"/>
        </w:rPr>
        <w:t>七、</w:t>
      </w:r>
      <w:r>
        <w:rPr>
          <w:rFonts w:hint="eastAsia"/>
          <w:color w:val="auto"/>
          <w:kern w:val="0"/>
          <w:sz w:val="24"/>
          <w:szCs w:val="24"/>
        </w:rPr>
        <w:t>供应商情况介绍</w:t>
      </w:r>
      <w:bookmarkEnd w:id="23"/>
      <w:bookmarkEnd w:id="24"/>
      <w:bookmarkEnd w:id="25"/>
      <w:bookmarkEnd w:id="26"/>
      <w:bookmarkEnd w:id="27"/>
      <w:bookmarkEnd w:id="28"/>
      <w:bookmarkEnd w:id="29"/>
      <w:bookmarkEnd w:id="30"/>
    </w:p>
    <w:p>
      <w:pPr>
        <w:ind w:left="420" w:leftChars="200" w:firstLine="0" w:firstLineChars="0"/>
        <w:rPr>
          <w:rFonts w:hint="eastAsia"/>
          <w:bCs/>
          <w:color w:val="auto"/>
        </w:rPr>
      </w:pPr>
      <w:r>
        <w:rPr>
          <w:rFonts w:hint="eastAsia"/>
          <w:bCs/>
          <w:color w:val="auto"/>
        </w:rPr>
        <w:t>1. 投标人情况介绍：</w:t>
      </w:r>
    </w:p>
    <w:p>
      <w:pPr>
        <w:ind w:left="420" w:leftChars="200" w:firstLine="0" w:firstLineChars="0"/>
        <w:rPr>
          <w:rFonts w:hint="eastAsia"/>
          <w:b/>
          <w:bCs/>
          <w:color w:val="auto"/>
          <w:highlight w:val="none"/>
        </w:rPr>
      </w:pPr>
    </w:p>
    <w:p>
      <w:pPr>
        <w:ind w:left="420" w:leftChars="200" w:firstLine="0" w:firstLineChars="0"/>
        <w:rPr>
          <w:rFonts w:hint="eastAsia"/>
          <w:b/>
          <w:bCs/>
          <w:color w:val="auto"/>
          <w:highlight w:val="none"/>
        </w:rPr>
      </w:pPr>
      <w:r>
        <w:rPr>
          <w:rFonts w:hint="eastAsia"/>
          <w:b/>
          <w:bCs/>
          <w:color w:val="auto"/>
          <w:highlight w:val="none"/>
        </w:rPr>
        <w:t>2.</w:t>
      </w:r>
      <w:r>
        <w:rPr>
          <w:rFonts w:hint="eastAsia"/>
          <w:color w:val="auto"/>
          <w:highlight w:val="none"/>
        </w:rPr>
        <w:t xml:space="preserve"> </w:t>
      </w:r>
      <w:r>
        <w:rPr>
          <w:rFonts w:hint="eastAsia"/>
          <w:b/>
          <w:bCs/>
          <w:color w:val="auto"/>
          <w:highlight w:val="none"/>
        </w:rPr>
        <w:t>资格证明材料：</w:t>
      </w:r>
    </w:p>
    <w:p>
      <w:pPr>
        <w:ind w:left="420" w:leftChars="200" w:firstLine="0" w:firstLineChars="0"/>
        <w:rPr>
          <w:rFonts w:hint="eastAsia"/>
          <w:b/>
          <w:bCs/>
          <w:color w:val="auto"/>
          <w:highlight w:val="none"/>
        </w:rPr>
      </w:pPr>
      <w:r>
        <w:rPr>
          <w:rFonts w:hint="eastAsia"/>
          <w:b/>
          <w:bCs/>
          <w:color w:val="auto"/>
          <w:highlight w:val="none"/>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firstLine="0" w:firstLineChars="0"/>
        <w:rPr>
          <w:rFonts w:hint="eastAsia"/>
          <w:b/>
          <w:bCs/>
          <w:color w:val="auto"/>
          <w:highlight w:val="none"/>
        </w:rPr>
      </w:pPr>
    </w:p>
    <w:p>
      <w:pPr>
        <w:ind w:left="420" w:leftChars="200" w:firstLine="0" w:firstLineChars="0"/>
        <w:rPr>
          <w:b/>
          <w:bCs/>
          <w:color w:val="auto"/>
          <w:highlight w:val="none"/>
        </w:rPr>
      </w:pPr>
      <w:r>
        <w:rPr>
          <w:rFonts w:hint="eastAsia"/>
          <w:b/>
          <w:bCs/>
          <w:color w:val="auto"/>
          <w:highlight w:val="none"/>
        </w:rPr>
        <w:t>3.中小企业声明函、残疾人福利性单位声明函及监狱企业声明函：</w:t>
      </w:r>
    </w:p>
    <w:p>
      <w:pPr>
        <w:ind w:left="420" w:leftChars="200" w:firstLine="0" w:firstLineChars="0"/>
        <w:rPr>
          <w:rFonts w:hint="eastAsia"/>
          <w:b/>
          <w:bCs/>
          <w:color w:val="auto"/>
          <w:highlight w:val="none"/>
        </w:rPr>
      </w:pPr>
      <w:r>
        <w:rPr>
          <w:rFonts w:hint="eastAsia"/>
          <w:b/>
          <w:bCs/>
          <w:color w:val="auto"/>
          <w:highlight w:val="none"/>
        </w:rPr>
        <w:t>（备注：该部分内容由供应商根据自身情况提供相关内容，不符合要求的供应商不提供。）</w:t>
      </w:r>
    </w:p>
    <w:p>
      <w:pPr>
        <w:pStyle w:val="178"/>
        <w:ind w:left="420" w:leftChars="200" w:firstLine="0" w:firstLineChars="0"/>
        <w:rPr>
          <w:color w:val="auto"/>
          <w:highlight w:val="none"/>
        </w:rPr>
      </w:pPr>
    </w:p>
    <w:p>
      <w:pPr>
        <w:ind w:left="420" w:leftChars="200" w:firstLine="0" w:firstLineChars="0"/>
        <w:jc w:val="cente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（一）中小企业声明函</w:t>
      </w:r>
    </w:p>
    <w:p>
      <w:pPr>
        <w:ind w:left="420" w:leftChars="200" w:firstLine="0" w:firstLineChars="0"/>
        <w:rPr>
          <w:rFonts w:ascii="宋体" w:hAnsi="宋体"/>
          <w:color w:val="auto"/>
          <w:szCs w:val="21"/>
          <w:highlight w:val="none"/>
        </w:rPr>
      </w:pPr>
      <w:r>
        <w:rPr>
          <w:rFonts w:hint="eastAsia" w:ascii="宋体" w:hAnsi="宋体"/>
          <w:color w:val="auto"/>
          <w:szCs w:val="21"/>
          <w:highlight w:val="none"/>
        </w:rPr>
        <w:t>本公司郑重声明，根据《政府采购促进中小企业发展暂行办法》（财库〔2011〕181号）的规定，本公司为______（请填写：中型、小型、微型）企业。即，本公司同时满足以下条件：</w:t>
      </w:r>
    </w:p>
    <w:p>
      <w:pPr>
        <w:ind w:left="420" w:leftChars="200" w:firstLine="0" w:firstLineChars="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firstLine="0" w:firstLineChars="0"/>
        <w:rPr>
          <w:rFonts w:ascii="宋体" w:hAnsi="宋体"/>
          <w:color w:val="auto"/>
          <w:szCs w:val="21"/>
        </w:rPr>
      </w:pPr>
      <w:r>
        <w:rPr>
          <w:rFonts w:hint="eastAsia" w:ascii="宋体" w:hAnsi="宋体"/>
          <w:color w:val="auto"/>
          <w:szCs w:val="21"/>
          <w:highlight w:val="none"/>
        </w:rPr>
        <w:t>2.本公司参加______（请填写：采购单位名称）单位的______（请填写：采购项目名称）项目采购活动提供本企业制造的货物，由本企业承担工程、提供服务，或者提供其他______（请填写：中型、小型、微型）</w:t>
      </w:r>
      <w:r>
        <w:rPr>
          <w:rFonts w:hint="eastAsia" w:ascii="宋体" w:hAnsi="宋体"/>
          <w:color w:val="auto"/>
          <w:szCs w:val="21"/>
        </w:rPr>
        <w:t>企业制造的货物。本条所称货物不包括使用大型企业注册商标的货物。</w:t>
      </w:r>
    </w:p>
    <w:p>
      <w:pPr>
        <w:ind w:left="420" w:leftChars="200" w:firstLine="0" w:firstLineChars="0"/>
        <w:rPr>
          <w:rFonts w:hint="eastAsia" w:ascii="宋体" w:hAnsi="宋体"/>
          <w:color w:val="auto"/>
          <w:szCs w:val="21"/>
        </w:rPr>
      </w:pPr>
      <w:r>
        <w:rPr>
          <w:rFonts w:hint="eastAsia" w:ascii="宋体" w:hAnsi="宋体"/>
          <w:color w:val="auto"/>
          <w:szCs w:val="21"/>
        </w:rPr>
        <w:t xml:space="preserve">本公司对上述声明的真实性负责。如有虚假，将依法承担相应责任。 </w:t>
      </w:r>
    </w:p>
    <w:p>
      <w:pPr>
        <w:ind w:left="420" w:leftChars="200" w:firstLine="0" w:firstLineChars="0"/>
        <w:rPr>
          <w:rFonts w:hint="eastAsia" w:ascii="宋体" w:hAnsi="宋体"/>
          <w:color w:val="auto"/>
          <w:szCs w:val="21"/>
        </w:rPr>
      </w:pPr>
    </w:p>
    <w:p>
      <w:pPr>
        <w:wordWrap w:val="0"/>
        <w:ind w:left="420" w:leftChars="200" w:firstLine="0" w:firstLineChars="0"/>
        <w:jc w:val="right"/>
        <w:rPr>
          <w:rFonts w:hint="eastAsia" w:ascii="宋体" w:hAnsi="宋体"/>
          <w:color w:val="auto"/>
          <w:szCs w:val="21"/>
        </w:rPr>
      </w:pPr>
      <w:r>
        <w:rPr>
          <w:rFonts w:hint="eastAsia" w:ascii="宋体" w:hAnsi="宋体"/>
          <w:color w:val="auto"/>
          <w:szCs w:val="21"/>
        </w:rPr>
        <w:t xml:space="preserve">投标人单位名称：   </w:t>
      </w:r>
    </w:p>
    <w:p>
      <w:pPr>
        <w:wordWrap w:val="0"/>
        <w:ind w:left="420" w:leftChars="200" w:firstLine="0" w:firstLineChars="0"/>
        <w:jc w:val="right"/>
        <w:rPr>
          <w:rFonts w:ascii="宋体" w:hAnsi="宋体"/>
          <w:color w:val="auto"/>
          <w:szCs w:val="21"/>
        </w:rPr>
      </w:pPr>
      <w:r>
        <w:rPr>
          <w:rFonts w:hint="eastAsia" w:ascii="宋体" w:hAnsi="宋体"/>
          <w:color w:val="auto"/>
          <w:szCs w:val="21"/>
        </w:rPr>
        <w:t xml:space="preserve">日期：       </w:t>
      </w:r>
    </w:p>
    <w:p>
      <w:pPr>
        <w:ind w:left="420" w:leftChars="200" w:firstLine="0" w:firstLineChars="0"/>
        <w:rPr>
          <w:rFonts w:ascii="宋体" w:hAnsi="宋体"/>
          <w:color w:val="auto"/>
          <w:szCs w:val="21"/>
          <w:highlight w:val="yellow"/>
        </w:rPr>
      </w:pPr>
    </w:p>
    <w:p>
      <w:pPr>
        <w:ind w:left="420" w:leftChars="200" w:firstLine="0" w:firstLineChars="0"/>
        <w:jc w:val="center"/>
        <w:outlineLvl w:val="3"/>
        <w:rPr>
          <w:b/>
          <w:color w:val="auto"/>
          <w:sz w:val="24"/>
          <w:highlight w:val="none"/>
        </w:rPr>
      </w:pPr>
      <w:r>
        <w:rPr>
          <w:rFonts w:hint="eastAsia"/>
          <w:b/>
          <w:color w:val="auto"/>
          <w:sz w:val="24"/>
          <w:highlight w:val="none"/>
        </w:rPr>
        <w:t>（二）残疾人福利性单位声明函</w:t>
      </w:r>
    </w:p>
    <w:p>
      <w:pPr>
        <w:ind w:left="420" w:leftChars="200" w:firstLine="0" w:firstLineChars="0"/>
        <w:rPr>
          <w:rFonts w:ascii="宋体" w:hAnsi="宋体"/>
          <w:color w:val="auto"/>
          <w:szCs w:val="21"/>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w:t>
      </w:r>
      <w:r>
        <w:rPr>
          <w:rFonts w:hint="eastAsia" w:ascii="宋体" w:hAnsi="宋体"/>
          <w:color w:val="auto"/>
          <w:szCs w:val="21"/>
        </w:rPr>
        <w:t>条所称货物是指单一产品采购项目中的货物，或者非单一产品采购项目中的核心产品（货物），不包括使用非残疾人福利性单位注册商标的货物。</w:t>
      </w:r>
    </w:p>
    <w:p>
      <w:pPr>
        <w:ind w:left="420" w:leftChars="200" w:firstLine="0" w:firstLineChars="0"/>
        <w:rPr>
          <w:rFonts w:hint="eastAsia" w:ascii="宋体" w:hAnsi="宋体"/>
          <w:color w:val="auto"/>
          <w:szCs w:val="21"/>
        </w:rPr>
      </w:pPr>
      <w:r>
        <w:rPr>
          <w:rFonts w:hint="eastAsia" w:ascii="宋体" w:hAnsi="宋体"/>
          <w:color w:val="auto"/>
          <w:szCs w:val="21"/>
        </w:rPr>
        <w:t>本单位对上述声明的真实性负责。如有虚假，将依法承担相应责任。</w:t>
      </w:r>
    </w:p>
    <w:p>
      <w:pPr>
        <w:ind w:left="420" w:leftChars="200" w:firstLine="0" w:firstLineChars="0"/>
        <w:rPr>
          <w:rFonts w:ascii="宋体" w:hAnsi="宋体"/>
          <w:color w:val="auto"/>
          <w:szCs w:val="21"/>
        </w:rPr>
      </w:pPr>
    </w:p>
    <w:p>
      <w:pPr>
        <w:wordWrap w:val="0"/>
        <w:ind w:left="420" w:leftChars="200" w:firstLine="0" w:firstLineChars="0"/>
        <w:jc w:val="right"/>
        <w:rPr>
          <w:rFonts w:hint="eastAsia" w:ascii="宋体" w:hAnsi="宋体"/>
          <w:color w:val="auto"/>
          <w:szCs w:val="21"/>
        </w:rPr>
      </w:pPr>
      <w:r>
        <w:rPr>
          <w:rFonts w:hint="eastAsia" w:ascii="宋体" w:hAnsi="宋体"/>
          <w:color w:val="auto"/>
          <w:szCs w:val="21"/>
        </w:rPr>
        <w:t xml:space="preserve">投标人单位名称：   </w:t>
      </w:r>
    </w:p>
    <w:p>
      <w:pPr>
        <w:wordWrap w:val="0"/>
        <w:ind w:left="420" w:leftChars="200" w:firstLine="0" w:firstLineChars="0"/>
        <w:jc w:val="right"/>
        <w:rPr>
          <w:rFonts w:hint="eastAsia" w:ascii="宋体" w:hAnsi="宋体"/>
          <w:color w:val="auto"/>
          <w:szCs w:val="21"/>
        </w:rPr>
      </w:pPr>
      <w:r>
        <w:rPr>
          <w:rFonts w:hint="eastAsia" w:ascii="宋体" w:hAnsi="宋体"/>
          <w:color w:val="auto"/>
          <w:szCs w:val="21"/>
        </w:rPr>
        <w:t xml:space="preserve">日期：       </w:t>
      </w:r>
    </w:p>
    <w:p>
      <w:pPr>
        <w:ind w:left="420" w:leftChars="200" w:firstLine="0" w:firstLineChars="0"/>
        <w:jc w:val="right"/>
        <w:rPr>
          <w:rFonts w:ascii="宋体" w:hAnsi="宋体"/>
          <w:color w:val="auto"/>
          <w:szCs w:val="21"/>
        </w:rPr>
      </w:pPr>
    </w:p>
    <w:p>
      <w:pPr>
        <w:wordWrap w:val="0"/>
        <w:ind w:left="420" w:leftChars="200" w:firstLine="0" w:firstLineChars="0"/>
        <w:jc w:val="center"/>
        <w:rPr>
          <w:rFonts w:hint="eastAsia" w:ascii="宋体" w:hAnsi="宋体"/>
          <w:color w:val="auto"/>
          <w:szCs w:val="21"/>
        </w:rPr>
      </w:pPr>
      <w:r>
        <w:rPr>
          <w:rFonts w:hint="eastAsia" w:ascii="宋体" w:hAnsi="宋体"/>
          <w:color w:val="auto"/>
          <w:szCs w:val="21"/>
        </w:rPr>
        <w:t xml:space="preserve">     </w:t>
      </w:r>
    </w:p>
    <w:p>
      <w:pPr>
        <w:pStyle w:val="4"/>
        <w:numPr>
          <w:ilvl w:val="0"/>
          <w:numId w:val="0"/>
        </w:numPr>
        <w:ind w:leftChars="200"/>
        <w:jc w:val="center"/>
        <w:rPr>
          <w:rFonts w:hint="default" w:eastAsia="宋体"/>
          <w:color w:val="auto"/>
          <w:kern w:val="0"/>
          <w:sz w:val="24"/>
          <w:lang w:val="en-US" w:eastAsia="zh-CN"/>
        </w:rPr>
      </w:pPr>
      <w:r>
        <w:rPr>
          <w:rFonts w:hint="eastAsia"/>
          <w:color w:val="auto"/>
          <w:kern w:val="0"/>
          <w:sz w:val="24"/>
          <w:lang w:val="en-US" w:eastAsia="zh-CN"/>
        </w:rPr>
        <w:t>八、技术保障</w:t>
      </w:r>
    </w:p>
    <w:p>
      <w:pPr>
        <w:ind w:left="420" w:leftChars="200" w:firstLine="0" w:firstLineChars="0"/>
        <w:jc w:val="center"/>
        <w:rPr>
          <w:rFonts w:hint="eastAsia" w:cs="宋体"/>
          <w:color w:val="auto"/>
          <w:sz w:val="24"/>
          <w:lang w:val="zh-CN"/>
        </w:rPr>
      </w:pPr>
      <w:r>
        <w:rPr>
          <w:rFonts w:hint="eastAsia" w:cs="宋体"/>
          <w:color w:val="auto"/>
          <w:sz w:val="24"/>
          <w:lang w:val="zh-CN"/>
        </w:rPr>
        <w:t>（根据评分细则的要求提供，格式自拟）</w:t>
      </w:r>
    </w:p>
    <w:p>
      <w:pPr>
        <w:pStyle w:val="4"/>
        <w:numPr>
          <w:ilvl w:val="0"/>
          <w:numId w:val="0"/>
        </w:numPr>
        <w:ind w:leftChars="200"/>
        <w:jc w:val="center"/>
        <w:rPr>
          <w:rFonts w:hint="default"/>
          <w:color w:val="auto"/>
          <w:kern w:val="0"/>
          <w:sz w:val="24"/>
          <w:lang w:val="en-US"/>
        </w:rPr>
      </w:pPr>
      <w:r>
        <w:rPr>
          <w:rFonts w:hint="eastAsia"/>
          <w:color w:val="auto"/>
          <w:kern w:val="0"/>
          <w:sz w:val="24"/>
          <w:lang w:val="en-US" w:eastAsia="zh-CN"/>
        </w:rPr>
        <w:t>九、</w:t>
      </w:r>
      <w:r>
        <w:rPr>
          <w:rFonts w:hint="eastAsia"/>
          <w:color w:val="auto"/>
          <w:kern w:val="0"/>
          <w:sz w:val="24"/>
        </w:rPr>
        <w:t>投标人认为需要加以说明的其他内容（格式自定）</w:t>
      </w:r>
    </w:p>
    <w:p>
      <w:pPr>
        <w:pStyle w:val="6"/>
        <w:spacing w:after="153"/>
        <w:ind w:left="420" w:leftChars="200" w:firstLine="0" w:firstLineChars="0"/>
        <w:rPr>
          <w:rFonts w:hint="eastAsia"/>
          <w:color w:val="auto"/>
          <w:kern w:val="0"/>
          <w:sz w:val="24"/>
        </w:rPr>
      </w:pPr>
      <w:r>
        <w:rPr>
          <w:rFonts w:hint="eastAsia" w:cs="宋体"/>
          <w:color w:val="auto"/>
          <w:lang w:val="zh-CN"/>
        </w:rPr>
        <w:t>（根据评分细则的要求提供，格式自拟）</w:t>
      </w:r>
    </w:p>
    <w:p>
      <w:pPr>
        <w:rPr>
          <w:rFonts w:hint="eastAsia" w:ascii="Verdana" w:hAnsi="Verdana" w:eastAsia="仿宋_GB2312"/>
          <w:color w:val="auto"/>
          <w:kern w:val="0"/>
          <w:sz w:val="24"/>
          <w:szCs w:val="20"/>
        </w:rPr>
      </w:pPr>
    </w:p>
    <w:p>
      <w:pPr>
        <w:rPr>
          <w:rFonts w:hint="eastAsia" w:ascii="Verdana" w:hAnsi="Verdana" w:eastAsia="仿宋_GB2312"/>
          <w:color w:val="auto"/>
          <w:kern w:val="0"/>
          <w:sz w:val="24"/>
          <w:szCs w:val="20"/>
        </w:rPr>
      </w:pPr>
    </w:p>
    <w:p>
      <w:pPr>
        <w:rPr>
          <w:rFonts w:hint="eastAsia" w:ascii="Verdana" w:hAnsi="Verdana" w:eastAsia="仿宋_GB2312"/>
          <w:color w:val="auto"/>
          <w:kern w:val="0"/>
          <w:sz w:val="24"/>
          <w:szCs w:val="20"/>
        </w:rPr>
      </w:pPr>
    </w:p>
    <w:p>
      <w:pPr>
        <w:rPr>
          <w:rFonts w:hint="eastAsia" w:ascii="Verdana" w:hAnsi="Verdana" w:eastAsia="仿宋_GB2312"/>
          <w:color w:val="auto"/>
          <w:kern w:val="0"/>
          <w:sz w:val="24"/>
          <w:szCs w:val="20"/>
        </w:rPr>
      </w:pPr>
    </w:p>
    <w:p>
      <w:pPr>
        <w:rPr>
          <w:rFonts w:hint="eastAsia" w:ascii="Verdana" w:hAnsi="Verdana" w:eastAsia="仿宋_GB2312"/>
          <w:color w:val="auto"/>
          <w:kern w:val="0"/>
          <w:sz w:val="24"/>
          <w:szCs w:val="20"/>
        </w:rPr>
      </w:pPr>
      <w:r>
        <w:rPr>
          <w:rFonts w:ascii="Verdana" w:hAnsi="Verdana" w:eastAsia="仿宋_GB2312"/>
          <w:color w:val="auto"/>
          <w:kern w:val="0"/>
          <w:sz w:val="24"/>
          <w:szCs w:val="20"/>
        </w:rPr>
        <w:br w:type="page"/>
      </w:r>
    </w:p>
    <w:p>
      <w:pPr>
        <w:pStyle w:val="4"/>
        <w:spacing w:before="120" w:after="120"/>
        <w:jc w:val="center"/>
        <w:rPr>
          <w:rFonts w:hint="eastAsia"/>
          <w:color w:val="auto"/>
          <w:kern w:val="0"/>
          <w:sz w:val="24"/>
          <w:szCs w:val="24"/>
        </w:rPr>
      </w:pPr>
      <w:r>
        <w:rPr>
          <w:rFonts w:hint="eastAsia"/>
          <w:color w:val="auto"/>
          <w:kern w:val="0"/>
          <w:sz w:val="24"/>
          <w:szCs w:val="24"/>
        </w:rPr>
        <w:t>第四章  政府采购合同的签订、履约及验收</w:t>
      </w:r>
    </w:p>
    <w:bookmarkEnd w:id="0"/>
    <w:bookmarkEnd w:id="1"/>
    <w:bookmarkEnd w:id="2"/>
    <w:bookmarkEnd w:id="3"/>
    <w:bookmarkEnd w:id="4"/>
    <w:bookmarkEnd w:id="5"/>
    <w:bookmarkEnd w:id="6"/>
    <w:bookmarkEnd w:id="7"/>
    <w:bookmarkEnd w:id="8"/>
    <w:p>
      <w:pPr>
        <w:pStyle w:val="4"/>
        <w:ind w:firstLine="481" w:firstLineChars="200"/>
        <w:jc w:val="both"/>
        <w:rPr>
          <w:color w:val="auto"/>
          <w:szCs w:val="21"/>
        </w:rPr>
      </w:pPr>
      <w:r>
        <w:rPr>
          <w:rFonts w:hint="eastAsia"/>
          <w:color w:val="auto"/>
          <w:sz w:val="24"/>
        </w:rPr>
        <w:t>一、合同条款及格式（</w:t>
      </w:r>
      <w:r>
        <w:rPr>
          <w:rFonts w:hint="eastAsia"/>
          <w:color w:val="auto"/>
          <w:kern w:val="0"/>
          <w:sz w:val="24"/>
        </w:rPr>
        <w:t>格式自定</w:t>
      </w:r>
      <w:r>
        <w:rPr>
          <w:rFonts w:hint="eastAsia"/>
          <w:color w:val="auto"/>
          <w:kern w:val="0"/>
          <w:sz w:val="24"/>
          <w:lang w:eastAsia="zh-CN"/>
        </w:rPr>
        <w:t>，</w:t>
      </w:r>
      <w:r>
        <w:rPr>
          <w:rFonts w:hint="eastAsia"/>
          <w:color w:val="auto"/>
          <w:kern w:val="0"/>
          <w:sz w:val="24"/>
        </w:rPr>
        <w:t>有专业类别的格式合同范本请选择相应的合同</w:t>
      </w:r>
      <w:r>
        <w:rPr>
          <w:rFonts w:hint="eastAsia"/>
          <w:color w:val="auto"/>
          <w:sz w:val="24"/>
        </w:rPr>
        <w:t>）</w:t>
      </w:r>
    </w:p>
    <w:p>
      <w:pPr>
        <w:spacing w:line="240" w:lineRule="atLeast"/>
        <w:ind w:firstLine="480" w:firstLineChars="200"/>
        <w:rPr>
          <w:rFonts w:hint="eastAsia"/>
          <w:color w:val="auto"/>
          <w:sz w:val="24"/>
        </w:rPr>
      </w:pPr>
    </w:p>
    <w:p>
      <w:pPr>
        <w:spacing w:line="240" w:lineRule="atLeast"/>
        <w:ind w:firstLine="480" w:firstLineChars="200"/>
        <w:rPr>
          <w:color w:val="auto"/>
          <w:sz w:val="24"/>
        </w:rPr>
      </w:pPr>
      <w:r>
        <w:rPr>
          <w:rFonts w:hint="eastAsia"/>
          <w:color w:val="auto"/>
          <w:sz w:val="24"/>
        </w:rPr>
        <w:t>二、政府采购履约情况反馈表</w:t>
      </w:r>
    </w:p>
    <w:p>
      <w:pPr>
        <w:spacing w:line="240" w:lineRule="atLeast"/>
        <w:ind w:firstLine="843" w:firstLineChars="400"/>
        <w:rPr>
          <w:rFonts w:ascii="宋体" w:hAnsi="宋体"/>
          <w:b/>
          <w:color w:val="auto"/>
          <w:szCs w:val="21"/>
        </w:rPr>
      </w:pPr>
      <w:r>
        <w:rPr>
          <w:rFonts w:hint="eastAsia" w:ascii="宋体" w:hAnsi="宋体"/>
          <w:b/>
          <w:color w:val="auto"/>
          <w:szCs w:val="21"/>
        </w:rPr>
        <w:t>采购单位名称：                       联系人及电话：</w:t>
      </w:r>
    </w:p>
    <w:p>
      <w:pPr>
        <w:spacing w:line="60" w:lineRule="exact"/>
        <w:rPr>
          <w:rFonts w:ascii="宋体" w:hAnsi="宋体"/>
          <w:b/>
          <w:color w:val="auto"/>
          <w:szCs w:val="21"/>
        </w:rPr>
      </w:pP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pPr>
              <w:spacing w:line="240" w:lineRule="atLeast"/>
              <w:jc w:val="center"/>
              <w:rPr>
                <w:rFonts w:ascii="宋体" w:hAnsi="宋体"/>
                <w:color w:val="auto"/>
                <w:szCs w:val="21"/>
              </w:rPr>
            </w:pPr>
            <w:r>
              <w:rPr>
                <w:rFonts w:hint="eastAsia" w:ascii="宋体" w:hAnsi="宋体"/>
                <w:color w:val="auto"/>
                <w:szCs w:val="21"/>
              </w:rPr>
              <w:t>项目名称</w:t>
            </w:r>
          </w:p>
        </w:tc>
        <w:tc>
          <w:tcPr>
            <w:tcW w:w="2520" w:type="dxa"/>
            <w:noWrap w:val="0"/>
            <w:vAlign w:val="center"/>
          </w:tcPr>
          <w:p>
            <w:pPr>
              <w:spacing w:line="240" w:lineRule="atLeast"/>
              <w:jc w:val="center"/>
              <w:rPr>
                <w:rFonts w:ascii="宋体" w:hAnsi="宋体"/>
                <w:color w:val="auto"/>
                <w:szCs w:val="21"/>
              </w:rPr>
            </w:pPr>
          </w:p>
        </w:tc>
        <w:tc>
          <w:tcPr>
            <w:tcW w:w="1980" w:type="dxa"/>
            <w:noWrap w:val="0"/>
            <w:vAlign w:val="center"/>
          </w:tcPr>
          <w:p>
            <w:pPr>
              <w:spacing w:line="240" w:lineRule="atLeast"/>
              <w:jc w:val="center"/>
              <w:rPr>
                <w:rFonts w:ascii="宋体" w:hAnsi="宋体"/>
                <w:color w:val="auto"/>
                <w:szCs w:val="21"/>
              </w:rPr>
            </w:pPr>
            <w:r>
              <w:rPr>
                <w:rFonts w:hint="eastAsia" w:ascii="宋体" w:hAnsi="宋体"/>
                <w:color w:val="auto"/>
                <w:szCs w:val="21"/>
              </w:rPr>
              <w:t>项目编号</w:t>
            </w:r>
          </w:p>
        </w:tc>
        <w:tc>
          <w:tcPr>
            <w:tcW w:w="2135" w:type="dxa"/>
            <w:noWrap w:val="0"/>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pPr>
              <w:spacing w:line="240" w:lineRule="atLeast"/>
              <w:jc w:val="center"/>
              <w:rPr>
                <w:rFonts w:ascii="宋体" w:hAnsi="宋体"/>
                <w:color w:val="auto"/>
                <w:szCs w:val="21"/>
              </w:rPr>
            </w:pPr>
            <w:r>
              <w:rPr>
                <w:rFonts w:hint="eastAsia" w:ascii="宋体" w:hAnsi="宋体"/>
                <w:color w:val="auto"/>
                <w:szCs w:val="21"/>
              </w:rPr>
              <w:t>中标供应商名称</w:t>
            </w:r>
          </w:p>
        </w:tc>
        <w:tc>
          <w:tcPr>
            <w:tcW w:w="2520" w:type="dxa"/>
            <w:noWrap w:val="0"/>
            <w:vAlign w:val="center"/>
          </w:tcPr>
          <w:p>
            <w:pPr>
              <w:spacing w:line="240" w:lineRule="atLeast"/>
              <w:jc w:val="center"/>
              <w:rPr>
                <w:rFonts w:ascii="宋体" w:hAnsi="宋体"/>
                <w:color w:val="auto"/>
                <w:szCs w:val="21"/>
              </w:rPr>
            </w:pPr>
          </w:p>
        </w:tc>
        <w:tc>
          <w:tcPr>
            <w:tcW w:w="1980" w:type="dxa"/>
            <w:noWrap w:val="0"/>
            <w:vAlign w:val="center"/>
          </w:tcPr>
          <w:p>
            <w:pPr>
              <w:spacing w:line="240" w:lineRule="atLeast"/>
              <w:jc w:val="center"/>
              <w:rPr>
                <w:rFonts w:ascii="宋体" w:hAnsi="宋体"/>
                <w:color w:val="auto"/>
                <w:szCs w:val="21"/>
              </w:rPr>
            </w:pPr>
            <w:r>
              <w:rPr>
                <w:rFonts w:hint="eastAsia" w:ascii="宋体" w:hAnsi="宋体"/>
                <w:color w:val="auto"/>
                <w:szCs w:val="21"/>
              </w:rPr>
              <w:t>供应商</w:t>
            </w:r>
          </w:p>
          <w:p>
            <w:pPr>
              <w:spacing w:line="240" w:lineRule="atLeast"/>
              <w:jc w:val="center"/>
              <w:rPr>
                <w:rFonts w:ascii="宋体" w:hAnsi="宋体"/>
                <w:color w:val="auto"/>
                <w:szCs w:val="21"/>
              </w:rPr>
            </w:pPr>
            <w:r>
              <w:rPr>
                <w:rFonts w:hint="eastAsia" w:ascii="宋体" w:hAnsi="宋体"/>
                <w:color w:val="auto"/>
                <w:szCs w:val="21"/>
              </w:rPr>
              <w:t>联系人及电话</w:t>
            </w:r>
          </w:p>
        </w:tc>
        <w:tc>
          <w:tcPr>
            <w:tcW w:w="2135" w:type="dxa"/>
            <w:noWrap w:val="0"/>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pPr>
              <w:spacing w:line="240" w:lineRule="atLeast"/>
              <w:jc w:val="center"/>
              <w:rPr>
                <w:rFonts w:ascii="宋体" w:hAnsi="宋体"/>
                <w:color w:val="auto"/>
                <w:szCs w:val="21"/>
              </w:rPr>
            </w:pPr>
            <w:r>
              <w:rPr>
                <w:rFonts w:hint="eastAsia" w:ascii="宋体" w:hAnsi="宋体"/>
                <w:color w:val="auto"/>
                <w:szCs w:val="21"/>
              </w:rPr>
              <w:t>中标金额</w:t>
            </w:r>
          </w:p>
        </w:tc>
        <w:tc>
          <w:tcPr>
            <w:tcW w:w="2520" w:type="dxa"/>
            <w:noWrap w:val="0"/>
            <w:vAlign w:val="center"/>
          </w:tcPr>
          <w:p>
            <w:pPr>
              <w:spacing w:line="240" w:lineRule="atLeast"/>
              <w:jc w:val="center"/>
              <w:rPr>
                <w:rFonts w:ascii="宋体" w:hAnsi="宋体"/>
                <w:color w:val="auto"/>
                <w:szCs w:val="21"/>
              </w:rPr>
            </w:pPr>
          </w:p>
        </w:tc>
        <w:tc>
          <w:tcPr>
            <w:tcW w:w="1980" w:type="dxa"/>
            <w:noWrap w:val="0"/>
            <w:vAlign w:val="center"/>
          </w:tcPr>
          <w:p>
            <w:pPr>
              <w:spacing w:line="240" w:lineRule="atLeast"/>
              <w:jc w:val="center"/>
              <w:rPr>
                <w:rFonts w:ascii="宋体" w:hAnsi="宋体"/>
                <w:color w:val="auto"/>
                <w:szCs w:val="21"/>
              </w:rPr>
            </w:pPr>
            <w:r>
              <w:rPr>
                <w:rFonts w:hint="eastAsia" w:ascii="宋体" w:hAnsi="宋体"/>
                <w:color w:val="auto"/>
                <w:szCs w:val="21"/>
              </w:rPr>
              <w:t>合同履约时间</w:t>
            </w:r>
          </w:p>
        </w:tc>
        <w:tc>
          <w:tcPr>
            <w:tcW w:w="2135" w:type="dxa"/>
            <w:noWrap w:val="0"/>
            <w:vAlign w:val="center"/>
          </w:tcPr>
          <w:p>
            <w:pPr>
              <w:spacing w:line="240" w:lineRule="atLeast"/>
              <w:rPr>
                <w:rFonts w:ascii="宋体" w:hAnsi="宋体"/>
                <w:color w:val="auto"/>
                <w:szCs w:val="21"/>
              </w:rPr>
            </w:pPr>
            <w:r>
              <w:rPr>
                <w:rFonts w:hint="eastAsia" w:ascii="宋体" w:hAnsi="宋体"/>
                <w:color w:val="auto"/>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pPr>
              <w:spacing w:line="240" w:lineRule="atLeast"/>
              <w:jc w:val="center"/>
              <w:rPr>
                <w:rFonts w:ascii="宋体" w:hAnsi="宋体"/>
                <w:b/>
                <w:color w:val="auto"/>
                <w:szCs w:val="21"/>
              </w:rPr>
            </w:pPr>
            <w:r>
              <w:rPr>
                <w:rFonts w:hint="eastAsia" w:ascii="宋体" w:hAnsi="宋体"/>
                <w:b/>
                <w:color w:val="auto"/>
                <w:szCs w:val="21"/>
              </w:rPr>
              <w:t>履约情况评价</w:t>
            </w:r>
          </w:p>
        </w:tc>
        <w:tc>
          <w:tcPr>
            <w:tcW w:w="1440" w:type="dxa"/>
            <w:gridSpan w:val="2"/>
            <w:tcBorders>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 xml:space="preserve">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restart"/>
            <w:tcBorders>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质量方面</w:t>
            </w:r>
          </w:p>
        </w:tc>
        <w:tc>
          <w:tcPr>
            <w:tcW w:w="6635" w:type="dxa"/>
            <w:gridSpan w:val="3"/>
            <w:tcBorders>
              <w:lef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价格方面</w:t>
            </w:r>
          </w:p>
        </w:tc>
        <w:tc>
          <w:tcPr>
            <w:tcW w:w="6635" w:type="dxa"/>
            <w:gridSpan w:val="3"/>
            <w:tcBorders>
              <w:lef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服务方面</w:t>
            </w:r>
          </w:p>
        </w:tc>
        <w:tc>
          <w:tcPr>
            <w:tcW w:w="6635" w:type="dxa"/>
            <w:gridSpan w:val="3"/>
            <w:tcBorders>
              <w:lef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时间方面</w:t>
            </w:r>
          </w:p>
        </w:tc>
        <w:tc>
          <w:tcPr>
            <w:tcW w:w="6635" w:type="dxa"/>
            <w:gridSpan w:val="3"/>
            <w:tcBorders>
              <w:lef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环境保护</w:t>
            </w:r>
          </w:p>
        </w:tc>
        <w:tc>
          <w:tcPr>
            <w:tcW w:w="6635" w:type="dxa"/>
            <w:gridSpan w:val="3"/>
            <w:tcBorders>
              <w:lef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ascii="宋体" w:hAnsi="宋体"/>
                <w:color w:val="auto"/>
                <w:szCs w:val="21"/>
                <w:u w:val="single"/>
              </w:rPr>
            </w:pPr>
            <w:r>
              <w:rPr>
                <w:rFonts w:hint="eastAsia" w:ascii="宋体" w:hAnsi="宋体"/>
                <w:color w:val="auto"/>
                <w:szCs w:val="21"/>
              </w:rPr>
              <w:t>评价内容为：</w:t>
            </w:r>
          </w:p>
          <w:p>
            <w:pPr>
              <w:spacing w:before="156" w:beforeLines="50" w:after="156" w:afterLines="50" w:line="240" w:lineRule="atLeast"/>
              <w:rPr>
                <w:rFonts w:ascii="宋体" w:hAnsi="宋体"/>
                <w:color w:val="auto"/>
                <w:szCs w:val="21"/>
              </w:rPr>
            </w:pPr>
            <w:r>
              <w:rPr>
                <w:rFonts w:hint="eastAsia" w:ascii="宋体" w:hAnsi="宋体"/>
                <w:color w:val="auto"/>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noWrap w:val="0"/>
            <w:vAlign w:val="center"/>
          </w:tcPr>
          <w:p>
            <w:pPr>
              <w:spacing w:line="240" w:lineRule="atLeast"/>
              <w:jc w:val="center"/>
              <w:rPr>
                <w:rFonts w:ascii="宋体" w:hAnsi="宋体"/>
                <w:color w:val="auto"/>
                <w:szCs w:val="21"/>
              </w:rPr>
            </w:pPr>
            <w:r>
              <w:rPr>
                <w:rFonts w:hint="eastAsia" w:ascii="宋体" w:hAnsi="宋体"/>
                <w:color w:val="auto"/>
                <w:szCs w:val="21"/>
              </w:rPr>
              <w:t>具体情况说明</w:t>
            </w:r>
          </w:p>
        </w:tc>
        <w:tc>
          <w:tcPr>
            <w:tcW w:w="7355" w:type="dxa"/>
            <w:gridSpan w:val="4"/>
            <w:noWrap w:val="0"/>
            <w:vAlign w:val="top"/>
          </w:tcPr>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noWrap w:val="0"/>
            <w:vAlign w:val="center"/>
          </w:tcPr>
          <w:p>
            <w:pPr>
              <w:spacing w:line="240" w:lineRule="atLeast"/>
              <w:jc w:val="center"/>
              <w:rPr>
                <w:rFonts w:ascii="宋体" w:hAnsi="宋体"/>
                <w:color w:val="auto"/>
                <w:szCs w:val="21"/>
              </w:rPr>
            </w:pPr>
            <w:r>
              <w:rPr>
                <w:rFonts w:hint="eastAsia" w:ascii="宋体" w:hAnsi="宋体"/>
                <w:color w:val="auto"/>
                <w:szCs w:val="21"/>
              </w:rPr>
              <w:t>采购单位意见</w:t>
            </w:r>
          </w:p>
          <w:p>
            <w:pPr>
              <w:spacing w:line="240" w:lineRule="atLeast"/>
              <w:jc w:val="center"/>
              <w:rPr>
                <w:rFonts w:ascii="宋体" w:hAnsi="宋体"/>
                <w:color w:val="auto"/>
                <w:szCs w:val="21"/>
              </w:rPr>
            </w:pPr>
            <w:r>
              <w:rPr>
                <w:rFonts w:hint="eastAsia" w:ascii="宋体" w:hAnsi="宋体"/>
                <w:color w:val="auto"/>
                <w:szCs w:val="21"/>
              </w:rPr>
              <w:t>（公章）</w:t>
            </w:r>
          </w:p>
        </w:tc>
        <w:tc>
          <w:tcPr>
            <w:tcW w:w="7355" w:type="dxa"/>
            <w:gridSpan w:val="4"/>
            <w:noWrap w:val="0"/>
            <w:vAlign w:val="center"/>
          </w:tcPr>
          <w:p>
            <w:pPr>
              <w:spacing w:line="240" w:lineRule="atLeast"/>
              <w:rPr>
                <w:rFonts w:ascii="宋体" w:hAnsi="宋体"/>
                <w:color w:val="auto"/>
                <w:szCs w:val="21"/>
              </w:rPr>
            </w:pPr>
          </w:p>
          <w:p>
            <w:pPr>
              <w:spacing w:line="240" w:lineRule="atLeast"/>
              <w:ind w:firstLine="3780" w:firstLineChars="1800"/>
              <w:rPr>
                <w:rFonts w:ascii="宋体" w:hAnsi="宋体"/>
                <w:color w:val="auto"/>
                <w:szCs w:val="21"/>
              </w:rPr>
            </w:pPr>
          </w:p>
          <w:p>
            <w:pPr>
              <w:spacing w:line="240" w:lineRule="atLeast"/>
              <w:ind w:firstLine="3780" w:firstLineChars="1800"/>
              <w:rPr>
                <w:rFonts w:ascii="宋体" w:hAnsi="宋体"/>
                <w:color w:val="auto"/>
                <w:szCs w:val="21"/>
              </w:rPr>
            </w:pPr>
            <w:r>
              <w:rPr>
                <w:rFonts w:hint="eastAsia" w:ascii="宋体" w:hAnsi="宋体"/>
                <w:color w:val="auto"/>
                <w:szCs w:val="21"/>
              </w:rPr>
              <w:t>日期：   年   月   日</w:t>
            </w:r>
          </w:p>
        </w:tc>
      </w:tr>
    </w:tbl>
    <w:p>
      <w:pPr>
        <w:spacing w:line="240" w:lineRule="atLeast"/>
        <w:rPr>
          <w:rFonts w:ascii="宋体" w:hAnsi="宋体"/>
          <w:color w:val="auto"/>
          <w:szCs w:val="21"/>
        </w:rPr>
      </w:pPr>
      <w:r>
        <w:rPr>
          <w:rFonts w:hint="eastAsia" w:ascii="宋体" w:hAnsi="宋体"/>
          <w:color w:val="auto"/>
          <w:szCs w:val="21"/>
        </w:rPr>
        <w:t>说明：</w:t>
      </w:r>
    </w:p>
    <w:p>
      <w:pPr>
        <w:spacing w:line="240" w:lineRule="atLeast"/>
        <w:rPr>
          <w:rFonts w:ascii="宋体" w:hAnsi="宋体"/>
          <w:color w:val="auto"/>
          <w:szCs w:val="21"/>
        </w:rPr>
      </w:pPr>
      <w:r>
        <w:rPr>
          <w:rFonts w:hint="eastAsia" w:ascii="宋体" w:hAnsi="宋体"/>
          <w:color w:val="auto"/>
          <w:szCs w:val="21"/>
        </w:rPr>
        <w:t>1、本表为采购单位向深圳市光明区</w:t>
      </w:r>
      <w:r>
        <w:rPr>
          <w:rFonts w:hint="eastAsia" w:ascii="宋体" w:hAnsi="宋体"/>
          <w:color w:val="auto"/>
          <w:szCs w:val="21"/>
          <w:lang w:eastAsia="zh-CN"/>
        </w:rPr>
        <w:t>教育局</w:t>
      </w:r>
      <w:r>
        <w:rPr>
          <w:rFonts w:hint="eastAsia" w:ascii="宋体" w:hAnsi="宋体"/>
          <w:color w:val="auto"/>
          <w:szCs w:val="21"/>
        </w:rPr>
        <w:t>反映政府采购项目履约情况时所用；</w:t>
      </w:r>
    </w:p>
    <w:p>
      <w:pPr>
        <w:spacing w:line="240" w:lineRule="atLeast"/>
        <w:rPr>
          <w:rFonts w:hint="eastAsia" w:ascii="宋体" w:hAnsi="宋体"/>
          <w:color w:val="auto"/>
          <w:szCs w:val="21"/>
        </w:rPr>
      </w:pPr>
      <w:r>
        <w:rPr>
          <w:rFonts w:hint="eastAsia" w:ascii="宋体" w:hAnsi="宋体"/>
          <w:color w:val="auto"/>
          <w:szCs w:val="21"/>
        </w:rPr>
        <w:t>2、履约情况评价分为优、良、中、差四个等级，请在对应的框前打“√”，然后在“具体情况说明”一栏详细说明有关情况；</w:t>
      </w:r>
    </w:p>
    <w:p>
      <w:pPr>
        <w:spacing w:line="240" w:lineRule="atLeast"/>
        <w:rPr>
          <w:rFonts w:hint="eastAsia" w:ascii="宋体" w:hAnsi="宋体"/>
          <w:color w:val="auto"/>
          <w:szCs w:val="21"/>
        </w:rPr>
      </w:pPr>
      <w:r>
        <w:rPr>
          <w:rFonts w:hint="eastAsia" w:ascii="宋体" w:hAnsi="宋体"/>
          <w:color w:val="auto"/>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hint="eastAsia" w:ascii="宋体" w:hAnsi="宋体"/>
          <w:color w:val="auto"/>
          <w:szCs w:val="21"/>
        </w:rPr>
      </w:pPr>
    </w:p>
    <w:p>
      <w:pPr>
        <w:rPr>
          <w:rFonts w:hint="eastAsia" w:ascii="宋体" w:hAnsi="宋体"/>
          <w:color w:val="auto"/>
          <w:szCs w:val="21"/>
        </w:rPr>
      </w:pPr>
    </w:p>
    <w:p>
      <w:pPr>
        <w:pStyle w:val="2"/>
        <w:rPr>
          <w:rFonts w:hint="eastAsia" w:ascii="宋体" w:hAnsi="宋体"/>
          <w:color w:val="auto"/>
          <w:szCs w:val="21"/>
        </w:rPr>
      </w:pPr>
    </w:p>
    <w:p>
      <w:pPr>
        <w:rPr>
          <w:rFonts w:hint="eastAsia" w:ascii="宋体" w:hAnsi="宋体"/>
          <w:color w:val="auto"/>
          <w:szCs w:val="21"/>
        </w:rPr>
      </w:pPr>
    </w:p>
    <w:p>
      <w:pPr>
        <w:pStyle w:val="3"/>
        <w:rPr>
          <w:color w:val="auto"/>
        </w:rPr>
      </w:pPr>
      <w:r>
        <w:rPr>
          <w:rFonts w:hint="eastAsia"/>
          <w:color w:val="auto"/>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color w:val="auto"/>
          <w:szCs w:val="24"/>
        </w:rPr>
      </w:pPr>
      <w:r>
        <w:rPr>
          <w:rFonts w:hint="eastAsia" w:ascii="宋体" w:hAnsi="宋体"/>
          <w:b/>
          <w:color w:val="auto"/>
          <w:szCs w:val="24"/>
        </w:rPr>
        <w:t>第一章  总则</w:t>
      </w:r>
    </w:p>
    <w:p>
      <w:pPr>
        <w:rPr>
          <w:rFonts w:ascii="宋体" w:hAnsi="宋体"/>
          <w:b/>
          <w:bCs/>
          <w:color w:val="auto"/>
          <w:szCs w:val="21"/>
        </w:rPr>
      </w:pPr>
      <w:r>
        <w:rPr>
          <w:rFonts w:hint="eastAsia" w:ascii="宋体" w:hAnsi="宋体"/>
          <w:b/>
          <w:bCs/>
          <w:color w:val="auto"/>
          <w:szCs w:val="21"/>
        </w:rPr>
        <w:t>1.通用条款说明</w:t>
      </w:r>
    </w:p>
    <w:p>
      <w:pPr>
        <w:rPr>
          <w:rFonts w:ascii="宋体" w:hAnsi="宋体"/>
          <w:bCs/>
          <w:color w:val="auto"/>
          <w:szCs w:val="21"/>
        </w:rPr>
      </w:pPr>
      <w:r>
        <w:rPr>
          <w:rFonts w:hint="eastAsia" w:ascii="宋体" w:hAnsi="宋体"/>
          <w:bCs/>
          <w:color w:val="auto"/>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color w:val="auto"/>
          <w:szCs w:val="21"/>
        </w:rPr>
      </w:pPr>
      <w:r>
        <w:rPr>
          <w:rFonts w:hint="eastAsia" w:ascii="宋体" w:hAnsi="宋体"/>
          <w:b/>
          <w:bCs/>
          <w:color w:val="auto"/>
          <w:szCs w:val="21"/>
        </w:rPr>
        <w:t>2．招标说明</w:t>
      </w:r>
    </w:p>
    <w:p>
      <w:pPr>
        <w:rPr>
          <w:rFonts w:ascii="宋体" w:hAnsi="宋体"/>
          <w:bCs/>
          <w:color w:val="auto"/>
          <w:szCs w:val="21"/>
        </w:rPr>
      </w:pPr>
      <w:r>
        <w:rPr>
          <w:rFonts w:hint="eastAsia" w:ascii="宋体" w:hAnsi="宋体"/>
          <w:bCs/>
          <w:color w:val="auto"/>
          <w:szCs w:val="21"/>
        </w:rPr>
        <w:t>本项目按照《深圳经济特区政府采购条例》和《深圳网上政府采购管理暂行办法》的规定，并参考有关法规、政策、规章、规定通过招标择优选定供应商。</w:t>
      </w:r>
    </w:p>
    <w:p>
      <w:pPr>
        <w:rPr>
          <w:rFonts w:ascii="宋体" w:hAnsi="宋体"/>
          <w:b/>
          <w:bCs/>
          <w:color w:val="auto"/>
          <w:szCs w:val="21"/>
        </w:rPr>
      </w:pPr>
      <w:r>
        <w:rPr>
          <w:rFonts w:hint="eastAsia" w:ascii="宋体" w:hAnsi="宋体"/>
          <w:b/>
          <w:bCs/>
          <w:color w:val="auto"/>
          <w:szCs w:val="21"/>
        </w:rPr>
        <w:t>3.采购单位、政府集中采购机构、投标人</w:t>
      </w:r>
    </w:p>
    <w:p>
      <w:pPr>
        <w:rPr>
          <w:rFonts w:ascii="宋体" w:hAnsi="宋体"/>
          <w:color w:val="auto"/>
          <w:szCs w:val="21"/>
        </w:rPr>
      </w:pPr>
      <w:r>
        <w:rPr>
          <w:rFonts w:hint="eastAsia" w:ascii="宋体" w:hAnsi="宋体"/>
          <w:color w:val="auto"/>
          <w:szCs w:val="21"/>
        </w:rPr>
        <w:t>3.1“政府集中采购机构”系指政府设立的负责本级财政性资金的集中采购和招标组织工作的专门机构；本项目系指深圳市光明区公共资源交易中心；</w:t>
      </w:r>
    </w:p>
    <w:p>
      <w:pPr>
        <w:rPr>
          <w:rFonts w:ascii="宋体" w:hAnsi="宋体"/>
          <w:color w:val="auto"/>
          <w:szCs w:val="21"/>
        </w:rPr>
      </w:pPr>
      <w:r>
        <w:rPr>
          <w:rFonts w:hint="eastAsia" w:ascii="宋体" w:hAnsi="宋体"/>
          <w:color w:val="auto"/>
          <w:szCs w:val="21"/>
        </w:rPr>
        <w:t>3.2“采购人”或“采购单位”：系指利用财政性资金依法进行政府采购的国家机关、事业单位、团体组织；</w:t>
      </w:r>
    </w:p>
    <w:p>
      <w:pPr>
        <w:rPr>
          <w:rFonts w:ascii="宋体" w:hAnsi="宋体"/>
          <w:color w:val="auto"/>
          <w:szCs w:val="21"/>
        </w:rPr>
      </w:pPr>
      <w:r>
        <w:rPr>
          <w:rFonts w:hint="eastAsia" w:ascii="宋体" w:hAnsi="宋体"/>
          <w:color w:val="auto"/>
          <w:szCs w:val="21"/>
        </w:rPr>
        <w:t>3.3“投标人”或“投标方”，即供应商，是指参加投标竞争并愿意按照招标文件要求向采购人提供货物、工程或者服务的依法成立的法人、其他组织或者自然人；</w:t>
      </w:r>
    </w:p>
    <w:p>
      <w:pPr>
        <w:rPr>
          <w:rFonts w:ascii="宋体" w:hAnsi="宋体"/>
          <w:color w:val="auto"/>
          <w:szCs w:val="21"/>
        </w:rPr>
      </w:pPr>
      <w:r>
        <w:rPr>
          <w:rFonts w:hint="eastAsia" w:ascii="宋体" w:hAnsi="宋体"/>
          <w:color w:val="auto"/>
          <w:szCs w:val="21"/>
        </w:rPr>
        <w:t>3.4“评审委员会”和“谈判小组”是依据《深圳经济特区政府采购条例》有关规定组建的专门负责本次评标（谈判）工作的临时性机构；</w:t>
      </w:r>
    </w:p>
    <w:p>
      <w:pPr>
        <w:rPr>
          <w:rFonts w:ascii="宋体" w:hAnsi="宋体"/>
          <w:color w:val="auto"/>
          <w:szCs w:val="21"/>
        </w:rPr>
      </w:pPr>
      <w:r>
        <w:rPr>
          <w:rFonts w:hint="eastAsia" w:ascii="宋体" w:hAnsi="宋体"/>
          <w:color w:val="auto"/>
          <w:szCs w:val="21"/>
        </w:rPr>
        <w:t>3.5“日期”指公历日；</w:t>
      </w:r>
    </w:p>
    <w:p>
      <w:pPr>
        <w:rPr>
          <w:rFonts w:ascii="宋体" w:hAnsi="宋体"/>
          <w:color w:val="auto"/>
          <w:szCs w:val="21"/>
        </w:rPr>
      </w:pPr>
      <w:r>
        <w:rPr>
          <w:rFonts w:hint="eastAsia" w:ascii="宋体" w:hAnsi="宋体"/>
          <w:color w:val="auto"/>
          <w:szCs w:val="21"/>
        </w:rPr>
        <w:t>3.6“合同”指由本次招标所产生的合同或合约文件；</w:t>
      </w:r>
    </w:p>
    <w:p>
      <w:pPr>
        <w:rPr>
          <w:rFonts w:ascii="宋体" w:hAnsi="宋体"/>
          <w:color w:val="auto"/>
          <w:szCs w:val="21"/>
        </w:rPr>
      </w:pPr>
      <w:r>
        <w:rPr>
          <w:rFonts w:hint="eastAsia" w:ascii="宋体" w:hAnsi="宋体"/>
          <w:color w:val="auto"/>
          <w:szCs w:val="21"/>
        </w:rPr>
        <w:t>3.7“电子投标文件”指利用深圳市政府采购网提供的投标书加密软件加密的投标文件,适用于网上投标；（此投标书加密软件可从www.cgzx.sz.gov.cn网站“相关软件”栏目中下载）；</w:t>
      </w:r>
    </w:p>
    <w:p>
      <w:pPr>
        <w:rPr>
          <w:rFonts w:ascii="宋体" w:hAnsi="宋体"/>
          <w:color w:val="auto"/>
          <w:szCs w:val="21"/>
        </w:rPr>
      </w:pPr>
      <w:r>
        <w:rPr>
          <w:rFonts w:hint="eastAsia" w:ascii="宋体" w:hAnsi="宋体"/>
          <w:color w:val="auto"/>
          <w:szCs w:val="21"/>
        </w:rPr>
        <w:t>3.8“网上投标”指通过深圳市政府采购网上传电子投标文件；</w:t>
      </w:r>
    </w:p>
    <w:p>
      <w:pPr>
        <w:rPr>
          <w:rFonts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 xml:space="preserve">4. </w:t>
      </w:r>
      <w:r>
        <w:rPr>
          <w:rFonts w:hint="eastAsia" w:ascii="宋体" w:hAnsi="宋体" w:cs="黑体"/>
          <w:b/>
          <w:color w:val="auto"/>
          <w:kern w:val="0"/>
          <w:szCs w:val="21"/>
        </w:rPr>
        <w:t>政府采购供应商责任</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4.1</w:t>
      </w:r>
      <w:r>
        <w:rPr>
          <w:rFonts w:hint="eastAsia" w:ascii="宋体" w:hAnsi="宋体" w:cs="宋体"/>
          <w:color w:val="auto"/>
          <w:kern w:val="0"/>
          <w:szCs w:val="21"/>
        </w:rPr>
        <w:t>欢迎诚信、有实力和有社会责任心的供应商参与政府采购事业。</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4.2</w:t>
      </w:r>
      <w:r>
        <w:rPr>
          <w:rFonts w:hint="eastAsia" w:ascii="宋体" w:hAnsi="宋体" w:cs="宋体"/>
          <w:color w:val="auto"/>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color w:val="auto"/>
          <w:szCs w:val="21"/>
        </w:rPr>
      </w:pPr>
      <w:r>
        <w:rPr>
          <w:rFonts w:hint="eastAsia" w:ascii="宋体" w:hAnsi="宋体"/>
          <w:b/>
          <w:bCs/>
          <w:color w:val="auto"/>
          <w:szCs w:val="21"/>
        </w:rPr>
        <w:t>5.合格的投标人</w:t>
      </w:r>
    </w:p>
    <w:p>
      <w:pPr>
        <w:rPr>
          <w:rFonts w:ascii="宋体" w:hAnsi="宋体"/>
          <w:color w:val="auto"/>
          <w:szCs w:val="21"/>
        </w:rPr>
      </w:pPr>
      <w:r>
        <w:rPr>
          <w:rFonts w:hint="eastAsia" w:ascii="宋体" w:hAnsi="宋体"/>
          <w:color w:val="auto"/>
          <w:szCs w:val="21"/>
        </w:rPr>
        <w:t>5.1  在中华人民共和国境内（不含享有独立关税地位的地区）注册，并有能力按本次招标文件的要求提供本项目相关货物、工程和服务。</w:t>
      </w:r>
    </w:p>
    <w:p>
      <w:pPr>
        <w:rPr>
          <w:rFonts w:ascii="宋体" w:hAnsi="宋体"/>
          <w:color w:val="auto"/>
          <w:szCs w:val="21"/>
        </w:rPr>
      </w:pPr>
      <w:r>
        <w:rPr>
          <w:rFonts w:hint="eastAsia" w:ascii="宋体" w:hAnsi="宋体"/>
          <w:color w:val="auto"/>
          <w:szCs w:val="21"/>
        </w:rPr>
        <w:t>5.2  遵守并符合《中华人民共和国政府采购法》、《深圳经济特区政府采购条例》的有关规定。</w:t>
      </w:r>
    </w:p>
    <w:p>
      <w:pPr>
        <w:rPr>
          <w:rFonts w:ascii="宋体" w:hAnsi="宋体"/>
          <w:color w:val="auto"/>
          <w:szCs w:val="21"/>
        </w:rPr>
      </w:pPr>
      <w:r>
        <w:rPr>
          <w:rFonts w:hint="eastAsia" w:ascii="宋体" w:hAnsi="宋体"/>
          <w:color w:val="auto"/>
          <w:szCs w:val="21"/>
        </w:rPr>
        <w:t>5.3  在法律上和财务上独立、合法运作并独立于采购人和招标机构的投标人。</w:t>
      </w:r>
    </w:p>
    <w:p>
      <w:pPr>
        <w:rPr>
          <w:rFonts w:ascii="宋体" w:hAnsi="宋体"/>
          <w:color w:val="auto"/>
          <w:szCs w:val="21"/>
        </w:rPr>
      </w:pPr>
      <w:r>
        <w:rPr>
          <w:rFonts w:hint="eastAsia" w:ascii="宋体" w:hAnsi="宋体"/>
          <w:color w:val="auto"/>
          <w:szCs w:val="21"/>
        </w:rPr>
        <w:t>5.4  在深圳市政府采购中心注册的政府采购供应商。</w:t>
      </w:r>
    </w:p>
    <w:p>
      <w:pPr>
        <w:rPr>
          <w:rFonts w:ascii="宋体" w:hAnsi="宋体"/>
          <w:color w:val="auto"/>
          <w:szCs w:val="21"/>
        </w:rPr>
      </w:pPr>
      <w:r>
        <w:rPr>
          <w:rFonts w:hint="eastAsia" w:ascii="宋体" w:hAnsi="宋体"/>
          <w:color w:val="auto"/>
          <w:szCs w:val="21"/>
        </w:rPr>
        <w:t>5.5  采购项目不接受联合投标（招标文件中有特殊要求除外）。</w:t>
      </w:r>
    </w:p>
    <w:p>
      <w:pPr>
        <w:rPr>
          <w:rFonts w:ascii="宋体" w:hAnsi="宋体"/>
          <w:color w:val="auto"/>
          <w:szCs w:val="21"/>
        </w:rPr>
      </w:pPr>
      <w:r>
        <w:rPr>
          <w:rFonts w:hint="eastAsia" w:ascii="宋体" w:hAnsi="宋体"/>
          <w:color w:val="auto"/>
          <w:szCs w:val="21"/>
        </w:rPr>
        <w:t>5.6  参加本项目的投标人应具备的资格条件详见本项目招标公告中“投标人资格要求”的内容。</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6</w:t>
      </w:r>
      <w:r>
        <w:rPr>
          <w:rFonts w:hint="eastAsia" w:ascii="宋体" w:hAnsi="宋体" w:cs="黑体"/>
          <w:b/>
          <w:color w:val="auto"/>
          <w:kern w:val="0"/>
          <w:szCs w:val="21"/>
        </w:rPr>
        <w:t>．联合体投标</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以下有关联合体投标的条款仅适用于允许投标人组成联合体投标的项目。</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6.2 </w:t>
      </w:r>
      <w:r>
        <w:rPr>
          <w:rFonts w:hint="eastAsia" w:ascii="宋体" w:hAnsi="宋体" w:cs="宋体"/>
          <w:color w:val="auto"/>
          <w:kern w:val="0"/>
          <w:szCs w:val="21"/>
        </w:rPr>
        <w:t>由两个或两个以上的自然人、法人或者其他组织可以组成一个联合体，以一个供应商的身份共同投标时，应符合以下原则：</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）投标联合体各方参加政府采购活动应当具备下列条件：</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、具有独立承担民事责任的能力；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、有良好的商业信誉和健全的财务会计制度；</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、具有履行合同所必需的设备和专业技术能力；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、有依法缴纳税收和社会保障资金的良好记录；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、参加政府采购活动前三年内，在经营活动中没有重大违法记录；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、法律、行政法规规定的其他条件。</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）投标联合体各方必须有一方先行注册成深圳市政府采购中心供应商；</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）联合体中有同类资质的供应商按照联合体分工承担相同工作的，应当按照资质等级较低的供应商确定资质等级。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5</w:t>
      </w:r>
      <w:r>
        <w:rPr>
          <w:rFonts w:hint="eastAsia" w:ascii="宋体" w:hAnsi="宋体" w:cs="宋体"/>
          <w:color w:val="auto"/>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）投标人的投标文件及中标后签署的合同协议对联合体各方均具法律约束力；</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）联合体中标后，联合体各方应当共同与采购单位签订合同，就中标项目向采购单位承担连带责任；</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）除非另有规定或说明，本通用条款中</w:t>
      </w:r>
      <w:r>
        <w:rPr>
          <w:rFonts w:ascii="宋体" w:hAnsi="宋体" w:cs="宋体"/>
          <w:color w:val="auto"/>
          <w:kern w:val="0"/>
          <w:szCs w:val="21"/>
        </w:rPr>
        <w:t>“</w:t>
      </w:r>
      <w:r>
        <w:rPr>
          <w:rFonts w:hint="eastAsia" w:ascii="宋体" w:hAnsi="宋体" w:cs="宋体"/>
          <w:color w:val="auto"/>
          <w:kern w:val="0"/>
          <w:szCs w:val="21"/>
        </w:rPr>
        <w:t>投标人</w:t>
      </w:r>
      <w:r>
        <w:rPr>
          <w:rFonts w:ascii="宋体" w:hAnsi="宋体" w:cs="宋体"/>
          <w:color w:val="auto"/>
          <w:kern w:val="0"/>
          <w:szCs w:val="21"/>
        </w:rPr>
        <w:t>”</w:t>
      </w:r>
      <w:r>
        <w:rPr>
          <w:rFonts w:hint="eastAsia" w:ascii="宋体" w:hAnsi="宋体" w:cs="宋体"/>
          <w:color w:val="auto"/>
          <w:kern w:val="0"/>
          <w:szCs w:val="21"/>
        </w:rPr>
        <w:t>一词亦指联合体各方。</w:t>
      </w:r>
    </w:p>
    <w:p>
      <w:pPr>
        <w:rPr>
          <w:rFonts w:ascii="宋体" w:hAnsi="宋体"/>
          <w:b/>
          <w:color w:val="auto"/>
          <w:szCs w:val="21"/>
        </w:rPr>
      </w:pPr>
      <w:r>
        <w:rPr>
          <w:rFonts w:hint="eastAsia" w:ascii="宋体" w:hAnsi="宋体"/>
          <w:b/>
          <w:color w:val="auto"/>
          <w:szCs w:val="21"/>
        </w:rPr>
        <w:t>7.本项目若涉及采购货物，则合格的货物及相应服务应满足以下要求：</w:t>
      </w:r>
    </w:p>
    <w:p>
      <w:pPr>
        <w:rPr>
          <w:rFonts w:ascii="宋体" w:hAnsi="宋体"/>
          <w:color w:val="auto"/>
          <w:szCs w:val="21"/>
        </w:rPr>
      </w:pPr>
      <w:r>
        <w:rPr>
          <w:rFonts w:hint="eastAsia" w:ascii="宋体" w:hAnsi="宋体"/>
          <w:color w:val="auto"/>
          <w:szCs w:val="21"/>
        </w:rPr>
        <w:t>7.1 必须是全新、未使用过的原装合格正品（包括零部件），如安装或配置了软件的，须为正版软件。</w:t>
      </w:r>
    </w:p>
    <w:p>
      <w:pPr>
        <w:rPr>
          <w:rFonts w:ascii="宋体" w:hAnsi="宋体"/>
          <w:color w:val="auto"/>
          <w:szCs w:val="21"/>
        </w:rPr>
      </w:pPr>
      <w:r>
        <w:rPr>
          <w:rFonts w:hint="eastAsia" w:ascii="宋体" w:hAnsi="宋体"/>
          <w:color w:val="auto"/>
          <w:szCs w:val="21"/>
        </w:rPr>
        <w:t>7.2 国产的货物及其有关服务必须符合中华人民共和国的设计和制造生产标准或行业标准。招标文件有其他要求的，亦应符合其要求。</w:t>
      </w:r>
    </w:p>
    <w:p>
      <w:pPr>
        <w:rPr>
          <w:rFonts w:ascii="宋体" w:hAnsi="宋体"/>
          <w:color w:val="auto"/>
          <w:szCs w:val="21"/>
        </w:rPr>
      </w:pPr>
      <w:r>
        <w:rPr>
          <w:rFonts w:hint="eastAsia" w:ascii="宋体" w:hAnsi="宋体"/>
          <w:color w:val="auto"/>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rPr>
          <w:rFonts w:ascii="宋体" w:hAnsi="宋体"/>
          <w:color w:val="auto"/>
          <w:szCs w:val="21"/>
        </w:rPr>
      </w:pPr>
      <w:r>
        <w:rPr>
          <w:rFonts w:hint="eastAsia" w:ascii="宋体" w:hAnsi="宋体"/>
          <w:color w:val="auto"/>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rPr>
          <w:rFonts w:ascii="宋体" w:hAnsi="宋体"/>
          <w:color w:val="auto"/>
          <w:szCs w:val="21"/>
        </w:rPr>
      </w:pPr>
      <w:r>
        <w:rPr>
          <w:rFonts w:hint="eastAsia" w:ascii="宋体" w:hAnsi="宋体"/>
          <w:color w:val="auto"/>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rPr>
          <w:rFonts w:ascii="宋体" w:hAnsi="宋体"/>
          <w:color w:val="auto"/>
          <w:szCs w:val="21"/>
        </w:rPr>
      </w:pPr>
      <w:r>
        <w:rPr>
          <w:rFonts w:hint="eastAsia" w:ascii="宋体" w:hAnsi="宋体"/>
          <w:color w:val="auto"/>
          <w:szCs w:val="21"/>
        </w:rPr>
        <w:t>7.6 对工期的要求：投标人在投标时对其所投项目应提交详细的《交货进度表》，列明交货计划等，在合同规定的时间内完工验收。</w:t>
      </w:r>
    </w:p>
    <w:p>
      <w:pPr>
        <w:rPr>
          <w:rFonts w:ascii="宋体" w:hAnsi="宋体"/>
          <w:color w:val="auto"/>
          <w:szCs w:val="21"/>
        </w:rPr>
      </w:pPr>
      <w:r>
        <w:rPr>
          <w:rFonts w:hint="eastAsia" w:ascii="宋体" w:hAnsi="宋体"/>
          <w:color w:val="auto"/>
          <w:szCs w:val="21"/>
        </w:rPr>
        <w:t>7.7 除非招标文件另有规定，产品有效期为：密封存放在阴凉、干燥、通风、温度为-5°Ｃ～４０°Ｃ的环境中，有效期八年。特殊要求的另行规定。</w:t>
      </w:r>
    </w:p>
    <w:p>
      <w:pPr>
        <w:rPr>
          <w:rFonts w:ascii="宋体" w:hAnsi="宋体"/>
          <w:color w:val="auto"/>
          <w:szCs w:val="21"/>
        </w:rPr>
      </w:pPr>
      <w:r>
        <w:rPr>
          <w:rFonts w:hint="eastAsia" w:ascii="宋体" w:hAnsi="宋体"/>
          <w:color w:val="auto"/>
          <w:szCs w:val="21"/>
        </w:rPr>
        <w:t>7.8 服务响应期：4小时以内到达采购单位现场。特殊要求的另行规定。</w:t>
      </w:r>
    </w:p>
    <w:p>
      <w:pPr>
        <w:rPr>
          <w:rFonts w:ascii="宋体" w:hAnsi="宋体"/>
          <w:color w:val="auto"/>
          <w:szCs w:val="21"/>
        </w:rPr>
      </w:pPr>
      <w:r>
        <w:rPr>
          <w:rFonts w:hint="eastAsia" w:ascii="宋体" w:hAnsi="宋体"/>
          <w:color w:val="auto"/>
          <w:szCs w:val="21"/>
        </w:rPr>
        <w:t>7.9 投标人必须承担的设备运输、安装调试、验收检测和提供设备操作说明书、图纸等其他相关及类似的义务。</w:t>
      </w:r>
    </w:p>
    <w:p>
      <w:pPr>
        <w:rPr>
          <w:rFonts w:ascii="宋体" w:hAnsi="宋体"/>
          <w:b/>
          <w:bCs/>
          <w:color w:val="auto"/>
          <w:szCs w:val="21"/>
        </w:rPr>
      </w:pPr>
      <w:r>
        <w:rPr>
          <w:rFonts w:hint="eastAsia" w:ascii="宋体" w:hAnsi="宋体"/>
          <w:b/>
          <w:bCs/>
          <w:color w:val="auto"/>
          <w:szCs w:val="21"/>
        </w:rPr>
        <w:t>8.投标费用</w:t>
      </w:r>
    </w:p>
    <w:p>
      <w:pPr>
        <w:rPr>
          <w:rFonts w:ascii="宋体" w:hAnsi="宋体"/>
          <w:color w:val="auto"/>
          <w:szCs w:val="21"/>
        </w:rPr>
      </w:pPr>
      <w:r>
        <w:rPr>
          <w:rFonts w:hint="eastAsia" w:ascii="宋体" w:hAnsi="宋体"/>
          <w:color w:val="auto"/>
          <w:szCs w:val="21"/>
        </w:rPr>
        <w:t>投标人应承担所有与准备和参加投标有关的费用。不论投标的结果如何，政府集中采购机构和采购单位均无义务和责任承担这些费用。</w:t>
      </w:r>
    </w:p>
    <w:p>
      <w:pPr>
        <w:rPr>
          <w:rFonts w:ascii="宋体" w:hAnsi="宋体"/>
          <w:b/>
          <w:color w:val="auto"/>
          <w:szCs w:val="21"/>
        </w:rPr>
      </w:pPr>
      <w:r>
        <w:rPr>
          <w:rFonts w:hint="eastAsia" w:ascii="宋体" w:hAnsi="宋体"/>
          <w:b/>
          <w:color w:val="auto"/>
          <w:szCs w:val="21"/>
        </w:rPr>
        <w:t>9．踏勘现场</w:t>
      </w:r>
    </w:p>
    <w:p>
      <w:pPr>
        <w:rPr>
          <w:rFonts w:ascii="宋体" w:hAnsi="宋体"/>
          <w:color w:val="auto"/>
          <w:szCs w:val="21"/>
        </w:rPr>
      </w:pPr>
      <w:r>
        <w:rPr>
          <w:rFonts w:hint="eastAsia" w:ascii="宋体" w:hAnsi="宋体"/>
          <w:color w:val="auto"/>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color w:val="auto"/>
          <w:szCs w:val="21"/>
        </w:rPr>
        <w:t>招标公告</w:t>
      </w:r>
      <w:r>
        <w:rPr>
          <w:rFonts w:hint="eastAsia" w:ascii="宋体" w:hAnsi="宋体"/>
          <w:color w:val="auto"/>
          <w:szCs w:val="21"/>
        </w:rPr>
        <w:t>所约定的时间、地点统一踏勘现场。</w:t>
      </w:r>
    </w:p>
    <w:p>
      <w:pPr>
        <w:rPr>
          <w:rFonts w:ascii="宋体" w:hAnsi="宋体"/>
          <w:color w:val="auto"/>
          <w:szCs w:val="21"/>
        </w:rPr>
      </w:pPr>
      <w:r>
        <w:rPr>
          <w:rFonts w:hint="eastAsia" w:ascii="宋体" w:hAnsi="宋体"/>
          <w:color w:val="auto"/>
          <w:szCs w:val="21"/>
        </w:rPr>
        <w:t>9.2投标人及其人员经过采购单位的允许，可以踏勘目的进入采购单位的项目现场。若本项目招标文件要求投标人于统一时间地点踏勘现场的，投标人应当按时前往。</w:t>
      </w:r>
    </w:p>
    <w:p>
      <w:pPr>
        <w:rPr>
          <w:rFonts w:ascii="宋体" w:hAnsi="宋体"/>
          <w:color w:val="auto"/>
          <w:szCs w:val="21"/>
        </w:rPr>
      </w:pPr>
      <w:r>
        <w:rPr>
          <w:rFonts w:hint="eastAsia" w:ascii="宋体" w:hAnsi="宋体"/>
          <w:color w:val="auto"/>
          <w:szCs w:val="21"/>
        </w:rPr>
        <w:t>9.3采购单位必须通过政府集中采购机构向投标人提供有关现场的资料和数据。</w:t>
      </w:r>
    </w:p>
    <w:p>
      <w:pPr>
        <w:rPr>
          <w:rFonts w:ascii="宋体" w:hAnsi="宋体"/>
          <w:color w:val="auto"/>
          <w:szCs w:val="21"/>
        </w:rPr>
      </w:pPr>
      <w:r>
        <w:rPr>
          <w:rFonts w:hint="eastAsia" w:ascii="宋体" w:hAnsi="宋体"/>
          <w:color w:val="auto"/>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rPr>
          <w:rFonts w:ascii="宋体" w:hAnsi="宋体"/>
          <w:color w:val="auto"/>
          <w:szCs w:val="21"/>
        </w:rPr>
      </w:pPr>
      <w:r>
        <w:rPr>
          <w:rFonts w:hint="eastAsia" w:ascii="宋体" w:hAnsi="宋体"/>
          <w:color w:val="auto"/>
          <w:szCs w:val="21"/>
        </w:rPr>
        <w:t>9.5 未参与现场踏勘不作为否定投标人资格的理由。</w:t>
      </w:r>
    </w:p>
    <w:p>
      <w:pPr>
        <w:rPr>
          <w:rFonts w:ascii="宋体" w:hAnsi="宋体"/>
          <w:b/>
          <w:color w:val="auto"/>
          <w:szCs w:val="21"/>
        </w:rPr>
      </w:pPr>
      <w:r>
        <w:rPr>
          <w:rFonts w:hint="eastAsia" w:ascii="宋体" w:hAnsi="宋体"/>
          <w:b/>
          <w:color w:val="auto"/>
          <w:szCs w:val="21"/>
        </w:rPr>
        <w:t>10．招标答疑</w:t>
      </w:r>
    </w:p>
    <w:p>
      <w:pPr>
        <w:rPr>
          <w:rFonts w:ascii="宋体" w:hAnsi="宋体"/>
          <w:color w:val="auto"/>
          <w:szCs w:val="21"/>
        </w:rPr>
      </w:pPr>
      <w:r>
        <w:rPr>
          <w:rFonts w:hint="eastAsia" w:ascii="宋体" w:hAnsi="宋体"/>
          <w:color w:val="auto"/>
          <w:szCs w:val="21"/>
        </w:rPr>
        <w:t>10.1招标答疑的目的是澄清、解答投标人在查阅招标文件后或现场踏勘中可能提出的与投标有关的疑问或询问。</w:t>
      </w:r>
    </w:p>
    <w:p>
      <w:pPr>
        <w:rPr>
          <w:rFonts w:ascii="宋体" w:hAnsi="宋体"/>
          <w:color w:val="auto"/>
          <w:szCs w:val="21"/>
        </w:rPr>
      </w:pPr>
      <w:r>
        <w:rPr>
          <w:rFonts w:hint="eastAsia" w:ascii="宋体" w:hAnsi="宋体"/>
          <w:color w:val="auto"/>
          <w:szCs w:val="21"/>
        </w:rPr>
        <w:t>10.2投标人提出的与投标有关的问题须在招标文件规定的答疑截止时间前以网上提问形式提交给集中采购机构。</w:t>
      </w:r>
    </w:p>
    <w:p>
      <w:pPr>
        <w:rPr>
          <w:rFonts w:ascii="宋体" w:hAnsi="宋体"/>
          <w:color w:val="auto"/>
          <w:szCs w:val="21"/>
        </w:rPr>
      </w:pPr>
      <w:r>
        <w:rPr>
          <w:rFonts w:hint="eastAsia" w:ascii="宋体" w:hAnsi="宋体"/>
          <w:color w:val="auto"/>
          <w:szCs w:val="21"/>
        </w:rPr>
        <w:t>10.3政府集中采购机构对疑问所做出的澄清和解答，以书面答复（包括网站发布信息）为准。答疑纪要的有效性规定按照本通用条款第</w:t>
      </w:r>
      <w:r>
        <w:rPr>
          <w:rFonts w:hint="eastAsia" w:ascii="宋体" w:hAnsi="宋体"/>
          <w:b/>
          <w:color w:val="auto"/>
          <w:szCs w:val="21"/>
        </w:rPr>
        <w:t>13.3、13.4</w:t>
      </w:r>
      <w:r>
        <w:rPr>
          <w:rFonts w:hint="eastAsia" w:ascii="宋体" w:hAnsi="宋体"/>
          <w:color w:val="auto"/>
          <w:szCs w:val="21"/>
        </w:rPr>
        <w:t>款规定执行。</w:t>
      </w:r>
    </w:p>
    <w:p>
      <w:pPr>
        <w:rPr>
          <w:rFonts w:ascii="宋体" w:hAnsi="宋体"/>
          <w:color w:val="auto"/>
          <w:szCs w:val="21"/>
        </w:rPr>
      </w:pPr>
      <w:r>
        <w:rPr>
          <w:rFonts w:hint="eastAsia" w:ascii="宋体" w:hAnsi="宋体"/>
          <w:color w:val="auto"/>
          <w:szCs w:val="21"/>
        </w:rPr>
        <w:t>10.4如政府集中采购机构认为有必要组织现场答疑会，投标人应按照招标文件规定的时间或集中采购机构另行书面通知（包括网站发布的通知）的时间和地点，参与现场答疑会。</w:t>
      </w:r>
    </w:p>
    <w:p>
      <w:pPr>
        <w:rPr>
          <w:rFonts w:ascii="宋体" w:hAnsi="宋体"/>
          <w:color w:val="auto"/>
          <w:szCs w:val="21"/>
        </w:rPr>
      </w:pPr>
      <w:r>
        <w:rPr>
          <w:rFonts w:hint="eastAsia" w:ascii="宋体" w:hAnsi="宋体"/>
          <w:color w:val="auto"/>
          <w:szCs w:val="21"/>
        </w:rPr>
        <w:t>10.5未参与招标答疑不作为否定投标人资格的理由。</w:t>
      </w:r>
    </w:p>
    <w:p>
      <w:pPr>
        <w:rPr>
          <w:rFonts w:ascii="宋体" w:hAnsi="宋体"/>
          <w:color w:val="auto"/>
          <w:szCs w:val="21"/>
        </w:rPr>
      </w:pPr>
    </w:p>
    <w:p>
      <w:pPr>
        <w:pStyle w:val="6"/>
        <w:rPr>
          <w:rFonts w:ascii="宋体" w:hAnsi="宋体"/>
          <w:b/>
          <w:color w:val="auto"/>
          <w:szCs w:val="24"/>
        </w:rPr>
      </w:pPr>
      <w:bookmarkStart w:id="31" w:name="bt招标文件"/>
      <w:bookmarkEnd w:id="31"/>
      <w:r>
        <w:rPr>
          <w:rFonts w:hint="eastAsia" w:ascii="宋体" w:hAnsi="宋体"/>
          <w:b/>
          <w:color w:val="auto"/>
          <w:szCs w:val="24"/>
        </w:rPr>
        <w:t>第二章  招标文件</w:t>
      </w:r>
    </w:p>
    <w:p>
      <w:pPr>
        <w:rPr>
          <w:rFonts w:ascii="宋体" w:hAnsi="宋体"/>
          <w:b/>
          <w:bCs/>
          <w:color w:val="auto"/>
          <w:szCs w:val="21"/>
        </w:rPr>
      </w:pPr>
      <w:r>
        <w:rPr>
          <w:rFonts w:hint="eastAsia" w:ascii="宋体" w:hAnsi="宋体"/>
          <w:b/>
          <w:bCs/>
          <w:color w:val="auto"/>
          <w:szCs w:val="21"/>
        </w:rPr>
        <w:t>11.招标文件构成</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.1  </w:t>
      </w:r>
      <w:r>
        <w:rPr>
          <w:rFonts w:hint="eastAsia" w:ascii="宋体" w:hAnsi="宋体"/>
          <w:color w:val="auto"/>
          <w:szCs w:val="21"/>
        </w:rPr>
        <w:t>要求提供的货物、工程、服务、招标过程和合同条件在招标文件中均有说明。</w:t>
      </w:r>
    </w:p>
    <w:p>
      <w:pPr>
        <w:snapToGrid w:val="0"/>
        <w:ind w:firstLine="420" w:firstLineChars="200"/>
        <w:rPr>
          <w:rFonts w:ascii="宋体" w:hAnsi="宋体"/>
          <w:color w:val="auto"/>
          <w:szCs w:val="21"/>
        </w:rPr>
      </w:pPr>
      <w:r>
        <w:rPr>
          <w:rFonts w:hint="eastAsia" w:ascii="宋体" w:hAnsi="宋体"/>
          <w:color w:val="auto"/>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color w:val="auto"/>
          <w:szCs w:val="21"/>
        </w:rPr>
      </w:pPr>
      <w:r>
        <w:rPr>
          <w:rFonts w:hint="eastAsia" w:ascii="宋体" w:hAnsi="宋体"/>
          <w:color w:val="auto"/>
          <w:szCs w:val="21"/>
        </w:rPr>
        <w:t>招标文件包括下列内容：</w:t>
      </w:r>
    </w:p>
    <w:p>
      <w:pPr>
        <w:ind w:left="630" w:leftChars="300" w:firstLine="1146" w:firstLineChars="546"/>
        <w:rPr>
          <w:rFonts w:ascii="宋体" w:hAnsi="宋体"/>
          <w:color w:val="auto"/>
          <w:szCs w:val="21"/>
        </w:rPr>
      </w:pPr>
      <w:r>
        <w:rPr>
          <w:rFonts w:hint="eastAsia" w:ascii="宋体" w:hAnsi="宋体"/>
          <w:color w:val="auto"/>
          <w:szCs w:val="21"/>
        </w:rPr>
        <w:t>关键信息</w:t>
      </w:r>
    </w:p>
    <w:p>
      <w:pPr>
        <w:ind w:firstLine="840" w:firstLineChars="400"/>
        <w:jc w:val="left"/>
        <w:rPr>
          <w:rFonts w:ascii="宋体" w:hAnsi="宋体"/>
          <w:color w:val="auto"/>
          <w:szCs w:val="21"/>
        </w:rPr>
      </w:pPr>
      <w:r>
        <w:rPr>
          <w:rFonts w:hint="eastAsia" w:ascii="宋体" w:hAnsi="宋体"/>
          <w:color w:val="auto"/>
          <w:szCs w:val="21"/>
        </w:rPr>
        <w:t>第一册  专用条款</w:t>
      </w:r>
    </w:p>
    <w:p>
      <w:pPr>
        <w:ind w:left="630" w:leftChars="300" w:firstLine="1146" w:firstLineChars="546"/>
        <w:rPr>
          <w:rFonts w:ascii="宋体" w:hAnsi="宋体"/>
          <w:color w:val="auto"/>
          <w:szCs w:val="21"/>
        </w:rPr>
      </w:pPr>
      <w:r>
        <w:rPr>
          <w:rFonts w:hint="eastAsia" w:ascii="宋体" w:hAnsi="宋体"/>
          <w:color w:val="auto"/>
          <w:szCs w:val="21"/>
        </w:rPr>
        <w:t>第一章  招标公告</w:t>
      </w:r>
    </w:p>
    <w:p>
      <w:pPr>
        <w:ind w:left="630" w:leftChars="300" w:firstLine="1146" w:firstLineChars="546"/>
        <w:rPr>
          <w:rFonts w:ascii="宋体" w:hAnsi="宋体"/>
          <w:color w:val="auto"/>
          <w:szCs w:val="21"/>
        </w:rPr>
      </w:pPr>
      <w:r>
        <w:rPr>
          <w:rFonts w:hint="eastAsia" w:ascii="宋体" w:hAnsi="宋体"/>
          <w:color w:val="auto"/>
          <w:szCs w:val="21"/>
        </w:rPr>
        <w:t>第二章  用户需求书</w:t>
      </w:r>
    </w:p>
    <w:p>
      <w:pPr>
        <w:ind w:left="630" w:leftChars="300" w:firstLine="1146" w:firstLineChars="546"/>
        <w:rPr>
          <w:rFonts w:ascii="宋体" w:hAnsi="宋体"/>
          <w:color w:val="auto"/>
          <w:szCs w:val="21"/>
        </w:rPr>
      </w:pPr>
      <w:r>
        <w:rPr>
          <w:rFonts w:hint="eastAsia" w:ascii="宋体" w:hAnsi="宋体"/>
          <w:color w:val="auto"/>
          <w:szCs w:val="21"/>
        </w:rPr>
        <w:t>第三章  投标文件的格式、附件</w:t>
      </w:r>
    </w:p>
    <w:p>
      <w:pPr>
        <w:ind w:left="630" w:leftChars="300" w:firstLine="1146" w:firstLineChars="546"/>
        <w:rPr>
          <w:rFonts w:ascii="宋体" w:hAnsi="宋体"/>
          <w:color w:val="auto"/>
          <w:szCs w:val="21"/>
        </w:rPr>
      </w:pPr>
      <w:r>
        <w:rPr>
          <w:rFonts w:hint="eastAsia" w:ascii="宋体" w:hAnsi="宋体"/>
          <w:color w:val="auto"/>
          <w:szCs w:val="21"/>
        </w:rPr>
        <w:t>第四章  政府采购合同的签订、履约及验收</w:t>
      </w:r>
    </w:p>
    <w:p>
      <w:pPr>
        <w:ind w:left="420" w:leftChars="200" w:firstLine="411" w:firstLineChars="196"/>
        <w:rPr>
          <w:rFonts w:ascii="宋体" w:hAnsi="宋体"/>
          <w:color w:val="auto"/>
          <w:szCs w:val="21"/>
        </w:rPr>
      </w:pPr>
      <w:r>
        <w:rPr>
          <w:rFonts w:hint="eastAsia" w:ascii="宋体" w:hAnsi="宋体"/>
          <w:color w:val="auto"/>
          <w:szCs w:val="21"/>
        </w:rPr>
        <w:t>第二册  通用条款</w:t>
      </w:r>
    </w:p>
    <w:p>
      <w:pPr>
        <w:ind w:left="630" w:leftChars="300" w:firstLine="1146" w:firstLineChars="546"/>
        <w:rPr>
          <w:rFonts w:ascii="宋体" w:hAnsi="宋体"/>
          <w:color w:val="auto"/>
          <w:szCs w:val="21"/>
        </w:rPr>
      </w:pPr>
      <w:r>
        <w:rPr>
          <w:rFonts w:hint="eastAsia" w:ascii="宋体" w:hAnsi="宋体"/>
          <w:color w:val="auto"/>
          <w:szCs w:val="21"/>
        </w:rPr>
        <w:t>第一章  总则</w:t>
      </w:r>
    </w:p>
    <w:p>
      <w:pPr>
        <w:ind w:left="630" w:leftChars="300" w:firstLine="1146" w:firstLineChars="546"/>
        <w:rPr>
          <w:rFonts w:ascii="宋体" w:hAnsi="宋体"/>
          <w:color w:val="auto"/>
          <w:szCs w:val="21"/>
        </w:rPr>
      </w:pPr>
      <w:r>
        <w:rPr>
          <w:rFonts w:hint="eastAsia" w:ascii="宋体" w:hAnsi="宋体"/>
          <w:color w:val="auto"/>
          <w:szCs w:val="21"/>
        </w:rPr>
        <w:t>第二章  招标文件</w:t>
      </w:r>
    </w:p>
    <w:p>
      <w:pPr>
        <w:ind w:left="630" w:leftChars="300" w:firstLine="1146" w:firstLineChars="546"/>
        <w:rPr>
          <w:rFonts w:ascii="宋体" w:hAnsi="宋体"/>
          <w:color w:val="auto"/>
          <w:szCs w:val="21"/>
        </w:rPr>
      </w:pPr>
      <w:r>
        <w:rPr>
          <w:rFonts w:hint="eastAsia" w:ascii="宋体" w:hAnsi="宋体"/>
          <w:color w:val="auto"/>
          <w:szCs w:val="21"/>
        </w:rPr>
        <w:t>第三章  投标文件的编制</w:t>
      </w:r>
    </w:p>
    <w:p>
      <w:pPr>
        <w:ind w:left="630" w:leftChars="300" w:firstLine="1146" w:firstLineChars="546"/>
        <w:rPr>
          <w:rFonts w:ascii="宋体" w:hAnsi="宋体"/>
          <w:color w:val="auto"/>
          <w:szCs w:val="21"/>
        </w:rPr>
      </w:pPr>
      <w:r>
        <w:rPr>
          <w:rFonts w:hint="eastAsia" w:ascii="宋体" w:hAnsi="宋体"/>
          <w:color w:val="auto"/>
          <w:szCs w:val="21"/>
        </w:rPr>
        <w:t>第四章  投标文件的递交</w:t>
      </w:r>
    </w:p>
    <w:p>
      <w:pPr>
        <w:ind w:left="630" w:leftChars="300" w:firstLine="1146" w:firstLineChars="546"/>
        <w:rPr>
          <w:rFonts w:ascii="宋体" w:hAnsi="宋体"/>
          <w:color w:val="auto"/>
          <w:szCs w:val="21"/>
        </w:rPr>
      </w:pPr>
      <w:r>
        <w:rPr>
          <w:rFonts w:hint="eastAsia" w:ascii="宋体" w:hAnsi="宋体"/>
          <w:color w:val="auto"/>
          <w:szCs w:val="21"/>
        </w:rPr>
        <w:t>第五章  开标与评标</w:t>
      </w:r>
    </w:p>
    <w:p>
      <w:pPr>
        <w:ind w:left="630" w:leftChars="300" w:firstLine="1146" w:firstLineChars="546"/>
        <w:rPr>
          <w:rFonts w:ascii="宋体" w:hAnsi="宋体"/>
          <w:color w:val="auto"/>
          <w:szCs w:val="21"/>
        </w:rPr>
      </w:pPr>
      <w:r>
        <w:rPr>
          <w:rFonts w:hint="eastAsia" w:ascii="宋体" w:hAnsi="宋体"/>
          <w:color w:val="auto"/>
          <w:szCs w:val="21"/>
        </w:rPr>
        <w:t>第六章  定标及公示</w:t>
      </w:r>
    </w:p>
    <w:p>
      <w:pPr>
        <w:ind w:left="630" w:leftChars="300" w:firstLine="1146" w:firstLineChars="546"/>
        <w:rPr>
          <w:rFonts w:ascii="宋体" w:hAnsi="宋体"/>
          <w:color w:val="auto"/>
          <w:szCs w:val="21"/>
        </w:rPr>
      </w:pPr>
      <w:r>
        <w:rPr>
          <w:rFonts w:hint="eastAsia" w:ascii="宋体" w:hAnsi="宋体"/>
          <w:color w:val="auto"/>
          <w:szCs w:val="21"/>
        </w:rPr>
        <w:t>第七章  公开招标失败的后续处理</w:t>
      </w:r>
    </w:p>
    <w:p>
      <w:pPr>
        <w:ind w:left="630" w:leftChars="300" w:firstLine="1146" w:firstLineChars="546"/>
        <w:rPr>
          <w:rFonts w:ascii="宋体" w:hAnsi="宋体"/>
          <w:color w:val="auto"/>
          <w:szCs w:val="21"/>
        </w:rPr>
      </w:pPr>
      <w:r>
        <w:rPr>
          <w:rFonts w:hint="eastAsia" w:ascii="宋体" w:hAnsi="宋体"/>
          <w:color w:val="auto"/>
          <w:szCs w:val="21"/>
        </w:rPr>
        <w:t>第八章  授予合同</w:t>
      </w:r>
    </w:p>
    <w:p>
      <w:pPr>
        <w:ind w:left="630" w:leftChars="300" w:firstLine="1146" w:firstLineChars="546"/>
        <w:rPr>
          <w:rFonts w:ascii="宋体" w:hAnsi="宋体"/>
          <w:color w:val="auto"/>
          <w:szCs w:val="21"/>
        </w:rPr>
      </w:pPr>
      <w:r>
        <w:rPr>
          <w:rFonts w:hint="eastAsia" w:ascii="宋体" w:hAnsi="宋体"/>
          <w:color w:val="auto"/>
          <w:szCs w:val="21"/>
        </w:rPr>
        <w:t>第九章  质疑处理</w:t>
      </w:r>
    </w:p>
    <w:p>
      <w:pPr>
        <w:rPr>
          <w:rFonts w:ascii="宋体" w:hAnsi="宋体"/>
          <w:b/>
          <w:color w:val="auto"/>
          <w:szCs w:val="21"/>
        </w:rPr>
      </w:pPr>
      <w:r>
        <w:rPr>
          <w:rFonts w:hint="eastAsia" w:ascii="宋体" w:hAnsi="宋体"/>
          <w:b/>
          <w:color w:val="auto"/>
          <w:szCs w:val="21"/>
        </w:rPr>
        <w:t>专用条款与通用条款内容有冲突的，以专用条款为准。</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.2  </w:t>
      </w:r>
      <w:r>
        <w:rPr>
          <w:rFonts w:hint="eastAsia" w:ascii="宋体" w:hAnsi="宋体"/>
          <w:color w:val="auto"/>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rPr>
          <w:rFonts w:ascii="宋体" w:hAnsi="宋体"/>
          <w:color w:val="auto"/>
          <w:szCs w:val="21"/>
        </w:rPr>
      </w:pPr>
      <w:r>
        <w:rPr>
          <w:rFonts w:hint="eastAsia" w:ascii="宋体" w:hAnsi="宋体"/>
          <w:color w:val="auto"/>
          <w:szCs w:val="21"/>
        </w:rPr>
        <w:t>11.3  网上报名。为方便开标准备工作，投标人如确定参加投标，应</w:t>
      </w:r>
      <w:r>
        <w:rPr>
          <w:rFonts w:ascii="宋体" w:hAnsi="宋体"/>
          <w:color w:val="auto"/>
          <w:szCs w:val="21"/>
        </w:rPr>
        <w:t>登录深圳政府采购网站</w:t>
      </w:r>
      <w:r>
        <w:rPr>
          <w:rFonts w:hint="eastAsia" w:ascii="宋体" w:hAnsi="宋体"/>
          <w:color w:val="auto"/>
          <w:szCs w:val="21"/>
        </w:rPr>
        <w:t>网上报名参加投标，方法是点击“应标管理</w:t>
      </w:r>
      <w:r>
        <w:rPr>
          <w:rFonts w:ascii="宋体" w:hAnsi="宋体"/>
          <w:color w:val="auto"/>
          <w:szCs w:val="21"/>
        </w:rPr>
        <w:sym w:font="Wingdings" w:char="F0E0"/>
      </w:r>
      <w:r>
        <w:rPr>
          <w:rFonts w:hint="eastAsia" w:ascii="宋体" w:hAnsi="宋体"/>
          <w:color w:val="auto"/>
          <w:szCs w:val="21"/>
        </w:rPr>
        <w:t>投标响应”或“应标管理</w:t>
      </w:r>
      <w:r>
        <w:rPr>
          <w:rFonts w:ascii="宋体" w:hAnsi="宋体"/>
          <w:color w:val="auto"/>
          <w:szCs w:val="21"/>
        </w:rPr>
        <w:sym w:font="Wingdings" w:char="F0E0"/>
      </w:r>
      <w:r>
        <w:rPr>
          <w:rFonts w:hint="eastAsia" w:ascii="宋体" w:hAnsi="宋体"/>
          <w:color w:val="auto"/>
          <w:szCs w:val="21"/>
        </w:rPr>
        <w:t>确认邀请函”；如果网上报名后又不参加投标的，应再点击 “撤销响应”。</w:t>
      </w:r>
    </w:p>
    <w:p>
      <w:pPr>
        <w:rPr>
          <w:rFonts w:ascii="宋体" w:hAnsi="宋体"/>
          <w:color w:val="auto"/>
          <w:szCs w:val="21"/>
        </w:rPr>
      </w:pPr>
      <w:r>
        <w:rPr>
          <w:rFonts w:hint="eastAsia" w:ascii="宋体" w:hAnsi="宋体"/>
          <w:color w:val="auto"/>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color w:val="auto"/>
          <w:szCs w:val="21"/>
        </w:rPr>
      </w:pPr>
      <w:r>
        <w:rPr>
          <w:rFonts w:hint="eastAsia" w:ascii="宋体" w:hAnsi="宋体"/>
          <w:b/>
          <w:bCs/>
          <w:color w:val="auto"/>
          <w:szCs w:val="21"/>
        </w:rPr>
        <w:t>12.招标文件的澄清</w:t>
      </w:r>
    </w:p>
    <w:p>
      <w:pPr>
        <w:rPr>
          <w:rFonts w:ascii="宋体" w:hAnsi="宋体"/>
          <w:color w:val="auto"/>
          <w:szCs w:val="21"/>
        </w:rPr>
      </w:pPr>
      <w:r>
        <w:rPr>
          <w:rFonts w:hint="eastAsia" w:ascii="宋体" w:hAnsi="宋体"/>
          <w:color w:val="auto"/>
          <w:szCs w:val="21"/>
        </w:rPr>
        <w:t>12</w:t>
      </w:r>
      <w:r>
        <w:rPr>
          <w:rFonts w:ascii="宋体" w:hAnsi="宋体"/>
          <w:color w:val="auto"/>
          <w:szCs w:val="21"/>
        </w:rPr>
        <w:t>.1</w:t>
      </w:r>
      <w:r>
        <w:rPr>
          <w:rFonts w:hint="eastAsia" w:ascii="宋体" w:hAnsi="宋体"/>
          <w:color w:val="auto"/>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rPr>
          <w:rFonts w:ascii="宋体" w:hAnsi="宋体"/>
          <w:color w:val="auto"/>
          <w:szCs w:val="21"/>
        </w:rPr>
      </w:pPr>
      <w:r>
        <w:rPr>
          <w:rFonts w:hint="eastAsia" w:ascii="宋体" w:hAnsi="宋体"/>
          <w:color w:val="auto"/>
          <w:szCs w:val="21"/>
        </w:rPr>
        <w:t>12.2  对于没有提出澄清又参与了该项目投标的供应商将被视为完全认同该招标文件（含澄清纪要），投标截止期后不再受理针对招标文件的相关质疑或投诉。</w:t>
      </w:r>
    </w:p>
    <w:p>
      <w:pPr>
        <w:rPr>
          <w:rFonts w:ascii="宋体" w:hAnsi="宋体"/>
          <w:color w:val="auto"/>
          <w:szCs w:val="21"/>
        </w:rPr>
      </w:pPr>
      <w:r>
        <w:rPr>
          <w:rFonts w:hint="eastAsia" w:ascii="宋体" w:hAnsi="宋体"/>
          <w:color w:val="auto"/>
          <w:szCs w:val="21"/>
        </w:rPr>
        <w:t>12.3  对招标文件中描述有歧义或前后不一致的地方，评审委员会有权进行评判，但对同一条款的评判应适用于每个投标人。</w:t>
      </w:r>
    </w:p>
    <w:p>
      <w:pPr>
        <w:rPr>
          <w:rFonts w:ascii="宋体" w:hAnsi="宋体"/>
          <w:b/>
          <w:bCs/>
          <w:color w:val="auto"/>
          <w:szCs w:val="21"/>
        </w:rPr>
      </w:pPr>
      <w:r>
        <w:rPr>
          <w:rFonts w:hint="eastAsia" w:ascii="宋体" w:hAnsi="宋体"/>
          <w:b/>
          <w:bCs/>
          <w:color w:val="auto"/>
          <w:szCs w:val="21"/>
        </w:rPr>
        <w:t>13.招标文件的修改</w:t>
      </w:r>
    </w:p>
    <w:p>
      <w:pPr>
        <w:rPr>
          <w:rFonts w:ascii="宋体" w:hAnsi="宋体"/>
          <w:color w:val="auto"/>
          <w:szCs w:val="21"/>
        </w:rPr>
      </w:pPr>
      <w:r>
        <w:rPr>
          <w:rFonts w:hint="eastAsia" w:ascii="宋体" w:hAnsi="宋体"/>
          <w:color w:val="auto"/>
          <w:szCs w:val="21"/>
        </w:rPr>
        <w:t>13.1招标文件发出后，在投标截止日期前任何时候，确需要变更招标内容的，政府集中采购机构可主动地或在解答投标人提出的澄清问题时对招标文件进行修改；</w:t>
      </w:r>
    </w:p>
    <w:p>
      <w:pPr>
        <w:rPr>
          <w:rFonts w:ascii="宋体" w:hAnsi="宋体"/>
          <w:color w:val="auto"/>
          <w:szCs w:val="21"/>
        </w:rPr>
      </w:pPr>
      <w:r>
        <w:rPr>
          <w:rFonts w:hint="eastAsia" w:ascii="宋体" w:hAnsi="宋体"/>
          <w:color w:val="auto"/>
          <w:szCs w:val="21"/>
        </w:rPr>
        <w:t>13.2招标文件的修改以书面形式（包括网站公开发布方式）发送给所有投标人，招标文件的修改内容作为招标文件的组成部分，并具有约束力。</w:t>
      </w:r>
    </w:p>
    <w:p>
      <w:pPr>
        <w:rPr>
          <w:rFonts w:ascii="宋体" w:hAnsi="宋体"/>
          <w:color w:val="auto"/>
          <w:szCs w:val="21"/>
        </w:rPr>
      </w:pPr>
      <w:r>
        <w:rPr>
          <w:rFonts w:hint="eastAsia" w:ascii="宋体" w:hAnsi="宋体"/>
          <w:color w:val="auto"/>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rPr>
          <w:rFonts w:ascii="宋体" w:hAnsi="宋体"/>
          <w:color w:val="auto"/>
          <w:szCs w:val="21"/>
        </w:rPr>
      </w:pPr>
      <w:r>
        <w:rPr>
          <w:rFonts w:hint="eastAsia" w:ascii="宋体" w:hAnsi="宋体"/>
          <w:color w:val="auto"/>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auto"/>
          <w:szCs w:val="21"/>
        </w:rPr>
      </w:pPr>
    </w:p>
    <w:p>
      <w:pPr>
        <w:pStyle w:val="6"/>
        <w:rPr>
          <w:rFonts w:ascii="宋体" w:hAnsi="宋体"/>
          <w:b/>
          <w:color w:val="auto"/>
          <w:szCs w:val="24"/>
        </w:rPr>
      </w:pPr>
      <w:bookmarkStart w:id="32" w:name="bt投标文件的编制"/>
      <w:bookmarkEnd w:id="32"/>
      <w:r>
        <w:rPr>
          <w:rFonts w:hint="eastAsia" w:ascii="宋体" w:hAnsi="宋体"/>
          <w:b/>
          <w:color w:val="auto"/>
          <w:szCs w:val="24"/>
        </w:rPr>
        <w:t>第三章  投标文件的编制</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4.投标的语言及计量单位</w:t>
      </w:r>
    </w:p>
    <w:p>
      <w:pPr>
        <w:rPr>
          <w:rFonts w:ascii="宋体" w:hAnsi="宋体"/>
          <w:color w:val="auto"/>
          <w:szCs w:val="21"/>
        </w:rPr>
      </w:pPr>
      <w:r>
        <w:rPr>
          <w:rFonts w:ascii="宋体" w:hAnsi="宋体"/>
          <w:color w:val="auto"/>
          <w:szCs w:val="21"/>
        </w:rPr>
        <w:t>1</w:t>
      </w:r>
      <w:r>
        <w:rPr>
          <w:rFonts w:hint="eastAsia" w:ascii="宋体" w:hAnsi="宋体"/>
          <w:color w:val="auto"/>
          <w:szCs w:val="21"/>
        </w:rPr>
        <w:t>4</w:t>
      </w:r>
      <w:r>
        <w:rPr>
          <w:rFonts w:ascii="宋体" w:hAnsi="宋体"/>
          <w:color w:val="auto"/>
          <w:szCs w:val="21"/>
        </w:rPr>
        <w:t xml:space="preserve">.1  </w:t>
      </w:r>
      <w:r>
        <w:rPr>
          <w:rFonts w:hint="eastAsia" w:ascii="宋体" w:hAnsi="宋体"/>
          <w:color w:val="auto"/>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rPr>
          <w:rFonts w:ascii="宋体" w:hAnsi="宋体"/>
          <w:color w:val="auto"/>
          <w:szCs w:val="21"/>
        </w:rPr>
      </w:pPr>
      <w:r>
        <w:rPr>
          <w:rFonts w:hint="eastAsia" w:ascii="宋体" w:hAnsi="宋体"/>
          <w:color w:val="auto"/>
          <w:szCs w:val="21"/>
        </w:rPr>
        <w:t>14.2  除非下文另有规定，本采购文件使用中华人民共和国法定计量单位。</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5.投标文件构成</w:t>
      </w:r>
    </w:p>
    <w:p>
      <w:pPr>
        <w:rPr>
          <w:rFonts w:ascii="宋体" w:hAnsi="宋体"/>
          <w:color w:val="auto"/>
          <w:szCs w:val="21"/>
        </w:rPr>
      </w:pPr>
      <w:r>
        <w:rPr>
          <w:rFonts w:ascii="宋体" w:hAnsi="宋体"/>
          <w:color w:val="auto"/>
          <w:szCs w:val="21"/>
        </w:rPr>
        <w:t>1</w:t>
      </w:r>
      <w:r>
        <w:rPr>
          <w:rFonts w:hint="eastAsia" w:ascii="宋体" w:hAnsi="宋体"/>
          <w:color w:val="auto"/>
          <w:szCs w:val="21"/>
        </w:rPr>
        <w:t>5</w:t>
      </w:r>
      <w:r>
        <w:rPr>
          <w:rFonts w:ascii="宋体" w:hAnsi="宋体"/>
          <w:color w:val="auto"/>
          <w:szCs w:val="21"/>
        </w:rPr>
        <w:t xml:space="preserve">.1 </w:t>
      </w:r>
      <w:r>
        <w:rPr>
          <w:rFonts w:hint="eastAsia" w:ascii="宋体" w:hAnsi="宋体"/>
          <w:color w:val="auto"/>
          <w:szCs w:val="21"/>
        </w:rPr>
        <w:t>投标人应按本招标文件规定的投标书目录提供招标要求的所有材料。</w:t>
      </w:r>
    </w:p>
    <w:p>
      <w:pPr>
        <w:rPr>
          <w:rFonts w:ascii="宋体" w:hAnsi="宋体"/>
          <w:color w:val="auto"/>
          <w:szCs w:val="21"/>
        </w:rPr>
      </w:pPr>
      <w:r>
        <w:rPr>
          <w:rFonts w:hint="eastAsia" w:ascii="宋体" w:hAnsi="宋体"/>
          <w:color w:val="auto"/>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auto"/>
          <w:szCs w:val="21"/>
        </w:rPr>
      </w:pPr>
      <w:r>
        <w:rPr>
          <w:rFonts w:ascii="宋体" w:hAnsi="宋体"/>
          <w:b/>
          <w:bCs/>
          <w:color w:val="auto"/>
          <w:szCs w:val="21"/>
        </w:rPr>
        <w:t>1</w:t>
      </w:r>
      <w:r>
        <w:rPr>
          <w:rFonts w:hint="eastAsia" w:ascii="宋体" w:hAnsi="宋体"/>
          <w:b/>
          <w:bCs/>
          <w:color w:val="auto"/>
          <w:szCs w:val="21"/>
        </w:rPr>
        <w:t>6.投标文件格式</w:t>
      </w:r>
    </w:p>
    <w:p>
      <w:pPr>
        <w:rPr>
          <w:rFonts w:ascii="宋体" w:hAnsi="宋体"/>
          <w:color w:val="auto"/>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投标人应按招标文件提供的“投标文件的格式”填写。</w:t>
      </w:r>
    </w:p>
    <w:p>
      <w:pPr>
        <w:rPr>
          <w:rFonts w:ascii="宋体" w:hAnsi="宋体"/>
          <w:color w:val="auto"/>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 xml:space="preserve">.2 </w:t>
      </w:r>
      <w:r>
        <w:rPr>
          <w:rFonts w:hint="eastAsia" w:ascii="宋体" w:hAnsi="宋体"/>
          <w:color w:val="auto"/>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7.投标报价和货币</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1投标报价以人民币为结算单位。</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 xml:space="preserve">.2  </w:t>
      </w:r>
      <w:r>
        <w:rPr>
          <w:rFonts w:hint="eastAsia" w:ascii="宋体" w:hAnsi="宋体"/>
          <w:color w:val="auto"/>
          <w:szCs w:val="21"/>
        </w:rPr>
        <w:t>国产的有关货物、工程和服务的报价应包括要向中华人民共和国政府缴纳的增值税和其他税。</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.3  在中华人民共和国境内提供的</w:t>
      </w:r>
      <w:r>
        <w:rPr>
          <w:rFonts w:hint="eastAsia" w:ascii="宋体" w:hAnsi="宋体"/>
          <w:color w:val="auto"/>
          <w:szCs w:val="21"/>
        </w:rPr>
        <w:t>进口货物及其有关工程、服务的报价应包括要向中华人民共和国政府缴纳的关税、增值税和其他税。</w:t>
      </w:r>
    </w:p>
    <w:p>
      <w:pPr>
        <w:rPr>
          <w:rFonts w:ascii="宋体" w:hAnsi="宋体"/>
          <w:color w:val="auto"/>
          <w:szCs w:val="21"/>
        </w:rPr>
      </w:pPr>
      <w:r>
        <w:rPr>
          <w:rFonts w:hint="eastAsia" w:ascii="宋体" w:hAnsi="宋体"/>
          <w:color w:val="auto"/>
          <w:szCs w:val="21"/>
        </w:rPr>
        <w:t>17.4  投标报价为一次性报价，开标后不得更改，投标人对项目的报价必须是唯一的，不接受有任何选择的报价。</w:t>
      </w:r>
    </w:p>
    <w:p>
      <w:pPr>
        <w:rPr>
          <w:rFonts w:ascii="宋体" w:hAnsi="宋体"/>
          <w:b/>
          <w:color w:val="auto"/>
          <w:szCs w:val="21"/>
        </w:rPr>
      </w:pPr>
      <w:r>
        <w:rPr>
          <w:rFonts w:hint="eastAsia" w:ascii="宋体" w:hAnsi="宋体"/>
          <w:b/>
          <w:color w:val="auto"/>
          <w:szCs w:val="21"/>
        </w:rPr>
        <w:t>18.投标人资格的证明文件</w:t>
      </w:r>
    </w:p>
    <w:p>
      <w:pPr>
        <w:rPr>
          <w:rFonts w:ascii="宋体" w:hAnsi="宋体"/>
          <w:color w:val="auto"/>
          <w:szCs w:val="21"/>
        </w:rPr>
      </w:pPr>
      <w:r>
        <w:rPr>
          <w:rFonts w:hint="eastAsia" w:ascii="宋体" w:hAnsi="宋体"/>
          <w:color w:val="auto"/>
          <w:szCs w:val="21"/>
        </w:rPr>
        <w:t>18.1投标人应提交证明其有资格参加投标和中标后有能力履行合同的文件，并作为其投标文件的一部分。</w:t>
      </w:r>
    </w:p>
    <w:p>
      <w:pPr>
        <w:rPr>
          <w:rFonts w:ascii="宋体" w:hAnsi="宋体"/>
          <w:color w:val="auto"/>
          <w:szCs w:val="21"/>
        </w:rPr>
      </w:pPr>
      <w:r>
        <w:rPr>
          <w:rFonts w:hint="eastAsia" w:ascii="宋体" w:hAnsi="宋体"/>
          <w:color w:val="auto"/>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rPr>
          <w:rFonts w:ascii="宋体" w:hAnsi="宋体"/>
          <w:color w:val="auto"/>
          <w:szCs w:val="21"/>
        </w:rPr>
      </w:pPr>
      <w:r>
        <w:rPr>
          <w:rFonts w:hint="eastAsia" w:ascii="宋体" w:hAnsi="宋体"/>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rPr>
          <w:rFonts w:ascii="宋体" w:hAnsi="宋体"/>
          <w:color w:val="auto"/>
          <w:szCs w:val="21"/>
        </w:rPr>
      </w:pPr>
      <w:r>
        <w:rPr>
          <w:rFonts w:hint="eastAsia" w:ascii="宋体" w:hAnsi="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color w:val="auto"/>
          <w:szCs w:val="21"/>
        </w:rPr>
      </w:pPr>
      <w:r>
        <w:rPr>
          <w:rFonts w:hint="eastAsia" w:ascii="宋体" w:hAnsi="宋体"/>
          <w:color w:val="auto"/>
          <w:szCs w:val="21"/>
        </w:rPr>
        <w:t>公开招标以外采购方式以及政府采购服务和工程涉及采购货物的项目，也按此方法计算供应商家数。</w:t>
      </w:r>
    </w:p>
    <w:p>
      <w:pPr>
        <w:rPr>
          <w:rFonts w:ascii="宋体" w:hAnsi="宋体"/>
          <w:color w:val="auto"/>
          <w:szCs w:val="21"/>
        </w:rPr>
      </w:pP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rPr>
          <w:rFonts w:ascii="宋体" w:hAnsi="宋体"/>
          <w:color w:val="auto"/>
          <w:szCs w:val="21"/>
        </w:rPr>
      </w:pPr>
      <w:r>
        <w:rPr>
          <w:rFonts w:hint="eastAsia" w:ascii="宋体" w:hAnsi="宋体"/>
          <w:color w:val="auto"/>
          <w:szCs w:val="21"/>
        </w:rPr>
        <w:t>18.2投标人除招标文件规定的资格条件外，还必须符合国家法规规定的强制性条件，并提供相关证明文件，作为投标文件的一部份。</w:t>
      </w:r>
    </w:p>
    <w:p>
      <w:pPr>
        <w:rPr>
          <w:rFonts w:ascii="宋体" w:hAnsi="宋体"/>
          <w:color w:val="auto"/>
          <w:szCs w:val="21"/>
        </w:rPr>
      </w:pPr>
      <w:r>
        <w:rPr>
          <w:rFonts w:hint="eastAsia" w:ascii="宋体" w:hAnsi="宋体"/>
          <w:color w:val="auto"/>
          <w:szCs w:val="21"/>
        </w:rPr>
        <w:t>18.3投标人提交的证明文件应当是合法有效的。</w:t>
      </w:r>
    </w:p>
    <w:p>
      <w:pPr>
        <w:rPr>
          <w:rFonts w:ascii="宋体" w:hAnsi="宋体"/>
          <w:color w:val="auto"/>
          <w:szCs w:val="21"/>
        </w:rPr>
      </w:pPr>
      <w:r>
        <w:rPr>
          <w:rFonts w:hint="eastAsia" w:ascii="宋体" w:hAnsi="宋体"/>
          <w:color w:val="auto"/>
          <w:szCs w:val="21"/>
        </w:rPr>
        <w:t>18.4 投标人应提交参加本次政府采购活动前3年内在经营活动中没有重大违法记录的书面承诺，并作为其投标文件的一部分。</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9.证明投标文件投标技术方案的合格性和符合招标文件规定的文件要求</w:t>
      </w:r>
    </w:p>
    <w:p>
      <w:pPr>
        <w:rPr>
          <w:rFonts w:ascii="宋体" w:hAnsi="宋体"/>
          <w:color w:val="auto"/>
          <w:szCs w:val="21"/>
        </w:rPr>
      </w:pPr>
      <w:r>
        <w:rPr>
          <w:rFonts w:hint="eastAsia" w:ascii="宋体" w:hAnsi="宋体"/>
          <w:color w:val="auto"/>
          <w:szCs w:val="21"/>
        </w:rPr>
        <w:t>19</w:t>
      </w:r>
      <w:r>
        <w:rPr>
          <w:rFonts w:ascii="宋体" w:hAnsi="宋体"/>
          <w:color w:val="auto"/>
          <w:szCs w:val="21"/>
        </w:rPr>
        <w:t xml:space="preserve">.1 </w:t>
      </w:r>
      <w:r>
        <w:rPr>
          <w:rFonts w:hint="eastAsia" w:ascii="宋体" w:hAnsi="宋体"/>
          <w:color w:val="auto"/>
          <w:szCs w:val="21"/>
        </w:rPr>
        <w:t>投标人应提交证明文件证明其投标技术方案项下的货物、工程或服务的合格性符合招标文件规定。该投标技术方案及其证明文件作为投标文件的一部分。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rPr>
          <w:rFonts w:ascii="宋体" w:hAnsi="宋体"/>
          <w:color w:val="auto"/>
          <w:szCs w:val="21"/>
        </w:rPr>
      </w:pPr>
      <w:r>
        <w:rPr>
          <w:rFonts w:hint="eastAsia" w:ascii="宋体" w:hAnsi="宋体"/>
          <w:color w:val="auto"/>
          <w:szCs w:val="21"/>
        </w:rPr>
        <w:t>19.2.1主要技术指标和性能的详细说明。</w:t>
      </w:r>
    </w:p>
    <w:p>
      <w:pPr>
        <w:rPr>
          <w:rFonts w:ascii="宋体" w:hAnsi="宋体"/>
          <w:color w:val="auto"/>
          <w:szCs w:val="21"/>
        </w:rPr>
      </w:pPr>
      <w:r>
        <w:rPr>
          <w:rFonts w:hint="eastAsia" w:ascii="宋体" w:hAnsi="宋体"/>
          <w:color w:val="auto"/>
          <w:szCs w:val="21"/>
        </w:rPr>
        <w:t>19.2.</w:t>
      </w:r>
      <w:r>
        <w:rPr>
          <w:rFonts w:ascii="宋体" w:hAnsi="宋体"/>
          <w:color w:val="auto"/>
          <w:szCs w:val="21"/>
        </w:rPr>
        <w:t>2</w:t>
      </w:r>
      <w:r>
        <w:rPr>
          <w:rFonts w:hint="eastAsia" w:ascii="宋体" w:hAnsi="宋体"/>
          <w:color w:val="auto"/>
          <w:szCs w:val="21"/>
        </w:rPr>
        <w:t>投标产品从采购单位开始使用至招标文件中规定的周期内正常、连续地使用所必须的备件和专用工具清单，包括备件和专用工具的货源及现行价格。</w:t>
      </w:r>
    </w:p>
    <w:p>
      <w:pPr>
        <w:rPr>
          <w:rFonts w:ascii="宋体" w:hAnsi="宋体"/>
          <w:color w:val="auto"/>
          <w:szCs w:val="21"/>
        </w:rPr>
      </w:pPr>
      <w:r>
        <w:rPr>
          <w:rFonts w:hint="eastAsia" w:ascii="宋体" w:hAnsi="宋体"/>
          <w:color w:val="auto"/>
          <w:szCs w:val="21"/>
        </w:rPr>
        <w:t>19.2.</w:t>
      </w:r>
      <w:r>
        <w:rPr>
          <w:rFonts w:ascii="宋体" w:hAnsi="宋体"/>
          <w:color w:val="auto"/>
          <w:szCs w:val="21"/>
        </w:rPr>
        <w:t>3</w:t>
      </w:r>
      <w:r>
        <w:rPr>
          <w:rFonts w:hint="eastAsia" w:ascii="宋体" w:hAnsi="宋体"/>
          <w:color w:val="auto"/>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rPr>
          <w:rFonts w:ascii="宋体" w:hAnsi="宋体"/>
          <w:color w:val="auto"/>
          <w:szCs w:val="21"/>
        </w:rPr>
      </w:pPr>
      <w:r>
        <w:rPr>
          <w:rFonts w:hint="eastAsia" w:ascii="宋体" w:hAnsi="宋体"/>
          <w:color w:val="auto"/>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19.3未达到19.2要求提供的，评审委员会有权认定为投标技术方案不合格响应，其相关分数予以扣减或作投标无效处理。</w:t>
      </w:r>
    </w:p>
    <w:p>
      <w:pPr>
        <w:rPr>
          <w:rFonts w:ascii="宋体" w:hAnsi="宋体"/>
          <w:color w:val="auto"/>
          <w:szCs w:val="21"/>
        </w:rPr>
      </w:pPr>
      <w:r>
        <w:rPr>
          <w:rFonts w:hint="eastAsia" w:ascii="宋体" w:hAnsi="宋体"/>
          <w:color w:val="auto"/>
          <w:szCs w:val="21"/>
        </w:rPr>
        <w:t>19.4评审委员会有权对以谋取中标为目的的技术规格模糊响应（如有意照搬照抄招标文件的货物、工程或服务要求）或虚假响应予以认定。供应商上述行为一经发现或查实，除扣分或作投标无效处理外，还可能导致投标保证金不予退还等后果，集中采购机构可视情况报政府采购监督管理部门作进一步处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w:t>
      </w:r>
      <w:r>
        <w:rPr>
          <w:rFonts w:hint="eastAsia" w:ascii="宋体" w:hAnsi="宋体"/>
          <w:color w:val="auto"/>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由评审委员会来评判。</w:t>
      </w:r>
    </w:p>
    <w:p>
      <w:pPr>
        <w:rPr>
          <w:rFonts w:ascii="宋体" w:hAnsi="宋体"/>
          <w:color w:val="auto"/>
          <w:szCs w:val="21"/>
        </w:rPr>
      </w:pPr>
      <w:r>
        <w:rPr>
          <w:rFonts w:hint="eastAsia" w:ascii="宋体" w:hAnsi="宋体"/>
          <w:color w:val="auto"/>
          <w:szCs w:val="21"/>
        </w:rPr>
        <w:t>19.6为保证公平公正，除非另有规定或说明，投标人对同一货物、工程或服务投标时，不得同时提供两套或两套以上的投标方案。</w:t>
      </w:r>
    </w:p>
    <w:p>
      <w:pPr>
        <w:rPr>
          <w:rFonts w:ascii="宋体" w:hAnsi="宋体"/>
          <w:b/>
          <w:color w:val="auto"/>
          <w:szCs w:val="21"/>
        </w:rPr>
      </w:pPr>
      <w:r>
        <w:rPr>
          <w:rFonts w:hint="eastAsia" w:ascii="宋体" w:hAnsi="宋体"/>
          <w:b/>
          <w:color w:val="auto"/>
          <w:szCs w:val="21"/>
        </w:rPr>
        <w:t>20.投标文件其他证明文件的要求</w:t>
      </w:r>
    </w:p>
    <w:p>
      <w:pPr>
        <w:rPr>
          <w:rFonts w:ascii="宋体" w:hAnsi="宋体"/>
          <w:color w:val="auto"/>
          <w:szCs w:val="21"/>
        </w:rPr>
      </w:pPr>
      <w:r>
        <w:rPr>
          <w:rFonts w:hint="eastAsia" w:ascii="宋体" w:hAnsi="宋体"/>
          <w:color w:val="auto"/>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rPr>
          <w:rFonts w:ascii="宋体" w:hAnsi="宋体"/>
          <w:color w:val="auto"/>
          <w:szCs w:val="21"/>
        </w:rPr>
      </w:pPr>
      <w:r>
        <w:rPr>
          <w:rFonts w:hint="eastAsia" w:ascii="宋体" w:hAnsi="宋体"/>
          <w:color w:val="auto"/>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color w:val="auto"/>
          <w:szCs w:val="21"/>
        </w:rPr>
      </w:pPr>
      <w:r>
        <w:rPr>
          <w:rFonts w:hint="eastAsia" w:ascii="宋体" w:hAnsi="宋体"/>
          <w:b/>
          <w:color w:val="auto"/>
          <w:szCs w:val="21"/>
        </w:rPr>
        <w:t>21.投标保证金</w:t>
      </w:r>
    </w:p>
    <w:p>
      <w:pPr>
        <w:rPr>
          <w:rFonts w:ascii="宋体" w:hAnsi="宋体"/>
          <w:color w:val="auto"/>
          <w:szCs w:val="21"/>
        </w:rPr>
      </w:pPr>
      <w:r>
        <w:rPr>
          <w:rFonts w:hint="eastAsia" w:ascii="宋体" w:hAnsi="宋体"/>
          <w:color w:val="auto"/>
          <w:szCs w:val="21"/>
        </w:rPr>
        <w:t>21.1 投标保证金的缴纳：</w:t>
      </w:r>
    </w:p>
    <w:p>
      <w:pPr>
        <w:spacing w:after="60"/>
        <w:rPr>
          <w:rFonts w:ascii="宋体" w:hAnsi="宋体"/>
          <w:bCs/>
          <w:color w:val="auto"/>
          <w:szCs w:val="21"/>
        </w:rPr>
      </w:pPr>
      <w:r>
        <w:rPr>
          <w:rFonts w:hint="eastAsia" w:ascii="宋体" w:hAnsi="宋体"/>
          <w:color w:val="auto"/>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color w:val="auto"/>
          <w:szCs w:val="21"/>
        </w:rPr>
        <w:t>供应商注册办法可查询深圳市政府采购网站（</w:t>
      </w:r>
      <w:r>
        <w:rPr>
          <w:rFonts w:hint="default" w:ascii="宋体" w:hAnsi="宋体"/>
          <w:bCs/>
          <w:color w:val="auto"/>
          <w:szCs w:val="21"/>
          <w:lang w:val="en-US"/>
        </w:rPr>
        <w:t>http://zfcg.szggzy.com:8081/</w:t>
      </w:r>
      <w:r>
        <w:rPr>
          <w:rFonts w:hint="eastAsia" w:ascii="宋体" w:hAnsi="宋体"/>
          <w:bCs/>
          <w:color w:val="auto"/>
          <w:szCs w:val="21"/>
        </w:rPr>
        <w:t>），或拨打咨询电话0755-83938966。</w:t>
      </w:r>
    </w:p>
    <w:p>
      <w:pPr>
        <w:rPr>
          <w:rFonts w:ascii="宋体" w:hAnsi="宋体"/>
          <w:color w:val="auto"/>
          <w:szCs w:val="21"/>
          <w:lang w:val="zh-CN"/>
        </w:rPr>
      </w:pPr>
      <w:r>
        <w:rPr>
          <w:rFonts w:hint="eastAsia" w:ascii="宋体" w:hAnsi="宋体"/>
          <w:color w:val="auto"/>
          <w:szCs w:val="21"/>
          <w:lang w:val="zh-CN"/>
        </w:rPr>
        <w:t>（2）一般项目，投标保证金为一万元；</w:t>
      </w:r>
    </w:p>
    <w:p>
      <w:pPr>
        <w:rPr>
          <w:rFonts w:ascii="宋体" w:hAnsi="宋体"/>
          <w:color w:val="auto"/>
          <w:szCs w:val="21"/>
          <w:lang w:val="zh-CN"/>
        </w:rPr>
      </w:pPr>
      <w:r>
        <w:rPr>
          <w:rFonts w:hint="eastAsia" w:ascii="宋体" w:hAnsi="宋体"/>
          <w:color w:val="auto"/>
          <w:szCs w:val="21"/>
          <w:lang w:val="zh-CN"/>
        </w:rPr>
        <w:t>（3）投标保证金必须在项目开标日前两个工作日到账；</w:t>
      </w:r>
      <w:r>
        <w:rPr>
          <w:rFonts w:hint="eastAsia" w:ascii="宋体" w:hAnsi="宋体"/>
          <w:color w:val="auto"/>
          <w:szCs w:val="21"/>
        </w:rPr>
        <w:t>深圳市政府采购中心</w:t>
      </w:r>
      <w:r>
        <w:rPr>
          <w:rFonts w:hint="eastAsia" w:ascii="宋体" w:hAnsi="宋体"/>
          <w:color w:val="auto"/>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rPr>
          <w:rFonts w:ascii="宋体" w:hAnsi="宋体"/>
          <w:color w:val="auto"/>
          <w:szCs w:val="21"/>
          <w:lang w:val="zh-CN"/>
        </w:rPr>
      </w:pPr>
      <w:r>
        <w:rPr>
          <w:rFonts w:hint="eastAsia" w:ascii="宋体" w:hAnsi="宋体"/>
          <w:color w:val="auto"/>
          <w:szCs w:val="21"/>
          <w:lang w:val="zh-CN"/>
        </w:rPr>
        <w:t>（4）自2013年6月1日起，交纳投标保证金应一律从投标供应商基本账户转出,否则按隐瞒真实情况，提供虚假资料处理。取消现金汇款等交纳方式，禁止个人银行结算账户转出和第三方代交；</w:t>
      </w:r>
    </w:p>
    <w:p>
      <w:pPr>
        <w:rPr>
          <w:rFonts w:ascii="宋体" w:hAnsi="宋体"/>
          <w:color w:val="auto"/>
          <w:szCs w:val="21"/>
        </w:rPr>
      </w:pPr>
      <w:r>
        <w:rPr>
          <w:rFonts w:hint="eastAsia" w:ascii="宋体" w:hAnsi="宋体"/>
          <w:color w:val="auto"/>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6</w:t>
      </w:r>
      <w:r>
        <w:rPr>
          <w:rFonts w:hint="eastAsia" w:ascii="宋体" w:hAnsi="宋体"/>
          <w:color w:val="auto"/>
          <w:szCs w:val="21"/>
          <w:lang w:val="zh-CN"/>
        </w:rPr>
        <w:t>）以上相关要求必须严格遵守，否则，由此造成的后果由供应商自行负责；</w:t>
      </w:r>
    </w:p>
    <w:p>
      <w:pPr>
        <w:rPr>
          <w:rFonts w:ascii="宋体" w:hAnsi="宋体"/>
          <w:color w:val="auto"/>
          <w:szCs w:val="21"/>
        </w:rPr>
      </w:pPr>
      <w:r>
        <w:rPr>
          <w:rFonts w:hint="eastAsia" w:ascii="宋体" w:hAnsi="宋体"/>
          <w:color w:val="auto"/>
          <w:szCs w:val="21"/>
        </w:rPr>
        <w:t>21.1.2 若为重大项目，政府集中采购机构可自行决定另外收取投标保证金，不受21.1.1款限制。</w:t>
      </w:r>
    </w:p>
    <w:p>
      <w:pPr>
        <w:rPr>
          <w:rFonts w:ascii="宋体" w:hAnsi="宋体"/>
          <w:color w:val="auto"/>
          <w:szCs w:val="21"/>
        </w:rPr>
      </w:pPr>
      <w:r>
        <w:rPr>
          <w:rFonts w:hint="eastAsia" w:ascii="宋体" w:hAnsi="宋体"/>
          <w:color w:val="auto"/>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rPr>
          <w:rFonts w:ascii="宋体" w:hAnsi="宋体"/>
          <w:color w:val="auto"/>
          <w:szCs w:val="21"/>
        </w:rPr>
      </w:pPr>
      <w:r>
        <w:rPr>
          <w:rFonts w:hint="eastAsia" w:ascii="宋体" w:hAnsi="宋体"/>
          <w:color w:val="auto"/>
          <w:szCs w:val="21"/>
        </w:rPr>
        <w:t>21.3如下列任何情况发生时，不予退还投标人的投标保证金：</w:t>
      </w:r>
    </w:p>
    <w:p>
      <w:pPr>
        <w:rPr>
          <w:rFonts w:ascii="宋体" w:hAnsi="宋体"/>
          <w:color w:val="auto"/>
          <w:szCs w:val="21"/>
        </w:rPr>
      </w:pPr>
      <w:r>
        <w:rPr>
          <w:rFonts w:hint="eastAsia" w:ascii="宋体" w:hAnsi="宋体"/>
          <w:color w:val="auto"/>
          <w:szCs w:val="21"/>
        </w:rPr>
        <w:t>1）投标人在招标文件中规定的投标有效期内撤回其投标；</w:t>
      </w:r>
    </w:p>
    <w:p>
      <w:pPr>
        <w:rPr>
          <w:rFonts w:ascii="宋体" w:hAnsi="宋体"/>
          <w:color w:val="auto"/>
          <w:szCs w:val="21"/>
        </w:rPr>
      </w:pPr>
      <w:r>
        <w:rPr>
          <w:rFonts w:hint="eastAsia" w:ascii="宋体" w:hAnsi="宋体"/>
          <w:color w:val="auto"/>
          <w:szCs w:val="21"/>
        </w:rPr>
        <w:t>2）中标人在规定期限内未能根据招标文件要求签订合同；</w:t>
      </w:r>
    </w:p>
    <w:p>
      <w:pPr>
        <w:rPr>
          <w:rFonts w:ascii="宋体" w:hAnsi="宋体"/>
          <w:color w:val="auto"/>
          <w:szCs w:val="21"/>
        </w:rPr>
      </w:pPr>
      <w:r>
        <w:rPr>
          <w:rFonts w:hint="eastAsia" w:ascii="宋体" w:hAnsi="宋体"/>
          <w:color w:val="auto"/>
          <w:szCs w:val="21"/>
        </w:rPr>
        <w:t>3）投标人提供虚假投标文件或虚假补充文件；</w:t>
      </w:r>
    </w:p>
    <w:p>
      <w:pPr>
        <w:rPr>
          <w:rFonts w:ascii="宋体" w:hAnsi="宋体"/>
          <w:color w:val="auto"/>
          <w:szCs w:val="21"/>
        </w:rPr>
      </w:pPr>
      <w:r>
        <w:rPr>
          <w:rFonts w:hint="eastAsia" w:ascii="宋体" w:hAnsi="宋体"/>
          <w:color w:val="auto"/>
          <w:szCs w:val="21"/>
        </w:rPr>
        <w:t>4）投标人以谋取中标为目的的技术规格模糊响应（如有意照搬照抄招标文件的技术要求）或虚假响应的；</w:t>
      </w:r>
    </w:p>
    <w:p>
      <w:pPr>
        <w:rPr>
          <w:rFonts w:ascii="宋体" w:hAnsi="宋体"/>
          <w:color w:val="auto"/>
          <w:szCs w:val="21"/>
        </w:rPr>
      </w:pPr>
      <w:r>
        <w:rPr>
          <w:rFonts w:hint="eastAsia" w:ascii="宋体" w:hAnsi="宋体"/>
          <w:color w:val="auto"/>
          <w:szCs w:val="21"/>
        </w:rPr>
        <w:t>5）投标人质疑投诉提供虚假情况。</w:t>
      </w:r>
    </w:p>
    <w:p>
      <w:pPr>
        <w:rPr>
          <w:rFonts w:ascii="宋体" w:hAnsi="宋体"/>
          <w:b/>
          <w:color w:val="auto"/>
          <w:szCs w:val="21"/>
        </w:rPr>
      </w:pPr>
      <w:r>
        <w:rPr>
          <w:rFonts w:hint="eastAsia" w:ascii="宋体" w:hAnsi="宋体"/>
          <w:b/>
          <w:color w:val="auto"/>
          <w:szCs w:val="21"/>
        </w:rPr>
        <w:t>22.投标有效期</w:t>
      </w:r>
    </w:p>
    <w:p>
      <w:pPr>
        <w:rPr>
          <w:rFonts w:ascii="宋体" w:hAnsi="宋体"/>
          <w:color w:val="auto"/>
          <w:szCs w:val="21"/>
        </w:rPr>
      </w:pPr>
      <w:r>
        <w:rPr>
          <w:rFonts w:hint="eastAsia" w:ascii="宋体" w:hAnsi="宋体"/>
          <w:color w:val="auto"/>
          <w:kern w:val="0"/>
          <w:szCs w:val="21"/>
        </w:rPr>
        <w:t>22</w:t>
      </w:r>
      <w:r>
        <w:rPr>
          <w:rFonts w:ascii="宋体" w:hAnsi="宋体"/>
          <w:color w:val="auto"/>
          <w:kern w:val="0"/>
          <w:szCs w:val="21"/>
        </w:rPr>
        <w:t xml:space="preserve">.1 </w:t>
      </w:r>
      <w:r>
        <w:rPr>
          <w:rFonts w:hint="eastAsia" w:ascii="宋体" w:hAnsi="宋体"/>
          <w:color w:val="auto"/>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rPr>
          <w:rFonts w:ascii="宋体" w:hAnsi="宋体"/>
          <w:color w:val="auto"/>
          <w:szCs w:val="21"/>
        </w:rPr>
      </w:pPr>
      <w:r>
        <w:rPr>
          <w:rFonts w:hint="eastAsia" w:ascii="宋体" w:hAnsi="宋体"/>
          <w:color w:val="auto"/>
          <w:kern w:val="0"/>
          <w:szCs w:val="21"/>
        </w:rPr>
        <w:t>22.2</w:t>
      </w:r>
      <w:r>
        <w:rPr>
          <w:rFonts w:hint="eastAsia" w:ascii="宋体" w:hAnsi="宋体"/>
          <w:color w:val="auto"/>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rPr>
          <w:rFonts w:ascii="宋体" w:hAnsi="宋体"/>
          <w:color w:val="auto"/>
          <w:szCs w:val="21"/>
        </w:rPr>
      </w:pPr>
      <w:r>
        <w:rPr>
          <w:rFonts w:hint="eastAsia" w:ascii="宋体" w:hAnsi="宋体"/>
          <w:color w:val="auto"/>
          <w:szCs w:val="21"/>
        </w:rPr>
        <w:t>22.3中标单位的投标书有效期，截止于完成本招标文件规定的全部项目内容，并通过竣工验收及保修结束。</w:t>
      </w:r>
    </w:p>
    <w:p>
      <w:pPr>
        <w:rPr>
          <w:rFonts w:ascii="宋体" w:hAnsi="宋体"/>
          <w:color w:val="auto"/>
          <w:szCs w:val="21"/>
        </w:rPr>
      </w:pPr>
      <w:r>
        <w:rPr>
          <w:rFonts w:hint="eastAsia" w:ascii="宋体" w:hAnsi="宋体"/>
          <w:b/>
          <w:color w:val="auto"/>
          <w:szCs w:val="21"/>
        </w:rPr>
        <w:t>23.</w:t>
      </w:r>
      <w:r>
        <w:rPr>
          <w:rFonts w:ascii="宋体" w:hAnsi="宋体"/>
          <w:b/>
          <w:color w:val="auto"/>
          <w:szCs w:val="21"/>
        </w:rPr>
        <w:t>投标文件的书写要求</w:t>
      </w:r>
    </w:p>
    <w:p>
      <w:pPr>
        <w:rPr>
          <w:rFonts w:ascii="宋体" w:hAnsi="宋体"/>
          <w:color w:val="auto"/>
          <w:szCs w:val="21"/>
        </w:rPr>
      </w:pPr>
      <w:r>
        <w:rPr>
          <w:rFonts w:hint="eastAsia" w:ascii="宋体" w:hAnsi="宋体"/>
          <w:color w:val="auto"/>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color w:val="auto"/>
          <w:szCs w:val="21"/>
        </w:rPr>
        <w:t xml:space="preserve">Adobe Reader </w:t>
      </w:r>
      <w:r>
        <w:rPr>
          <w:rFonts w:hint="eastAsia" w:ascii="宋体" w:hAnsi="宋体"/>
          <w:color w:val="auto"/>
          <w:szCs w:val="21"/>
        </w:rPr>
        <w:t>9</w:t>
      </w:r>
      <w:r>
        <w:rPr>
          <w:rFonts w:ascii="宋体" w:hAnsi="宋体"/>
          <w:color w:val="auto"/>
          <w:szCs w:val="21"/>
        </w:rPr>
        <w:t>.0</w:t>
      </w:r>
      <w:r>
        <w:rPr>
          <w:rFonts w:hint="eastAsia" w:ascii="宋体" w:hAnsi="宋体"/>
          <w:color w:val="auto"/>
          <w:szCs w:val="21"/>
        </w:rPr>
        <w:t>以上。）</w:t>
      </w:r>
      <w:r>
        <w:rPr>
          <w:rFonts w:hint="eastAsia" w:ascii="宋体" w:hAnsi="宋体" w:cs="Arial"/>
          <w:b/>
          <w:color w:val="auto"/>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color w:val="auto"/>
          <w:szCs w:val="21"/>
        </w:rPr>
        <w:t>。</w:t>
      </w:r>
    </w:p>
    <w:p>
      <w:pPr>
        <w:rPr>
          <w:rFonts w:ascii="宋体" w:hAnsi="宋体"/>
          <w:color w:val="auto"/>
          <w:szCs w:val="21"/>
        </w:rPr>
      </w:pPr>
      <w:r>
        <w:rPr>
          <w:rFonts w:hint="eastAsia" w:ascii="宋体" w:hAnsi="宋体"/>
          <w:color w:val="auto"/>
          <w:szCs w:val="21"/>
        </w:rPr>
        <w:t>23.2 投标人在利用《投标书编制软件》编制投标书时须注意：</w:t>
      </w:r>
    </w:p>
    <w:p>
      <w:pPr>
        <w:ind w:firstLine="420" w:firstLineChars="200"/>
        <w:rPr>
          <w:rFonts w:ascii="宋体" w:hAnsi="宋体"/>
          <w:color w:val="auto"/>
          <w:szCs w:val="21"/>
        </w:rPr>
      </w:pPr>
      <w:r>
        <w:rPr>
          <w:rFonts w:hint="eastAsia" w:ascii="宋体" w:hAnsi="宋体"/>
          <w:color w:val="auto"/>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color w:val="auto"/>
          <w:szCs w:val="21"/>
        </w:rPr>
      </w:pPr>
      <w:r>
        <w:rPr>
          <w:rFonts w:hint="eastAsia" w:ascii="宋体" w:hAnsi="宋体"/>
          <w:color w:val="auto"/>
          <w:szCs w:val="21"/>
        </w:rPr>
        <w:t>2、不能用非本公司的电子密钥加密本公司的投标文件，或者用其它公司的用户登录上传本公司的投标文件。</w:t>
      </w:r>
    </w:p>
    <w:p>
      <w:pPr>
        <w:ind w:firstLine="420" w:firstLineChars="200"/>
        <w:rPr>
          <w:rFonts w:ascii="宋体" w:hAnsi="宋体"/>
          <w:color w:val="auto"/>
          <w:szCs w:val="21"/>
        </w:rPr>
      </w:pPr>
      <w:r>
        <w:rPr>
          <w:rFonts w:hint="eastAsia" w:ascii="宋体" w:hAnsi="宋体"/>
          <w:color w:val="auto"/>
          <w:szCs w:val="21"/>
        </w:rPr>
        <w:t>3、要求用《投标书编制软件》编制投标书的包，不能用其它方式编制投标书。编制投标文件时，电脑须连通互联网。</w:t>
      </w:r>
    </w:p>
    <w:p>
      <w:pPr>
        <w:ind w:firstLine="420" w:firstLineChars="200"/>
        <w:rPr>
          <w:rFonts w:ascii="宋体" w:hAnsi="宋体"/>
          <w:color w:val="auto"/>
          <w:szCs w:val="21"/>
        </w:rPr>
      </w:pPr>
      <w:r>
        <w:rPr>
          <w:rFonts w:hint="eastAsia" w:ascii="宋体" w:hAnsi="宋体"/>
          <w:color w:val="auto"/>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color w:val="auto"/>
          <w:szCs w:val="21"/>
        </w:rPr>
      </w:pPr>
      <w:r>
        <w:rPr>
          <w:rFonts w:hint="eastAsia" w:ascii="宋体" w:hAnsi="宋体"/>
          <w:color w:val="auto"/>
          <w:szCs w:val="21"/>
        </w:rPr>
        <w:t>5、完整填写“投标关键信息”，如下图所示：</w:t>
      </w:r>
    </w:p>
    <w:p>
      <w:pPr>
        <w:jc w:val="center"/>
        <w:rPr>
          <w:rFonts w:ascii="宋体" w:hAnsi="宋体"/>
          <w:color w:val="auto"/>
          <w:szCs w:val="21"/>
        </w:rPr>
      </w:pPr>
      <w:r>
        <w:rPr>
          <w:rFonts w:ascii="宋体" w:hAnsi="宋体"/>
          <w:b/>
          <w:color w:val="auto"/>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color w:val="auto"/>
          <w:szCs w:val="21"/>
        </w:rPr>
      </w:pPr>
      <w:r>
        <w:rPr>
          <w:rFonts w:hint="eastAsia" w:ascii="宋体" w:hAnsi="宋体"/>
          <w:b/>
          <w:color w:val="auto"/>
          <w:szCs w:val="21"/>
        </w:rPr>
        <w:tab/>
      </w:r>
      <w:r>
        <w:rPr>
          <w:rFonts w:hint="eastAsia" w:ascii="宋体" w:hAnsi="宋体"/>
          <w:b/>
          <w:color w:val="auto"/>
          <w:szCs w:val="21"/>
        </w:rPr>
        <w:t>如果在投标文件的其它地方有与“投标关键信息”内容相冲突的，以“投标关键信息”为准。</w:t>
      </w:r>
    </w:p>
    <w:p>
      <w:pPr>
        <w:rPr>
          <w:rFonts w:ascii="宋体" w:hAnsi="宋体"/>
          <w:color w:val="auto"/>
          <w:szCs w:val="21"/>
        </w:rPr>
      </w:pPr>
      <w:r>
        <w:rPr>
          <w:rFonts w:hint="eastAsia" w:ascii="宋体" w:hAnsi="宋体"/>
          <w:color w:val="auto"/>
          <w:szCs w:val="21"/>
        </w:rPr>
        <w:tab/>
      </w:r>
      <w:r>
        <w:rPr>
          <w:rFonts w:hint="eastAsia" w:ascii="宋体" w:hAnsi="宋体"/>
          <w:b/>
          <w:color w:val="auto"/>
          <w:szCs w:val="21"/>
        </w:rPr>
        <w:t xml:space="preserve"> 6、投标人在编辑投标文件时，在投标文件目录中属于本节点内容的必须在本节点中填写，填写到其他节点或附件的将可能导致评审委员会对该投标文件作出不利判断或投标无效，一切后果由供应商自行承担。</w:t>
      </w:r>
      <w:r>
        <w:rPr>
          <w:rFonts w:hint="eastAsia" w:ascii="宋体" w:hAnsi="宋体"/>
          <w:color w:val="auto"/>
          <w:szCs w:val="21"/>
        </w:rPr>
        <w:t>填写完投标文件后，要检查每一个章节中图片的清晰程度，如果图片中字体的笔划不连贯，难以辨识的，请及时更换，以确保图片清晰可辨，</w:t>
      </w:r>
      <w:r>
        <w:rPr>
          <w:rFonts w:hint="eastAsia" w:ascii="宋体" w:hAnsi="宋体"/>
          <w:b/>
          <w:color w:val="auto"/>
          <w:szCs w:val="21"/>
        </w:rPr>
        <w:t>无法辨识的图片将可能导致评审委员会对该投标文件作出不利判断或投标无效</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7、投标书编写完成后，必须用属于本公司的电子密钥进行加密，否则视同未盖公章，将导致投标文件无效。</w:t>
      </w:r>
    </w:p>
    <w:p>
      <w:pPr>
        <w:rPr>
          <w:rFonts w:ascii="宋体" w:hAnsi="宋体"/>
          <w:color w:val="auto"/>
          <w:szCs w:val="21"/>
        </w:rPr>
      </w:pPr>
      <w:r>
        <w:rPr>
          <w:rFonts w:hint="eastAsia" w:ascii="宋体" w:hAnsi="宋体"/>
          <w:color w:val="auto"/>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color w:val="auto"/>
          <w:szCs w:val="21"/>
        </w:rPr>
        <w:t>建议于开标前一个工作日完成投标文件的制作与上传，如果上传有困难，请及时咨询（电话：0755-88212595）。</w:t>
      </w:r>
    </w:p>
    <w:p>
      <w:pPr>
        <w:rPr>
          <w:rFonts w:ascii="宋体" w:hAnsi="宋体"/>
          <w:color w:val="auto"/>
          <w:szCs w:val="21"/>
        </w:rPr>
      </w:pPr>
      <w:r>
        <w:rPr>
          <w:rFonts w:hint="eastAsia" w:ascii="宋体" w:hAnsi="宋体"/>
          <w:color w:val="auto"/>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color w:val="auto"/>
          <w:szCs w:val="21"/>
        </w:rPr>
      </w:pPr>
      <w:r>
        <w:rPr>
          <w:rFonts w:hint="eastAsia" w:ascii="宋体" w:hAnsi="宋体"/>
          <w:b/>
          <w:color w:val="auto"/>
          <w:szCs w:val="21"/>
        </w:rPr>
        <w:t xml:space="preserve">     以上九条，如有违悖，深圳市光明区公共资源交易中心将不接受该投标文件。</w:t>
      </w:r>
    </w:p>
    <w:p>
      <w:pPr>
        <w:rPr>
          <w:rFonts w:ascii="宋体" w:hAnsi="宋体"/>
          <w:color w:val="auto"/>
          <w:szCs w:val="21"/>
        </w:rPr>
      </w:pPr>
      <w:r>
        <w:rPr>
          <w:rFonts w:hint="eastAsia" w:ascii="宋体" w:hAnsi="宋体"/>
          <w:color w:val="auto"/>
          <w:szCs w:val="21"/>
        </w:rPr>
        <w:t>23.3 电报、电话、传真形式的投标概不接受。</w:t>
      </w:r>
    </w:p>
    <w:p>
      <w:pPr>
        <w:rPr>
          <w:rFonts w:ascii="宋体" w:hAnsi="宋体"/>
          <w:color w:val="auto"/>
          <w:szCs w:val="21"/>
        </w:rPr>
      </w:pPr>
      <w:r>
        <w:rPr>
          <w:rFonts w:hint="eastAsia" w:ascii="宋体" w:hAnsi="宋体"/>
          <w:color w:val="auto"/>
          <w:szCs w:val="21"/>
        </w:rPr>
        <w:t>23.4投标文件不用盖章或签字（招标文件另有特殊要求除外），资格证明文件按招标要求提供扫描件。</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第四章  投标文件的递交</w:t>
      </w:r>
    </w:p>
    <w:p>
      <w:pPr>
        <w:rPr>
          <w:rFonts w:ascii="宋体" w:hAnsi="宋体"/>
          <w:b/>
          <w:color w:val="auto"/>
          <w:szCs w:val="21"/>
        </w:rPr>
      </w:pPr>
      <w:r>
        <w:rPr>
          <w:rFonts w:hint="eastAsia" w:ascii="宋体" w:hAnsi="宋体"/>
          <w:b/>
          <w:color w:val="auto"/>
          <w:szCs w:val="21"/>
        </w:rPr>
        <w:t>24.投标文件的加密</w:t>
      </w:r>
    </w:p>
    <w:p>
      <w:pPr>
        <w:rPr>
          <w:rFonts w:ascii="宋体" w:hAnsi="宋体"/>
          <w:color w:val="auto"/>
          <w:szCs w:val="21"/>
        </w:rPr>
      </w:pPr>
      <w:r>
        <w:rPr>
          <w:rFonts w:hint="eastAsia" w:ascii="宋体" w:hAnsi="宋体"/>
          <w:color w:val="auto"/>
          <w:szCs w:val="21"/>
        </w:rPr>
        <w:t>24</w:t>
      </w:r>
      <w:r>
        <w:rPr>
          <w:rFonts w:ascii="宋体" w:hAnsi="宋体"/>
          <w:color w:val="auto"/>
          <w:szCs w:val="21"/>
        </w:rPr>
        <w:t>.</w:t>
      </w:r>
      <w:r>
        <w:rPr>
          <w:rFonts w:hint="eastAsia" w:ascii="宋体" w:hAnsi="宋体"/>
          <w:color w:val="auto"/>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color w:val="auto"/>
          <w:szCs w:val="21"/>
        </w:rPr>
        <w:t>如果误选了非本项目的规则文件导致不能在开标时解密投标文件，该投标文件将被深圳市光明区公共资源交易中心拒绝</w:t>
      </w:r>
      <w:r>
        <w:rPr>
          <w:rFonts w:hint="eastAsia" w:ascii="宋体" w:hAnsi="宋体"/>
          <w:color w:val="auto"/>
          <w:szCs w:val="21"/>
        </w:rPr>
        <w:t>。选取项目加密规则文件的界面如下图所示：</w:t>
      </w:r>
    </w:p>
    <w:p>
      <w:pPr>
        <w:jc w:val="center"/>
        <w:rPr>
          <w:rFonts w:ascii="宋体" w:hAnsi="宋体"/>
          <w:b/>
          <w:color w:val="auto"/>
          <w:szCs w:val="21"/>
        </w:rPr>
      </w:pPr>
      <w:r>
        <w:rPr>
          <w:rFonts w:ascii="宋体" w:hAnsi="宋体"/>
          <w:b/>
          <w:color w:val="auto"/>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auto"/>
          <w:szCs w:val="21"/>
        </w:rPr>
      </w:pPr>
      <w:r>
        <w:rPr>
          <w:rFonts w:hint="eastAsia" w:ascii="宋体" w:hAnsi="宋体"/>
          <w:b/>
          <w:color w:val="auto"/>
          <w:szCs w:val="21"/>
        </w:rPr>
        <w:t>（图1：标书加密）</w:t>
      </w:r>
    </w:p>
    <w:p>
      <w:pPr>
        <w:spacing w:after="60"/>
        <w:jc w:val="center"/>
        <w:rPr>
          <w:rFonts w:ascii="宋体" w:hAnsi="宋体"/>
          <w:color w:val="auto"/>
          <w:szCs w:val="21"/>
        </w:rPr>
      </w:pPr>
      <w:r>
        <w:rPr>
          <w:rFonts w:hint="eastAsia" w:ascii="宋体" w:hAnsi="宋体"/>
          <w:color w:val="auto"/>
          <w:szCs w:val="21"/>
        </w:rPr>
        <w:t>点击“开始”按钮进行标书加密，根据软件的提示信息完成标书的加密。</w:t>
      </w:r>
    </w:p>
    <w:p>
      <w:pPr>
        <w:jc w:val="center"/>
        <w:rPr>
          <w:rFonts w:ascii="宋体" w:hAnsi="宋体"/>
          <w:b/>
          <w:color w:val="auto"/>
          <w:szCs w:val="21"/>
        </w:rPr>
      </w:pPr>
      <w:r>
        <w:rPr>
          <w:rFonts w:ascii="宋体" w:hAnsi="宋体" w:cs="宋体"/>
          <w:color w:val="auto"/>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auto"/>
          <w:szCs w:val="21"/>
        </w:rPr>
      </w:pPr>
      <w:r>
        <w:rPr>
          <w:rFonts w:hint="eastAsia" w:ascii="宋体" w:hAnsi="宋体"/>
          <w:b/>
          <w:color w:val="auto"/>
          <w:szCs w:val="21"/>
        </w:rPr>
        <w:t>（图2：标书加密成功）</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5投标</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w:t>
      </w:r>
      <w:r>
        <w:rPr>
          <w:rFonts w:hint="eastAsia" w:ascii="宋体" w:hAnsi="宋体"/>
          <w:color w:val="auto"/>
          <w:szCs w:val="21"/>
        </w:rPr>
        <w:t>网上投标</w:t>
      </w:r>
    </w:p>
    <w:p>
      <w:pPr>
        <w:rPr>
          <w:rFonts w:ascii="宋体" w:hAnsi="宋体"/>
          <w:color w:val="auto"/>
          <w:szCs w:val="21"/>
        </w:rPr>
      </w:pPr>
      <w:r>
        <w:rPr>
          <w:rFonts w:ascii="宋体" w:hAnsi="宋体"/>
          <w:color w:val="auto"/>
          <w:szCs w:val="21"/>
        </w:rPr>
        <w:t>投标人必须</w:t>
      </w:r>
      <w:r>
        <w:rPr>
          <w:rFonts w:hint="eastAsia" w:ascii="宋体" w:hAnsi="宋体"/>
          <w:color w:val="auto"/>
          <w:szCs w:val="21"/>
        </w:rPr>
        <w:t>在</w:t>
      </w:r>
      <w:r>
        <w:rPr>
          <w:rFonts w:ascii="宋体" w:hAnsi="宋体"/>
          <w:color w:val="auto"/>
          <w:szCs w:val="21"/>
        </w:rPr>
        <w:t>采购文件规定的投标截止时间前</w:t>
      </w:r>
      <w:r>
        <w:rPr>
          <w:rFonts w:hint="eastAsia" w:ascii="宋体" w:hAnsi="宋体"/>
          <w:color w:val="auto"/>
          <w:szCs w:val="21"/>
        </w:rPr>
        <w:t>用电子密钥登录“深圳市光明区公共资源交易中心”（gm.szzfcg.cn），用“应标管理”</w:t>
      </w:r>
      <w:r>
        <w:rPr>
          <w:rFonts w:ascii="宋体" w:hAnsi="宋体"/>
          <w:color w:val="auto"/>
          <w:szCs w:val="21"/>
        </w:rPr>
        <w:t>—</w:t>
      </w:r>
      <w:r>
        <w:rPr>
          <w:rFonts w:hint="eastAsia" w:ascii="宋体" w:hAnsi="宋体"/>
          <w:color w:val="auto"/>
          <w:szCs w:val="21"/>
        </w:rPr>
        <w:t>》“上传投标文件”功能点上传投标文件。如果没有该功能点，请用本公司的机构管理员密钥在 “系统维护”</w:t>
      </w:r>
      <w:r>
        <w:rPr>
          <w:rFonts w:ascii="宋体" w:hAnsi="宋体"/>
          <w:color w:val="auto"/>
          <w:szCs w:val="21"/>
        </w:rPr>
        <w:t>—</w:t>
      </w:r>
      <w:r>
        <w:rPr>
          <w:rFonts w:hint="eastAsia" w:ascii="宋体" w:hAnsi="宋体"/>
          <w:color w:val="auto"/>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.2</w:t>
      </w:r>
      <w:r>
        <w:rPr>
          <w:rFonts w:hint="eastAsia" w:ascii="宋体" w:hAnsi="宋体"/>
          <w:color w:val="auto"/>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6.迟交的投标文件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.1</w:t>
      </w:r>
      <w:r>
        <w:rPr>
          <w:rFonts w:hint="eastAsia" w:ascii="宋体" w:hAnsi="宋体"/>
          <w:color w:val="auto"/>
          <w:szCs w:val="21"/>
        </w:rPr>
        <w:t>投标截止时间以后不得上传投标文件。</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7.投标文件的修改与撤回</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3从投标截止期至投标人在投标书格式中确定的投标有效期之间的这段时间内，投标人不得撤回其投标，否则其投标保证金将按照通用条款第21</w:t>
      </w:r>
      <w:r>
        <w:rPr>
          <w:rFonts w:ascii="宋体" w:hAnsi="宋体"/>
          <w:color w:val="auto"/>
          <w:szCs w:val="21"/>
        </w:rPr>
        <w:t>.3</w:t>
      </w:r>
      <w:r>
        <w:rPr>
          <w:rFonts w:hint="eastAsia" w:ascii="宋体" w:hAnsi="宋体"/>
          <w:color w:val="auto"/>
          <w:szCs w:val="21"/>
        </w:rPr>
        <w:t>条的规定不予退还。</w:t>
      </w:r>
    </w:p>
    <w:p>
      <w:pPr>
        <w:rPr>
          <w:rFonts w:ascii="宋体" w:hAnsi="宋体"/>
          <w:color w:val="auto"/>
          <w:szCs w:val="21"/>
        </w:rPr>
      </w:pPr>
      <w:r>
        <w:rPr>
          <w:rFonts w:hint="eastAsia" w:ascii="宋体" w:hAnsi="宋体"/>
          <w:color w:val="auto"/>
          <w:szCs w:val="21"/>
        </w:rPr>
        <w:t>27.4 评审委员会不退还投标文件。</w:t>
      </w:r>
    </w:p>
    <w:p>
      <w:pPr>
        <w:rPr>
          <w:rFonts w:ascii="宋体" w:hAnsi="宋体"/>
          <w:color w:val="auto"/>
          <w:szCs w:val="21"/>
        </w:rPr>
      </w:pPr>
    </w:p>
    <w:p>
      <w:pPr>
        <w:pStyle w:val="6"/>
        <w:rPr>
          <w:rFonts w:ascii="宋体" w:hAnsi="宋体"/>
          <w:b/>
          <w:color w:val="auto"/>
          <w:szCs w:val="24"/>
        </w:rPr>
      </w:pPr>
      <w:bookmarkStart w:id="33" w:name="bt开标与评标"/>
      <w:bookmarkEnd w:id="33"/>
      <w:r>
        <w:rPr>
          <w:rFonts w:hint="eastAsia" w:ascii="宋体" w:hAnsi="宋体"/>
          <w:b/>
          <w:color w:val="auto"/>
          <w:szCs w:val="24"/>
        </w:rPr>
        <w:t>第五章  开标与评标</w:t>
      </w:r>
    </w:p>
    <w:p>
      <w:pPr>
        <w:rPr>
          <w:rFonts w:ascii="宋体" w:hAnsi="宋体"/>
          <w:b/>
          <w:bCs/>
          <w:color w:val="auto"/>
          <w:szCs w:val="21"/>
        </w:rPr>
      </w:pPr>
      <w:r>
        <w:rPr>
          <w:rFonts w:ascii="宋体" w:hAnsi="宋体"/>
          <w:b/>
          <w:bCs/>
          <w:color w:val="auto"/>
          <w:szCs w:val="21"/>
        </w:rPr>
        <w:t>2</w:t>
      </w:r>
      <w:r>
        <w:rPr>
          <w:rFonts w:hint="eastAsia" w:ascii="宋体" w:hAnsi="宋体"/>
          <w:b/>
          <w:bCs/>
          <w:color w:val="auto"/>
          <w:szCs w:val="21"/>
        </w:rPr>
        <w:t>8.开标</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w:t>
      </w:r>
      <w:r>
        <w:rPr>
          <w:rFonts w:ascii="宋体" w:hAnsi="宋体"/>
          <w:color w:val="auto"/>
          <w:szCs w:val="21"/>
        </w:rPr>
        <w:t>招标人根据采购文件规定的时间、地点</w:t>
      </w:r>
      <w:r>
        <w:rPr>
          <w:rFonts w:hint="eastAsia" w:ascii="宋体" w:hAnsi="宋体"/>
          <w:color w:val="auto"/>
          <w:szCs w:val="21"/>
        </w:rPr>
        <w:t>对投标文件进行解密，开标，并在网上发布开标一览表。</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2</w:t>
      </w:r>
      <w:r>
        <w:rPr>
          <w:rFonts w:ascii="宋体" w:hAnsi="宋体"/>
          <w:color w:val="auto"/>
          <w:szCs w:val="21"/>
        </w:rPr>
        <w:t>按照第2</w:t>
      </w:r>
      <w:r>
        <w:rPr>
          <w:rFonts w:hint="eastAsia" w:ascii="宋体" w:hAnsi="宋体"/>
          <w:color w:val="auto"/>
          <w:szCs w:val="21"/>
        </w:rPr>
        <w:t>7.1</w:t>
      </w:r>
      <w:r>
        <w:rPr>
          <w:rFonts w:ascii="宋体" w:hAnsi="宋体"/>
          <w:color w:val="auto"/>
          <w:szCs w:val="21"/>
        </w:rPr>
        <w:t>条规定，</w:t>
      </w:r>
      <w:r>
        <w:rPr>
          <w:rFonts w:hint="eastAsia" w:ascii="宋体" w:hAnsi="宋体"/>
          <w:color w:val="auto"/>
          <w:szCs w:val="21"/>
        </w:rPr>
        <w:t>在网上进行了“</w:t>
      </w:r>
      <w:r>
        <w:rPr>
          <w:rFonts w:ascii="宋体" w:hAnsi="宋体"/>
          <w:color w:val="auto"/>
          <w:szCs w:val="21"/>
        </w:rPr>
        <w:t>撤销</w:t>
      </w:r>
      <w:r>
        <w:rPr>
          <w:rFonts w:hint="eastAsia" w:ascii="宋体" w:hAnsi="宋体"/>
          <w:color w:val="auto"/>
          <w:szCs w:val="21"/>
        </w:rPr>
        <w:t>响应”和“撤标”的操作</w:t>
      </w:r>
      <w:r>
        <w:rPr>
          <w:rFonts w:ascii="宋体" w:hAnsi="宋体"/>
          <w:color w:val="auto"/>
          <w:szCs w:val="21"/>
        </w:rPr>
        <w:t>的投标将不予开封。</w:t>
      </w:r>
    </w:p>
    <w:p>
      <w:pPr>
        <w:rPr>
          <w:rFonts w:ascii="宋体" w:hAnsi="宋体"/>
          <w:color w:val="auto"/>
          <w:szCs w:val="21"/>
        </w:rPr>
      </w:pPr>
      <w:r>
        <w:rPr>
          <w:rFonts w:hint="eastAsia" w:ascii="宋体" w:hAnsi="宋体"/>
          <w:color w:val="auto"/>
          <w:szCs w:val="21"/>
        </w:rPr>
        <w:t>28.3 进行网上投标，当招标人开标后，投标人即可登录“深圳市政府采购网”，用“采购项目查询及管理</w:t>
      </w:r>
      <w:r>
        <w:rPr>
          <w:rFonts w:ascii="宋体" w:hAnsi="宋体"/>
          <w:color w:val="auto"/>
          <w:szCs w:val="21"/>
        </w:rPr>
        <w:sym w:font="Wingdings" w:char="F0E0"/>
      </w:r>
      <w:r>
        <w:rPr>
          <w:rFonts w:hint="eastAsia" w:ascii="宋体" w:hAnsi="宋体"/>
          <w:color w:val="auto"/>
          <w:szCs w:val="21"/>
        </w:rPr>
        <w:t>查看开标一览表</w:t>
      </w:r>
      <w:r>
        <w:rPr>
          <w:rFonts w:ascii="宋体" w:hAnsi="宋体"/>
          <w:color w:val="auto"/>
          <w:szCs w:val="21"/>
        </w:rPr>
        <w:t>”</w:t>
      </w:r>
      <w:r>
        <w:rPr>
          <w:rFonts w:hint="eastAsia" w:ascii="宋体" w:hAnsi="宋体"/>
          <w:color w:val="auto"/>
          <w:szCs w:val="21"/>
        </w:rPr>
        <w:t xml:space="preserve">功能查看开标一览表。  </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9.评审委员会</w:t>
      </w:r>
    </w:p>
    <w:p>
      <w:pPr>
        <w:rPr>
          <w:rFonts w:ascii="宋体" w:hAnsi="宋体"/>
          <w:color w:val="auto"/>
          <w:szCs w:val="21"/>
        </w:rPr>
      </w:pPr>
      <w:r>
        <w:rPr>
          <w:rFonts w:ascii="宋体" w:hAnsi="宋体"/>
          <w:color w:val="auto"/>
          <w:szCs w:val="21"/>
        </w:rPr>
        <w:t>2</w:t>
      </w:r>
      <w:r>
        <w:rPr>
          <w:rFonts w:hint="eastAsia" w:ascii="宋体" w:hAnsi="宋体"/>
          <w:color w:val="auto"/>
          <w:szCs w:val="21"/>
        </w:rPr>
        <w:t>9</w:t>
      </w:r>
      <w:r>
        <w:rPr>
          <w:rFonts w:ascii="宋体" w:hAnsi="宋体"/>
          <w:color w:val="auto"/>
          <w:szCs w:val="21"/>
        </w:rPr>
        <w:t xml:space="preserve">.1 </w:t>
      </w:r>
      <w:r>
        <w:rPr>
          <w:rFonts w:hint="eastAsia" w:ascii="宋体" w:hAnsi="宋体"/>
          <w:color w:val="auto"/>
          <w:szCs w:val="21"/>
        </w:rPr>
        <w:t>网上开标结束后召开评标会议，评审委员会由政府集中采购机构依法组建，负责评标活动。</w:t>
      </w:r>
    </w:p>
    <w:p>
      <w:pPr>
        <w:rPr>
          <w:rFonts w:ascii="宋体" w:hAnsi="宋体"/>
          <w:color w:val="auto"/>
          <w:szCs w:val="21"/>
        </w:rPr>
      </w:pPr>
      <w:r>
        <w:rPr>
          <w:rFonts w:hint="eastAsia" w:ascii="宋体" w:hAnsi="宋体"/>
          <w:color w:val="auto"/>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color w:val="auto"/>
          <w:szCs w:val="21"/>
        </w:rPr>
      </w:pPr>
      <w:r>
        <w:rPr>
          <w:rFonts w:hint="eastAsia" w:ascii="宋体" w:hAnsi="宋体"/>
          <w:color w:val="auto"/>
          <w:szCs w:val="21"/>
        </w:rPr>
        <w:t>为保证评委人选的专业性，以及评标中的公平公正性，评审委员会成员从深圳市财政委员会评标专家库中</w:t>
      </w:r>
      <w:r>
        <w:rPr>
          <w:rFonts w:hint="eastAsia" w:ascii="宋体" w:hAnsi="宋体"/>
          <w:color w:val="auto"/>
          <w:szCs w:val="21"/>
          <w:lang w:val="en-US" w:eastAsia="zh-CN"/>
        </w:rPr>
        <w:t>或由教育局专家代表中</w:t>
      </w:r>
      <w:r>
        <w:rPr>
          <w:rFonts w:hint="eastAsia" w:ascii="宋体" w:hAnsi="宋体"/>
          <w:color w:val="auto"/>
          <w:szCs w:val="21"/>
        </w:rPr>
        <w:t>随机抽取。</w:t>
      </w:r>
    </w:p>
    <w:p>
      <w:pPr>
        <w:rPr>
          <w:rFonts w:ascii="宋体" w:hAnsi="宋体"/>
          <w:color w:val="auto"/>
          <w:szCs w:val="21"/>
        </w:rPr>
      </w:pPr>
      <w:r>
        <w:rPr>
          <w:rFonts w:hint="eastAsia" w:ascii="宋体" w:hAnsi="宋体"/>
          <w:color w:val="auto"/>
          <w:szCs w:val="21"/>
        </w:rPr>
        <w:t>采购单位代表持本单位签发的《评标授权书》及身份证明材料参加评标。</w:t>
      </w:r>
    </w:p>
    <w:p>
      <w:pPr>
        <w:rPr>
          <w:rFonts w:ascii="宋体" w:hAnsi="宋体"/>
          <w:color w:val="auto"/>
          <w:szCs w:val="21"/>
        </w:rPr>
      </w:pPr>
      <w:r>
        <w:rPr>
          <w:rFonts w:hint="eastAsia" w:ascii="宋体" w:hAnsi="宋体"/>
          <w:color w:val="auto"/>
          <w:szCs w:val="21"/>
        </w:rPr>
        <w:t>采购单位不派代表参与评标，应在开标前三天提交《采购单位不派评委参与项目评标承诺书》给政府集中采购机构。</w:t>
      </w:r>
    </w:p>
    <w:p>
      <w:pPr>
        <w:rPr>
          <w:rFonts w:ascii="宋体" w:hAnsi="宋体"/>
          <w:bCs/>
          <w:color w:val="auto"/>
          <w:szCs w:val="21"/>
        </w:rPr>
      </w:pPr>
      <w:r>
        <w:rPr>
          <w:rFonts w:hint="eastAsia" w:ascii="宋体" w:hAnsi="宋体"/>
          <w:bCs/>
          <w:color w:val="auto"/>
          <w:szCs w:val="21"/>
        </w:rPr>
        <w:t>29.2评标定标应当遵循公平、公正、科学、择优的原则。</w:t>
      </w:r>
    </w:p>
    <w:p>
      <w:pPr>
        <w:rPr>
          <w:rFonts w:ascii="宋体" w:hAnsi="宋体"/>
          <w:bCs/>
          <w:color w:val="auto"/>
          <w:szCs w:val="21"/>
        </w:rPr>
      </w:pPr>
      <w:r>
        <w:rPr>
          <w:rFonts w:hint="eastAsia" w:ascii="宋体" w:hAnsi="宋体"/>
          <w:bCs/>
          <w:color w:val="auto"/>
          <w:szCs w:val="21"/>
        </w:rPr>
        <w:t>29.3评标活动依法进行，任何单位和个人不得非法干预评标过程和结果。</w:t>
      </w:r>
    </w:p>
    <w:p>
      <w:pPr>
        <w:rPr>
          <w:rFonts w:ascii="宋体" w:hAnsi="宋体"/>
          <w:bCs/>
          <w:color w:val="auto"/>
          <w:szCs w:val="21"/>
        </w:rPr>
      </w:pPr>
      <w:r>
        <w:rPr>
          <w:rFonts w:hint="eastAsia" w:ascii="宋体" w:hAnsi="宋体"/>
          <w:bCs/>
          <w:color w:val="auto"/>
          <w:szCs w:val="21"/>
        </w:rPr>
        <w:t>29.4评标过程中不允许违背评标程序或采用招标文件未载明的评标方法或评标因素进行评标。</w:t>
      </w:r>
    </w:p>
    <w:p>
      <w:pPr>
        <w:rPr>
          <w:rFonts w:ascii="宋体" w:hAnsi="宋体"/>
          <w:bCs/>
          <w:color w:val="auto"/>
          <w:szCs w:val="21"/>
        </w:rPr>
      </w:pPr>
      <w:r>
        <w:rPr>
          <w:rFonts w:hint="eastAsia" w:ascii="宋体" w:hAnsi="宋体"/>
          <w:bCs/>
          <w:color w:val="auto"/>
          <w:szCs w:val="21"/>
        </w:rPr>
        <w:t>29.5凡属于对投标文件的审查、澄清、评价和比较的有关资料以及中标候选人的推荐情况、与评标有关的其他任何情况均严格保密。</w:t>
      </w:r>
    </w:p>
    <w:p>
      <w:pPr>
        <w:rPr>
          <w:rFonts w:ascii="宋体" w:hAnsi="宋体"/>
          <w:b/>
          <w:bCs/>
          <w:color w:val="auto"/>
          <w:szCs w:val="21"/>
        </w:rPr>
      </w:pPr>
      <w:r>
        <w:rPr>
          <w:rFonts w:hint="eastAsia" w:ascii="宋体" w:hAnsi="宋体"/>
          <w:b/>
          <w:bCs/>
          <w:color w:val="auto"/>
          <w:szCs w:val="21"/>
        </w:rPr>
        <w:t>30.向评审委员会提供的资料</w:t>
      </w:r>
    </w:p>
    <w:p>
      <w:pPr>
        <w:rPr>
          <w:rFonts w:ascii="宋体" w:hAnsi="宋体"/>
          <w:bCs/>
          <w:color w:val="auto"/>
          <w:szCs w:val="21"/>
        </w:rPr>
      </w:pPr>
      <w:r>
        <w:rPr>
          <w:rFonts w:hint="eastAsia" w:ascii="宋体" w:hAnsi="宋体"/>
          <w:bCs/>
          <w:color w:val="auto"/>
          <w:szCs w:val="21"/>
        </w:rPr>
        <w:t>30.1公开发布的招标文件，包括图纸、服务清单、答疑文件等；</w:t>
      </w:r>
    </w:p>
    <w:p>
      <w:pPr>
        <w:rPr>
          <w:rFonts w:ascii="宋体" w:hAnsi="宋体"/>
          <w:bCs/>
          <w:color w:val="auto"/>
          <w:szCs w:val="21"/>
        </w:rPr>
      </w:pPr>
      <w:r>
        <w:rPr>
          <w:rFonts w:hint="eastAsia" w:ascii="宋体" w:hAnsi="宋体"/>
          <w:bCs/>
          <w:color w:val="auto"/>
          <w:szCs w:val="21"/>
        </w:rPr>
        <w:t>30.2其他评标必须的资料。</w:t>
      </w:r>
    </w:p>
    <w:p>
      <w:pPr>
        <w:rPr>
          <w:rFonts w:ascii="宋体" w:hAnsi="宋体"/>
          <w:bCs/>
          <w:color w:val="auto"/>
          <w:szCs w:val="21"/>
        </w:rPr>
      </w:pPr>
      <w:r>
        <w:rPr>
          <w:rFonts w:hint="eastAsia" w:ascii="宋体" w:hAnsi="宋体"/>
          <w:bCs/>
          <w:color w:val="auto"/>
          <w:szCs w:val="21"/>
        </w:rPr>
        <w:t>30.3评审委员会应当认真研究招标文件，至少应了解熟悉以下内容：</w:t>
      </w:r>
    </w:p>
    <w:p>
      <w:pPr>
        <w:rPr>
          <w:rFonts w:ascii="宋体" w:hAnsi="宋体"/>
          <w:bCs/>
          <w:color w:val="auto"/>
          <w:szCs w:val="21"/>
        </w:rPr>
      </w:pPr>
      <w:r>
        <w:rPr>
          <w:rFonts w:hint="eastAsia" w:ascii="宋体" w:hAnsi="宋体"/>
          <w:bCs/>
          <w:color w:val="auto"/>
          <w:szCs w:val="21"/>
        </w:rPr>
        <w:t>（1）招标的目的；</w:t>
      </w:r>
    </w:p>
    <w:p>
      <w:pPr>
        <w:rPr>
          <w:rFonts w:ascii="宋体" w:hAnsi="宋体"/>
          <w:bCs/>
          <w:color w:val="auto"/>
          <w:szCs w:val="21"/>
        </w:rPr>
      </w:pPr>
      <w:r>
        <w:rPr>
          <w:rFonts w:hint="eastAsia" w:ascii="宋体" w:hAnsi="宋体"/>
          <w:bCs/>
          <w:color w:val="auto"/>
          <w:szCs w:val="21"/>
        </w:rPr>
        <w:t>（2）招标项目需求的范围和性质；</w:t>
      </w:r>
    </w:p>
    <w:p>
      <w:pPr>
        <w:rPr>
          <w:rFonts w:ascii="宋体" w:hAnsi="宋体"/>
          <w:bCs/>
          <w:color w:val="auto"/>
          <w:szCs w:val="21"/>
        </w:rPr>
      </w:pPr>
      <w:r>
        <w:rPr>
          <w:rFonts w:hint="eastAsia" w:ascii="宋体" w:hAnsi="宋体"/>
          <w:bCs/>
          <w:color w:val="auto"/>
          <w:szCs w:val="21"/>
        </w:rPr>
        <w:t>（3）招标文件规定的投标人的资格、财政预算限额、商务条款；</w:t>
      </w:r>
    </w:p>
    <w:p>
      <w:pPr>
        <w:rPr>
          <w:rFonts w:ascii="宋体" w:hAnsi="宋体"/>
          <w:bCs/>
          <w:color w:val="auto"/>
          <w:szCs w:val="21"/>
        </w:rPr>
      </w:pPr>
      <w:r>
        <w:rPr>
          <w:rFonts w:hint="eastAsia" w:ascii="宋体" w:hAnsi="宋体"/>
          <w:bCs/>
          <w:color w:val="auto"/>
          <w:szCs w:val="21"/>
        </w:rPr>
        <w:t>（4）招标文件规定的评标程序、评标方法和评标因素；</w:t>
      </w:r>
    </w:p>
    <w:p>
      <w:pPr>
        <w:rPr>
          <w:rFonts w:ascii="宋体" w:hAnsi="宋体"/>
          <w:bCs/>
          <w:color w:val="auto"/>
          <w:szCs w:val="21"/>
        </w:rPr>
      </w:pPr>
      <w:r>
        <w:rPr>
          <w:rFonts w:hint="eastAsia" w:ascii="宋体" w:hAnsi="宋体"/>
          <w:bCs/>
          <w:color w:val="auto"/>
          <w:szCs w:val="21"/>
        </w:rPr>
        <w:t>（5）招标文件所列示的投标无效条款。</w:t>
      </w:r>
    </w:p>
    <w:p>
      <w:pPr>
        <w:rPr>
          <w:rFonts w:ascii="宋体" w:hAnsi="宋体"/>
          <w:b/>
          <w:bCs/>
          <w:color w:val="auto"/>
          <w:szCs w:val="21"/>
        </w:rPr>
      </w:pPr>
      <w:r>
        <w:rPr>
          <w:rFonts w:hint="eastAsia" w:ascii="宋体" w:hAnsi="宋体"/>
          <w:b/>
          <w:bCs/>
          <w:color w:val="auto"/>
          <w:szCs w:val="21"/>
        </w:rPr>
        <w:t>31.独立评标</w:t>
      </w:r>
    </w:p>
    <w:p>
      <w:pPr>
        <w:rPr>
          <w:rFonts w:ascii="宋体" w:hAnsi="宋体"/>
          <w:bCs/>
          <w:color w:val="auto"/>
          <w:szCs w:val="21"/>
        </w:rPr>
      </w:pPr>
      <w:r>
        <w:rPr>
          <w:rFonts w:hint="eastAsia" w:ascii="宋体" w:hAnsi="宋体"/>
          <w:bCs/>
          <w:color w:val="auto"/>
          <w:szCs w:val="21"/>
        </w:rPr>
        <w:t>30.1评审委员会成员的评标活动应当独立进行，并应遵循投标文件初审、澄清有关问题、比较与评价、确定中标供应商、编写评标报告的工作程序。</w:t>
      </w:r>
    </w:p>
    <w:p>
      <w:pPr>
        <w:rPr>
          <w:rFonts w:ascii="宋体" w:hAnsi="宋体"/>
          <w:b/>
          <w:bCs/>
          <w:color w:val="auto"/>
          <w:szCs w:val="21"/>
        </w:rPr>
      </w:pPr>
      <w:r>
        <w:rPr>
          <w:rFonts w:hint="eastAsia" w:ascii="宋体" w:hAnsi="宋体"/>
          <w:b/>
          <w:bCs/>
          <w:color w:val="auto"/>
          <w:szCs w:val="21"/>
        </w:rPr>
        <w:t>32.投标文件的澄清</w:t>
      </w:r>
    </w:p>
    <w:p>
      <w:pPr>
        <w:rPr>
          <w:rFonts w:ascii="宋体" w:hAnsi="宋体"/>
          <w:color w:val="auto"/>
          <w:szCs w:val="21"/>
        </w:rPr>
      </w:pPr>
      <w:r>
        <w:rPr>
          <w:rFonts w:hint="eastAsia" w:ascii="宋体" w:hAnsi="宋体"/>
          <w:color w:val="auto"/>
          <w:szCs w:val="21"/>
        </w:rPr>
        <w:t>32</w:t>
      </w:r>
      <w:r>
        <w:rPr>
          <w:rFonts w:ascii="宋体" w:hAnsi="宋体"/>
          <w:color w:val="auto"/>
          <w:szCs w:val="21"/>
        </w:rPr>
        <w:t xml:space="preserve">.1 </w:t>
      </w:r>
      <w:r>
        <w:rPr>
          <w:rFonts w:hint="eastAsia" w:ascii="宋体" w:hAnsi="宋体"/>
          <w:color w:val="auto"/>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color w:val="auto"/>
          <w:szCs w:val="21"/>
        </w:rPr>
      </w:pPr>
      <w:r>
        <w:rPr>
          <w:rFonts w:hint="eastAsia" w:ascii="宋体" w:hAnsi="宋体"/>
          <w:b/>
          <w:bCs/>
          <w:color w:val="auto"/>
          <w:szCs w:val="21"/>
        </w:rPr>
        <w:t>33.投标文件的初审</w:t>
      </w:r>
    </w:p>
    <w:p>
      <w:pPr>
        <w:rPr>
          <w:rFonts w:ascii="宋体" w:hAnsi="宋体"/>
          <w:color w:val="auto"/>
          <w:szCs w:val="21"/>
        </w:rPr>
      </w:pPr>
      <w:r>
        <w:rPr>
          <w:rFonts w:hint="eastAsia" w:ascii="宋体" w:hAnsi="宋体"/>
          <w:color w:val="auto"/>
          <w:szCs w:val="21"/>
        </w:rPr>
        <w:t>33.1</w:t>
      </w:r>
      <w:r>
        <w:rPr>
          <w:rFonts w:hint="eastAsia" w:ascii="宋体" w:hAnsi="宋体"/>
          <w:b/>
          <w:color w:val="auto"/>
          <w:szCs w:val="21"/>
        </w:rPr>
        <w:t xml:space="preserve"> 投标文件初审包括资格性审查和符合性审查</w:t>
      </w:r>
      <w:r>
        <w:rPr>
          <w:rFonts w:hint="eastAsia" w:ascii="宋体" w:hAnsi="宋体"/>
          <w:color w:val="auto"/>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rPr>
          <w:rFonts w:ascii="宋体" w:hAnsi="宋体" w:cs="宋体"/>
          <w:color w:val="auto"/>
          <w:szCs w:val="21"/>
          <w:lang w:val="zh-CN"/>
        </w:rPr>
      </w:pPr>
      <w:r>
        <w:rPr>
          <w:rFonts w:hint="eastAsia" w:ascii="宋体" w:hAnsi="宋体" w:cs="宋体"/>
          <w:color w:val="auto"/>
          <w:szCs w:val="21"/>
        </w:rPr>
        <w:t>33</w:t>
      </w:r>
      <w:r>
        <w:rPr>
          <w:rFonts w:ascii="宋体" w:hAnsi="宋体" w:cs="宋体"/>
          <w:color w:val="auto"/>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将按以下方法依序更正：</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.2.1</w:t>
      </w:r>
      <w:r>
        <w:rPr>
          <w:rFonts w:hint="eastAsia" w:ascii="宋体" w:hAnsi="宋体" w:cs="宋体"/>
          <w:color w:val="auto"/>
          <w:szCs w:val="21"/>
          <w:lang w:val="zh-CN"/>
        </w:rPr>
        <w:t>若开标一览表中报价与投标价格表中投标总价不一致，以开标一览表报价为准；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.2.2</w:t>
      </w:r>
      <w:r>
        <w:rPr>
          <w:rFonts w:hint="eastAsia" w:ascii="宋体" w:hAnsi="宋体" w:cs="宋体"/>
          <w:color w:val="auto"/>
          <w:szCs w:val="21"/>
          <w:lang w:val="zh-CN"/>
        </w:rPr>
        <w:t>大写金额和小写金额不一致的，以大写金额为准；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.2.3</w:t>
      </w:r>
      <w:r>
        <w:rPr>
          <w:rFonts w:hint="eastAsia" w:ascii="宋体" w:hAnsi="宋体" w:cs="宋体"/>
          <w:color w:val="auto"/>
          <w:szCs w:val="21"/>
          <w:lang w:val="zh-CN"/>
        </w:rPr>
        <w:t>单价金额小数点或者百分比有明显错位的，以开标一览表的总价为准，并修改单价；</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.2.4</w:t>
      </w:r>
      <w:r>
        <w:rPr>
          <w:rFonts w:hint="eastAsia" w:ascii="宋体" w:hAnsi="宋体" w:cs="宋体"/>
          <w:color w:val="auto"/>
          <w:szCs w:val="21"/>
          <w:lang w:val="zh-CN"/>
        </w:rPr>
        <w:t>总价金额与按单价汇总金额不一致的，以单价金额计算结果为准。</w:t>
      </w:r>
    </w:p>
    <w:p>
      <w:pPr>
        <w:autoSpaceDE w:val="0"/>
        <w:autoSpaceDN w:val="0"/>
        <w:adjustRightInd w:val="0"/>
        <w:rPr>
          <w:rFonts w:ascii="宋体" w:hAnsi="宋体" w:cs="宋体"/>
          <w:b/>
          <w:color w:val="auto"/>
          <w:szCs w:val="21"/>
          <w:lang w:val="zh-CN"/>
        </w:rPr>
      </w:pPr>
      <w:r>
        <w:rPr>
          <w:rFonts w:hint="eastAsia" w:ascii="宋体" w:hAnsi="宋体" w:cs="宋体"/>
          <w:b/>
          <w:color w:val="auto"/>
          <w:szCs w:val="21"/>
          <w:lang w:val="zh-CN"/>
        </w:rPr>
        <w:t>修正后的报价按照32.1的规定经投标人确认后产生约束力，投标人不确认的，其投标无效。</w:t>
      </w:r>
    </w:p>
    <w:p>
      <w:pPr>
        <w:rPr>
          <w:rFonts w:ascii="宋体" w:hAnsi="宋体"/>
          <w:color w:val="auto"/>
          <w:szCs w:val="21"/>
        </w:rPr>
      </w:pPr>
      <w:r>
        <w:rPr>
          <w:rFonts w:hint="eastAsia" w:ascii="宋体" w:hAnsi="宋体"/>
          <w:color w:val="auto"/>
          <w:szCs w:val="21"/>
        </w:rPr>
        <w:t>33.3资格性审查：依据法律法规和招标文件的规定，对投标文件进行审查，内容</w:t>
      </w:r>
      <w:r>
        <w:rPr>
          <w:rFonts w:hint="eastAsia" w:ascii="宋体" w:hAnsi="宋体"/>
          <w:bCs/>
          <w:color w:val="auto"/>
          <w:szCs w:val="21"/>
        </w:rPr>
        <w:t>详见《关键信息》→《资格性审查表》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33.4</w:t>
      </w:r>
      <w:r>
        <w:rPr>
          <w:rFonts w:ascii="宋体" w:hAnsi="宋体"/>
          <w:color w:val="auto"/>
          <w:szCs w:val="21"/>
        </w:rPr>
        <w:t>符合性</w:t>
      </w:r>
      <w:r>
        <w:rPr>
          <w:rFonts w:hint="eastAsia" w:ascii="宋体" w:hAnsi="宋体"/>
          <w:color w:val="auto"/>
          <w:szCs w:val="21"/>
        </w:rPr>
        <w:t>审</w:t>
      </w:r>
      <w:r>
        <w:rPr>
          <w:rFonts w:ascii="宋体" w:hAnsi="宋体"/>
          <w:color w:val="auto"/>
          <w:szCs w:val="21"/>
        </w:rPr>
        <w:t>查</w:t>
      </w:r>
      <w:r>
        <w:rPr>
          <w:rFonts w:hint="eastAsia" w:ascii="宋体" w:hAnsi="宋体"/>
          <w:color w:val="auto"/>
          <w:szCs w:val="21"/>
        </w:rPr>
        <w:t>：依据招标文件的规定，从投标文件的有效性、完整性和对招标文件的响应程度进行审查，以确定是否对招标文件的实质性要求作出响应。</w:t>
      </w:r>
      <w:r>
        <w:rPr>
          <w:rFonts w:ascii="宋体" w:hAnsi="宋体"/>
          <w:color w:val="auto"/>
          <w:szCs w:val="21"/>
        </w:rPr>
        <w:t>内容</w:t>
      </w:r>
      <w:r>
        <w:rPr>
          <w:rFonts w:hint="eastAsia" w:ascii="宋体" w:hAnsi="宋体"/>
          <w:bCs/>
          <w:color w:val="auto"/>
          <w:szCs w:val="21"/>
        </w:rPr>
        <w:t>详见《关键信息》→《符合性审查表》。</w:t>
      </w:r>
    </w:p>
    <w:p>
      <w:pPr>
        <w:rPr>
          <w:rFonts w:ascii="宋体" w:hAnsi="宋体"/>
          <w:b/>
          <w:bCs/>
          <w:color w:val="auto"/>
          <w:szCs w:val="21"/>
        </w:rPr>
      </w:pPr>
      <w:r>
        <w:rPr>
          <w:rFonts w:hint="eastAsia" w:ascii="宋体" w:hAnsi="宋体"/>
          <w:b/>
          <w:bCs/>
          <w:color w:val="auto"/>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81"/>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color w:val="auto"/>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rPr>
          <w:rFonts w:ascii="宋体" w:hAnsi="宋体"/>
          <w:bCs/>
          <w:color w:val="auto"/>
          <w:szCs w:val="21"/>
        </w:rPr>
      </w:pPr>
      <w:r>
        <w:rPr>
          <w:rFonts w:hint="eastAsia" w:ascii="宋体" w:hAnsi="宋体"/>
          <w:bCs/>
          <w:color w:val="auto"/>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color w:val="auto"/>
          <w:szCs w:val="21"/>
        </w:rPr>
      </w:pPr>
      <w:r>
        <w:rPr>
          <w:rFonts w:hint="eastAsia" w:ascii="宋体" w:hAnsi="宋体"/>
          <w:b/>
          <w:bCs/>
          <w:color w:val="auto"/>
          <w:szCs w:val="21"/>
        </w:rPr>
        <w:t>35.实地考察、演示或设备测试</w:t>
      </w:r>
    </w:p>
    <w:p>
      <w:pPr>
        <w:rPr>
          <w:rFonts w:ascii="宋体" w:hAnsi="宋体"/>
          <w:bCs/>
          <w:color w:val="auto"/>
          <w:szCs w:val="21"/>
        </w:rPr>
      </w:pPr>
      <w:r>
        <w:rPr>
          <w:rFonts w:hint="eastAsia" w:ascii="宋体" w:hAnsi="宋体"/>
          <w:bCs/>
          <w:color w:val="auto"/>
          <w:szCs w:val="21"/>
        </w:rPr>
        <w:t>35.1在招标过程中，评审委员会有权决定是否对本项目投标人进行现场勘察或实地考察或检验有关证明材料的原件。投标人应随时做好接受检查的准备。</w:t>
      </w:r>
    </w:p>
    <w:p>
      <w:pPr>
        <w:rPr>
          <w:rFonts w:ascii="宋体" w:hAnsi="宋体"/>
          <w:bCs/>
          <w:color w:val="auto"/>
          <w:szCs w:val="21"/>
        </w:rPr>
      </w:pPr>
      <w:r>
        <w:rPr>
          <w:rFonts w:hint="eastAsia" w:ascii="宋体" w:hAnsi="宋体"/>
          <w:bCs/>
          <w:color w:val="auto"/>
          <w:szCs w:val="21"/>
        </w:rPr>
        <w:t>35.2若招标文件要求进行现场演示或设备测试的，投标人应做好相应准备。</w:t>
      </w:r>
    </w:p>
    <w:p>
      <w:pPr>
        <w:rPr>
          <w:rFonts w:ascii="宋体" w:hAnsi="宋体"/>
          <w:b/>
          <w:bCs/>
          <w:color w:val="auto"/>
          <w:szCs w:val="21"/>
        </w:rPr>
      </w:pPr>
      <w:r>
        <w:rPr>
          <w:rFonts w:hint="eastAsia" w:ascii="宋体" w:hAnsi="宋体"/>
          <w:b/>
          <w:bCs/>
          <w:color w:val="auto"/>
          <w:szCs w:val="21"/>
        </w:rPr>
        <w:t>36.评标方法（本项目具体所采用的评标方法详见 《关键信息》→《评标信息》）</w:t>
      </w:r>
    </w:p>
    <w:p>
      <w:pPr>
        <w:rPr>
          <w:rFonts w:ascii="宋体" w:hAnsi="宋体"/>
          <w:color w:val="auto"/>
          <w:szCs w:val="21"/>
        </w:rPr>
      </w:pPr>
      <w:r>
        <w:rPr>
          <w:rFonts w:hint="eastAsia" w:ascii="宋体" w:hAnsi="宋体"/>
          <w:color w:val="auto"/>
          <w:szCs w:val="21"/>
        </w:rPr>
        <w:t>项目评标方法分为最低价法、综合评分法、定性评审法及法律、法规允许的其它评标办法。</w:t>
      </w:r>
    </w:p>
    <w:p>
      <w:pPr>
        <w:rPr>
          <w:rFonts w:ascii="宋体" w:hAnsi="宋体"/>
          <w:color w:val="auto"/>
          <w:szCs w:val="21"/>
        </w:rPr>
      </w:pPr>
      <w:r>
        <w:rPr>
          <w:rFonts w:hint="eastAsia" w:ascii="宋体" w:hAnsi="宋体"/>
          <w:color w:val="auto"/>
          <w:szCs w:val="21"/>
        </w:rPr>
        <w:t>36.1最低价法</w:t>
      </w:r>
    </w:p>
    <w:p>
      <w:pPr>
        <w:rPr>
          <w:rFonts w:ascii="宋体" w:hAnsi="宋体"/>
          <w:color w:val="auto"/>
          <w:szCs w:val="21"/>
        </w:rPr>
      </w:pPr>
      <w:r>
        <w:rPr>
          <w:rFonts w:hint="eastAsia" w:ascii="宋体" w:hAnsi="宋体"/>
          <w:color w:val="auto"/>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rPr>
          <w:rFonts w:ascii="宋体" w:hAnsi="宋体"/>
          <w:color w:val="auto"/>
          <w:szCs w:val="21"/>
        </w:rPr>
      </w:pPr>
      <w:r>
        <w:rPr>
          <w:rFonts w:hint="eastAsia" w:ascii="宋体" w:hAnsi="宋体"/>
          <w:color w:val="auto"/>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rPr>
          <w:rFonts w:ascii="宋体" w:hAnsi="宋体"/>
          <w:color w:val="auto"/>
          <w:szCs w:val="21"/>
        </w:rPr>
      </w:pPr>
      <w:r>
        <w:rPr>
          <w:rFonts w:hint="eastAsia" w:ascii="宋体" w:hAnsi="宋体"/>
          <w:color w:val="auto"/>
          <w:szCs w:val="21"/>
        </w:rPr>
        <w:t>36.2综合评分法</w:t>
      </w:r>
    </w:p>
    <w:p>
      <w:pPr>
        <w:rPr>
          <w:rFonts w:ascii="宋体" w:hAnsi="宋体"/>
          <w:color w:val="auto"/>
          <w:szCs w:val="21"/>
        </w:rPr>
      </w:pPr>
      <w:r>
        <w:rPr>
          <w:rFonts w:hint="eastAsia" w:ascii="宋体" w:hAnsi="宋体"/>
          <w:color w:val="auto"/>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color w:val="auto"/>
          <w:szCs w:val="21"/>
        </w:rPr>
        <w:t>）</w:t>
      </w:r>
    </w:p>
    <w:p>
      <w:pPr>
        <w:rPr>
          <w:rFonts w:ascii="宋体" w:hAnsi="宋体"/>
          <w:color w:val="auto"/>
          <w:szCs w:val="21"/>
        </w:rPr>
      </w:pPr>
      <w:r>
        <w:rPr>
          <w:rFonts w:hint="eastAsia" w:ascii="宋体" w:hAnsi="宋体"/>
          <w:color w:val="auto"/>
          <w:szCs w:val="21"/>
        </w:rPr>
        <w:t>36.3定性评审法</w:t>
      </w:r>
    </w:p>
    <w:p>
      <w:pPr>
        <w:rPr>
          <w:rFonts w:ascii="宋体" w:hAnsi="宋体"/>
          <w:color w:val="auto"/>
          <w:szCs w:val="21"/>
        </w:rPr>
      </w:pPr>
      <w:r>
        <w:rPr>
          <w:rFonts w:hint="eastAsia" w:ascii="宋体" w:hAnsi="宋体"/>
          <w:color w:val="auto"/>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rPr>
          <w:rFonts w:ascii="宋体" w:hAnsi="宋体"/>
          <w:color w:val="auto"/>
          <w:szCs w:val="21"/>
        </w:rPr>
      </w:pPr>
      <w:r>
        <w:rPr>
          <w:rFonts w:hint="eastAsia" w:ascii="宋体" w:hAnsi="宋体"/>
          <w:color w:val="auto"/>
          <w:szCs w:val="21"/>
        </w:rPr>
        <w:t>36.4 本项目采用的评标方法见本项目招标文件专用条款的相关内容。</w:t>
      </w:r>
    </w:p>
    <w:p>
      <w:pPr>
        <w:rPr>
          <w:rFonts w:ascii="宋体" w:hAnsi="宋体"/>
          <w:b/>
          <w:bCs/>
          <w:color w:val="auto"/>
          <w:szCs w:val="21"/>
        </w:rPr>
      </w:pPr>
      <w:r>
        <w:rPr>
          <w:rFonts w:hint="eastAsia" w:ascii="宋体" w:hAnsi="宋体"/>
          <w:b/>
          <w:bCs/>
          <w:color w:val="auto"/>
          <w:szCs w:val="21"/>
        </w:rPr>
        <w:t>36.5其它采购方式的采购程序</w:t>
      </w:r>
    </w:p>
    <w:p>
      <w:pPr>
        <w:rPr>
          <w:rFonts w:ascii="宋体" w:hAnsi="宋体"/>
          <w:color w:val="auto"/>
          <w:szCs w:val="21"/>
        </w:rPr>
      </w:pPr>
      <w:r>
        <w:rPr>
          <w:rFonts w:hint="eastAsia" w:ascii="宋体" w:hAnsi="宋体"/>
          <w:color w:val="auto"/>
          <w:szCs w:val="21"/>
        </w:rPr>
        <w:t>36.5.1  同一包号需多个供应商中标的情形</w:t>
      </w:r>
    </w:p>
    <w:p>
      <w:pPr>
        <w:rPr>
          <w:rFonts w:ascii="宋体" w:hAnsi="宋体"/>
          <w:color w:val="auto"/>
          <w:szCs w:val="21"/>
        </w:rPr>
      </w:pPr>
      <w:r>
        <w:rPr>
          <w:rFonts w:hint="eastAsia" w:ascii="宋体" w:hAnsi="宋体"/>
          <w:color w:val="auto"/>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rPr>
          <w:rFonts w:ascii="宋体" w:hAnsi="宋体"/>
          <w:color w:val="auto"/>
          <w:szCs w:val="21"/>
        </w:rPr>
      </w:pPr>
      <w:r>
        <w:rPr>
          <w:rFonts w:hint="eastAsia" w:ascii="宋体" w:hAnsi="宋体"/>
          <w:color w:val="auto"/>
          <w:szCs w:val="21"/>
        </w:rPr>
        <w:t>36.5.2 其它评标方法</w:t>
      </w:r>
    </w:p>
    <w:p>
      <w:pPr>
        <w:rPr>
          <w:rFonts w:ascii="宋体" w:hAnsi="宋体"/>
          <w:color w:val="auto"/>
          <w:szCs w:val="21"/>
        </w:rPr>
      </w:pPr>
      <w:r>
        <w:rPr>
          <w:rFonts w:hint="eastAsia" w:ascii="宋体" w:hAnsi="宋体"/>
          <w:color w:val="auto"/>
          <w:szCs w:val="21"/>
        </w:rPr>
        <w:t>采用上述评标方法以外的评标定标方法的，必须事先征得政府采购主管部门的批准，并在招标文件作特别说明。</w:t>
      </w:r>
    </w:p>
    <w:p>
      <w:pPr>
        <w:rPr>
          <w:rFonts w:ascii="宋体" w:hAnsi="宋体"/>
          <w:b/>
          <w:bCs/>
          <w:color w:val="auto"/>
          <w:szCs w:val="21"/>
        </w:rPr>
      </w:pPr>
      <w:r>
        <w:rPr>
          <w:rFonts w:hint="eastAsia" w:ascii="宋体" w:hAnsi="宋体"/>
          <w:b/>
          <w:bCs/>
          <w:color w:val="auto"/>
          <w:szCs w:val="21"/>
        </w:rPr>
        <w:t>37资格后审</w:t>
      </w:r>
    </w:p>
    <w:p>
      <w:pPr>
        <w:rPr>
          <w:rFonts w:ascii="宋体" w:hAnsi="宋体"/>
          <w:color w:val="auto"/>
          <w:szCs w:val="21"/>
        </w:rPr>
      </w:pPr>
      <w:r>
        <w:rPr>
          <w:rFonts w:hint="eastAsia" w:ascii="宋体" w:hAnsi="宋体"/>
          <w:color w:val="auto"/>
          <w:szCs w:val="21"/>
        </w:rPr>
        <w:t>37</w:t>
      </w:r>
      <w:r>
        <w:rPr>
          <w:rFonts w:ascii="宋体" w:hAnsi="宋体"/>
          <w:color w:val="auto"/>
          <w:szCs w:val="21"/>
        </w:rPr>
        <w:t xml:space="preserve">.1 </w:t>
      </w:r>
      <w:r>
        <w:rPr>
          <w:rFonts w:hint="eastAsia" w:ascii="宋体" w:hAnsi="宋体"/>
          <w:color w:val="auto"/>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第六章  定标及公示</w:t>
      </w:r>
    </w:p>
    <w:p>
      <w:pPr>
        <w:rPr>
          <w:rFonts w:ascii="宋体" w:hAnsi="宋体"/>
          <w:b/>
          <w:color w:val="auto"/>
          <w:szCs w:val="21"/>
        </w:rPr>
      </w:pPr>
      <w:r>
        <w:rPr>
          <w:rFonts w:hint="eastAsia" w:ascii="宋体" w:hAnsi="宋体"/>
          <w:b/>
          <w:color w:val="auto"/>
          <w:szCs w:val="21"/>
        </w:rPr>
        <w:t>38．定标方法</w:t>
      </w:r>
    </w:p>
    <w:p>
      <w:pPr>
        <w:rPr>
          <w:rFonts w:ascii="宋体" w:hAnsi="宋体"/>
          <w:color w:val="auto"/>
          <w:szCs w:val="21"/>
        </w:rPr>
      </w:pPr>
      <w:r>
        <w:rPr>
          <w:rFonts w:hint="eastAsia" w:ascii="宋体" w:hAnsi="宋体"/>
          <w:color w:val="auto"/>
          <w:szCs w:val="21"/>
        </w:rPr>
        <w:t>38.1采购人</w:t>
      </w:r>
      <w:r>
        <w:rPr>
          <w:rFonts w:hint="eastAsia" w:ascii="宋体" w:hAnsi="宋体"/>
          <w:color w:val="auto"/>
          <w:szCs w:val="21"/>
          <w:highlight w:val="none"/>
        </w:rPr>
        <w:t>授权评审委员会确定中标供应商的，评审委员会依据</w:t>
      </w:r>
      <w:r>
        <w:rPr>
          <w:rFonts w:hint="eastAsia" w:ascii="宋体" w:hAnsi="宋体"/>
          <w:color w:val="auto"/>
          <w:szCs w:val="21"/>
        </w:rPr>
        <w:t>本项目招标文件及通用条款36条所约定的评标方法进行评审和比较，向政府集中采购机构提交书面评标报告，并根据评标方法比较评价结果从优到劣进行排序，确定中标供应商；</w:t>
      </w:r>
    </w:p>
    <w:p>
      <w:pPr>
        <w:rPr>
          <w:rFonts w:ascii="宋体" w:hAnsi="宋体"/>
          <w:color w:val="auto"/>
          <w:szCs w:val="21"/>
        </w:rPr>
      </w:pPr>
      <w:r>
        <w:rPr>
          <w:rFonts w:hint="eastAsia" w:ascii="宋体" w:hAnsi="宋体"/>
          <w:color w:val="auto"/>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auto"/>
          <w:szCs w:val="21"/>
        </w:rPr>
      </w:pPr>
      <w:r>
        <w:rPr>
          <w:rFonts w:hint="eastAsia" w:ascii="宋体" w:hAnsi="宋体"/>
          <w:b/>
          <w:color w:val="auto"/>
          <w:szCs w:val="21"/>
        </w:rPr>
        <w:t>39．编写评标报告</w:t>
      </w:r>
    </w:p>
    <w:p>
      <w:pPr>
        <w:rPr>
          <w:rFonts w:ascii="宋体" w:hAnsi="宋体"/>
          <w:color w:val="auto"/>
          <w:szCs w:val="21"/>
        </w:rPr>
      </w:pPr>
      <w:r>
        <w:rPr>
          <w:rFonts w:hint="eastAsia" w:ascii="宋体" w:hAnsi="宋体"/>
          <w:color w:val="auto"/>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color w:val="auto"/>
          <w:szCs w:val="21"/>
        </w:rPr>
      </w:pPr>
      <w:r>
        <w:rPr>
          <w:rFonts w:hint="eastAsia" w:ascii="宋体" w:hAnsi="宋体"/>
          <w:b/>
          <w:bCs/>
          <w:color w:val="auto"/>
          <w:szCs w:val="21"/>
        </w:rPr>
        <w:t>40. 中标结果公示</w:t>
      </w:r>
    </w:p>
    <w:p>
      <w:pPr>
        <w:rPr>
          <w:rFonts w:ascii="宋体" w:hAnsi="宋体"/>
          <w:color w:val="auto"/>
          <w:szCs w:val="21"/>
        </w:rPr>
      </w:pPr>
      <w:r>
        <w:rPr>
          <w:rFonts w:hint="eastAsia" w:ascii="宋体" w:hAnsi="宋体"/>
          <w:color w:val="auto"/>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rPr>
          <w:rFonts w:ascii="宋体" w:hAnsi="宋体"/>
          <w:color w:val="auto"/>
          <w:szCs w:val="21"/>
        </w:rPr>
      </w:pPr>
      <w:r>
        <w:rPr>
          <w:rFonts w:hint="eastAsia" w:ascii="宋体" w:hAnsi="宋体"/>
          <w:color w:val="auto"/>
          <w:szCs w:val="21"/>
        </w:rPr>
        <w:t>40.2提出质疑的供应商应保证其质疑的真实性和可靠性，并承担相应的法律责任。</w:t>
      </w:r>
    </w:p>
    <w:p>
      <w:pPr>
        <w:rPr>
          <w:rFonts w:ascii="宋体" w:hAnsi="宋体"/>
          <w:color w:val="auto"/>
          <w:szCs w:val="21"/>
        </w:rPr>
      </w:pPr>
    </w:p>
    <w:p>
      <w:pPr>
        <w:pStyle w:val="6"/>
        <w:rPr>
          <w:rFonts w:ascii="宋体" w:hAnsi="宋体"/>
          <w:b/>
          <w:color w:val="auto"/>
          <w:szCs w:val="24"/>
        </w:rPr>
      </w:pPr>
      <w:bookmarkStart w:id="34" w:name="bt授予合同"/>
      <w:bookmarkEnd w:id="34"/>
      <w:r>
        <w:rPr>
          <w:rFonts w:hint="eastAsia" w:ascii="宋体" w:hAnsi="宋体"/>
          <w:b/>
          <w:color w:val="auto"/>
          <w:szCs w:val="24"/>
        </w:rPr>
        <w:t>第七章  公开招标失败的后续处理</w:t>
      </w:r>
    </w:p>
    <w:p>
      <w:pPr>
        <w:rPr>
          <w:rFonts w:ascii="宋体" w:hAnsi="宋体"/>
          <w:b/>
          <w:color w:val="auto"/>
          <w:szCs w:val="21"/>
        </w:rPr>
      </w:pPr>
      <w:r>
        <w:rPr>
          <w:rFonts w:hint="eastAsia" w:ascii="宋体" w:hAnsi="宋体"/>
          <w:b/>
          <w:color w:val="auto"/>
          <w:szCs w:val="21"/>
        </w:rPr>
        <w:t>41．公开招标失败的处理</w:t>
      </w:r>
    </w:p>
    <w:p>
      <w:pPr>
        <w:rPr>
          <w:rFonts w:ascii="宋体" w:hAnsi="宋体"/>
          <w:color w:val="auto"/>
          <w:szCs w:val="21"/>
        </w:rPr>
      </w:pPr>
      <w:r>
        <w:rPr>
          <w:rFonts w:hint="eastAsia" w:ascii="宋体" w:hAnsi="宋体"/>
          <w:color w:val="auto"/>
          <w:szCs w:val="21"/>
        </w:rPr>
        <w:t>41.1本项目公开招标过程中若由于投标截止后实际递交</w:t>
      </w:r>
      <w:r>
        <w:rPr>
          <w:rFonts w:ascii="宋体" w:hAnsi="宋体"/>
          <w:color w:val="auto"/>
          <w:szCs w:val="21"/>
        </w:rPr>
        <w:t>投标</w:t>
      </w:r>
      <w:r>
        <w:rPr>
          <w:rFonts w:hint="eastAsia" w:ascii="宋体" w:hAnsi="宋体"/>
          <w:color w:val="auto"/>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jc w:val="left"/>
        <w:rPr>
          <w:rFonts w:ascii="宋体" w:hAnsi="宋体"/>
          <w:color w:val="auto"/>
          <w:szCs w:val="21"/>
        </w:rPr>
      </w:pPr>
      <w:r>
        <w:rPr>
          <w:rFonts w:ascii="宋体" w:hAnsi="宋体"/>
          <w:color w:val="auto"/>
          <w:szCs w:val="21"/>
        </w:rPr>
        <w:t xml:space="preserve">41.2 </w:t>
      </w:r>
      <w:r>
        <w:rPr>
          <w:rFonts w:hint="eastAsia" w:ascii="宋体" w:hAnsi="宋体"/>
          <w:color w:val="auto"/>
          <w:szCs w:val="21"/>
        </w:rPr>
        <w:t>对公开招标失败的项目，评审委员会在出具该项目招标失败结论的同时，提出重新采购组织形式的建议，以及进一步完善招标文件的资格、技术、商务要求的修改建议。</w:t>
      </w:r>
    </w:p>
    <w:p>
      <w:pPr>
        <w:rPr>
          <w:rFonts w:ascii="宋体" w:hAnsi="宋体"/>
          <w:color w:val="auto"/>
          <w:szCs w:val="21"/>
        </w:rPr>
      </w:pPr>
      <w:r>
        <w:rPr>
          <w:rFonts w:hint="eastAsia" w:ascii="宋体" w:hAnsi="宋体"/>
          <w:color w:val="auto"/>
          <w:szCs w:val="21"/>
        </w:rPr>
        <w:t>41.2重新组织采购有以下两种组织形式：</w:t>
      </w:r>
    </w:p>
    <w:p>
      <w:pPr>
        <w:ind w:firstLine="411" w:firstLineChars="196"/>
        <w:rPr>
          <w:rFonts w:ascii="宋体" w:hAnsi="宋体"/>
          <w:color w:val="auto"/>
          <w:szCs w:val="21"/>
        </w:rPr>
      </w:pPr>
      <w:r>
        <w:rPr>
          <w:rFonts w:hint="eastAsia" w:ascii="宋体" w:hAnsi="宋体"/>
          <w:color w:val="auto"/>
          <w:szCs w:val="21"/>
        </w:rPr>
        <w:t>（1）由政府集中采购机构重新组织公开招标；</w:t>
      </w:r>
    </w:p>
    <w:p>
      <w:pPr>
        <w:ind w:firstLine="411" w:firstLineChars="196"/>
        <w:rPr>
          <w:rFonts w:ascii="宋体" w:hAnsi="宋体"/>
          <w:color w:val="auto"/>
          <w:szCs w:val="21"/>
        </w:rPr>
      </w:pPr>
      <w:r>
        <w:rPr>
          <w:rFonts w:hint="eastAsia" w:ascii="宋体" w:hAnsi="宋体"/>
          <w:color w:val="auto"/>
          <w:szCs w:val="21"/>
        </w:rPr>
        <w:t>（2）根据实际情况需要向政府采购监督管理部门提出非公开招标方式申请，经政府采购监督管理部门批准公开招标失败采购项目可转为竞争性谈判或单一来源谈判方式采购。</w:t>
      </w:r>
    </w:p>
    <w:p>
      <w:pPr>
        <w:rPr>
          <w:rFonts w:ascii="宋体" w:hAnsi="宋体"/>
          <w:color w:val="auto"/>
          <w:szCs w:val="21"/>
        </w:rPr>
      </w:pPr>
      <w:r>
        <w:rPr>
          <w:rFonts w:hint="eastAsia" w:ascii="宋体" w:hAnsi="宋体"/>
          <w:color w:val="auto"/>
          <w:szCs w:val="21"/>
        </w:rPr>
        <w:t>41.3公开招标失败的采购项目重新组织公开招标，政府集中采购机构要重新按公开招标流程发布招标公告和招标文件、组成评审委员会等组织采购活动。</w:t>
      </w:r>
    </w:p>
    <w:p>
      <w:pPr>
        <w:rPr>
          <w:rFonts w:ascii="宋体" w:hAnsi="宋体"/>
          <w:color w:val="auto"/>
          <w:szCs w:val="21"/>
        </w:rPr>
      </w:pPr>
      <w:r>
        <w:rPr>
          <w:rFonts w:hint="eastAsia" w:ascii="宋体" w:hAnsi="宋体"/>
          <w:color w:val="auto"/>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color w:val="auto"/>
          <w:szCs w:val="21"/>
        </w:rPr>
      </w:pPr>
      <w:r>
        <w:rPr>
          <w:rFonts w:hint="eastAsia" w:ascii="宋体" w:hAnsi="宋体"/>
          <w:b/>
          <w:color w:val="auto"/>
          <w:szCs w:val="21"/>
        </w:rPr>
        <w:t>42．公开招标失败项目转为竞争性谈判方式采购</w:t>
      </w:r>
    </w:p>
    <w:p>
      <w:pPr>
        <w:rPr>
          <w:rFonts w:ascii="宋体" w:hAnsi="宋体"/>
          <w:color w:val="auto"/>
          <w:szCs w:val="21"/>
        </w:rPr>
      </w:pPr>
      <w:r>
        <w:rPr>
          <w:rFonts w:hint="eastAsia" w:ascii="宋体" w:hAnsi="宋体"/>
          <w:color w:val="auto"/>
          <w:szCs w:val="21"/>
        </w:rPr>
        <w:t>42.1谈判应答文件</w:t>
      </w:r>
    </w:p>
    <w:p>
      <w:pPr>
        <w:rPr>
          <w:rFonts w:ascii="宋体" w:hAnsi="宋体"/>
          <w:color w:val="auto"/>
          <w:szCs w:val="21"/>
        </w:rPr>
      </w:pPr>
      <w:r>
        <w:rPr>
          <w:rFonts w:hint="eastAsia" w:ascii="宋体" w:hAnsi="宋体"/>
          <w:color w:val="auto"/>
          <w:szCs w:val="21"/>
        </w:rPr>
        <w:t>42.1.1公开招标失败后，供应商的投标文件即转为谈判应答文件。</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.2谈判小组</w:t>
      </w:r>
    </w:p>
    <w:p>
      <w:pPr>
        <w:rPr>
          <w:rFonts w:ascii="宋体" w:hAnsi="宋体"/>
          <w:color w:val="auto"/>
          <w:szCs w:val="21"/>
        </w:rPr>
      </w:pPr>
      <w:r>
        <w:rPr>
          <w:rFonts w:hint="eastAsia" w:ascii="宋体" w:hAnsi="宋体"/>
          <w:color w:val="auto"/>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auto"/>
          <w:szCs w:val="21"/>
        </w:rPr>
      </w:pPr>
      <w:r>
        <w:rPr>
          <w:rFonts w:hint="eastAsia" w:ascii="宋体" w:hAnsi="宋体"/>
          <w:color w:val="auto"/>
          <w:szCs w:val="21"/>
        </w:rPr>
        <w:t>42.2.2谈判前，谈判小组将对各供应商的谈判应答文件进行审查，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.3谈判程序</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1谈判小组主持人宣布谈判规则和谈判纪律。</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）投标价格；</w:t>
      </w:r>
    </w:p>
    <w:p>
      <w:pPr>
        <w:ind w:firstLine="411" w:firstLineChars="196"/>
        <w:rPr>
          <w:rFonts w:ascii="宋体" w:hAnsi="宋体"/>
          <w:color w:val="auto"/>
          <w:szCs w:val="21"/>
        </w:rPr>
      </w:pPr>
      <w:r>
        <w:rPr>
          <w:rFonts w:hint="eastAsia" w:ascii="宋体" w:hAnsi="宋体"/>
          <w:color w:val="auto"/>
          <w:szCs w:val="21"/>
        </w:rPr>
        <w:t>（2）项目实施方案；</w:t>
      </w:r>
    </w:p>
    <w:p>
      <w:pPr>
        <w:ind w:firstLine="411" w:firstLineChars="196"/>
        <w:rPr>
          <w:rFonts w:ascii="宋体" w:hAnsi="宋体"/>
          <w:color w:val="auto"/>
          <w:szCs w:val="21"/>
        </w:rPr>
      </w:pPr>
      <w:r>
        <w:rPr>
          <w:rFonts w:hint="eastAsia" w:ascii="宋体" w:hAnsi="宋体"/>
          <w:color w:val="auto"/>
          <w:szCs w:val="21"/>
        </w:rPr>
        <w:t>（3）售后服务方案；</w:t>
      </w:r>
    </w:p>
    <w:p>
      <w:pPr>
        <w:ind w:firstLine="411" w:firstLineChars="196"/>
        <w:rPr>
          <w:rFonts w:ascii="宋体" w:hAnsi="宋体"/>
          <w:color w:val="auto"/>
          <w:szCs w:val="21"/>
        </w:rPr>
      </w:pPr>
      <w:r>
        <w:rPr>
          <w:rFonts w:hint="eastAsia" w:ascii="宋体" w:hAnsi="宋体"/>
          <w:color w:val="auto"/>
          <w:szCs w:val="21"/>
        </w:rPr>
        <w:t>（4）其它相关事项。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原招标文件或谈判邀请文件有实质性变动的，谈判小组应当通过政府集中采购机构通知所有参加谈判的供应商。</w:t>
      </w:r>
    </w:p>
    <w:p>
      <w:pPr>
        <w:rPr>
          <w:rFonts w:ascii="宋体" w:hAnsi="宋体"/>
          <w:color w:val="auto"/>
          <w:szCs w:val="21"/>
        </w:rPr>
      </w:pPr>
      <w:r>
        <w:rPr>
          <w:rFonts w:hint="eastAsia" w:ascii="宋体" w:hAnsi="宋体"/>
          <w:color w:val="auto"/>
          <w:szCs w:val="21"/>
        </w:rPr>
        <w:t>42.3.3谈判小组可以用书面形式要求各供应商对其谈判应答文件含义不明确的内容作必要的澄清或者说明，供应商应主要以书面形式进行澄清、说明。</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允许供应商在谈判结束之前根据谈判小组提出的内容进行澄清、修改或完善，以及对项目方案进行相应的调整。</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rPr>
          <w:rFonts w:ascii="宋体" w:hAnsi="宋体"/>
          <w:color w:val="auto"/>
          <w:szCs w:val="21"/>
        </w:rPr>
      </w:pPr>
      <w:r>
        <w:rPr>
          <w:rFonts w:hint="eastAsia" w:ascii="宋体" w:hAnsi="宋体"/>
          <w:color w:val="auto"/>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rPr>
          <w:rFonts w:ascii="宋体" w:hAnsi="宋体"/>
          <w:color w:val="auto"/>
          <w:szCs w:val="21"/>
        </w:rPr>
      </w:pPr>
      <w:r>
        <w:rPr>
          <w:rFonts w:hint="eastAsia" w:ascii="宋体" w:hAnsi="宋体"/>
          <w:color w:val="auto"/>
          <w:szCs w:val="21"/>
        </w:rPr>
        <w:t>42.3.7有下列情形之一的，该供应商的谈判结果作投标无效处理，具体内容见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rPr>
          <w:rFonts w:ascii="宋体" w:hAnsi="宋体"/>
          <w:color w:val="auto"/>
          <w:szCs w:val="21"/>
        </w:rPr>
      </w:pPr>
      <w:r>
        <w:rPr>
          <w:rFonts w:hint="eastAsia" w:ascii="宋体" w:hAnsi="宋体"/>
          <w:color w:val="auto"/>
          <w:szCs w:val="21"/>
        </w:rPr>
        <w:t>42.3.9谈判小组将对谈判过程进行记录，以存档备查。</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.4评标方法和定标原则</w:t>
      </w:r>
    </w:p>
    <w:p>
      <w:pPr>
        <w:tabs>
          <w:tab w:val="left" w:pos="-1080"/>
        </w:tabs>
        <w:rPr>
          <w:rFonts w:ascii="宋体" w:hAnsi="宋体"/>
          <w:color w:val="auto"/>
          <w:szCs w:val="21"/>
        </w:rPr>
      </w:pPr>
      <w:r>
        <w:rPr>
          <w:rFonts w:hint="eastAsia" w:ascii="宋体" w:hAnsi="宋体"/>
          <w:color w:val="auto"/>
          <w:szCs w:val="21"/>
        </w:rPr>
        <w:t>42.4.1根据《深圳市政府采购评审委员会和评标方法暂行规定》（深财购[2005]5号），竞争性谈判采购项目的评标方法要比照</w:t>
      </w:r>
      <w:r>
        <w:rPr>
          <w:rFonts w:hint="eastAsia" w:ascii="宋体" w:hAnsi="宋体"/>
          <w:b/>
          <w:color w:val="auto"/>
          <w:szCs w:val="21"/>
        </w:rPr>
        <w:t>最低价法规定执行</w:t>
      </w:r>
      <w:r>
        <w:rPr>
          <w:rFonts w:hint="eastAsia" w:ascii="宋体" w:hAnsi="宋体"/>
          <w:color w:val="auto"/>
          <w:szCs w:val="21"/>
        </w:rPr>
        <w:t>。如确因实际情况需要采用其他评标方法的，应报经同级政府采购监督管理部门批准。</w:t>
      </w:r>
      <w:r>
        <w:rPr>
          <w:rFonts w:hint="eastAsia" w:ascii="宋体" w:hAnsi="宋体"/>
          <w:b/>
          <w:color w:val="auto"/>
          <w:szCs w:val="21"/>
        </w:rPr>
        <w:t>原招标文件若采用</w:t>
      </w:r>
      <w:r>
        <w:rPr>
          <w:rFonts w:hint="eastAsia" w:ascii="宋体" w:hAnsi="宋体"/>
          <w:b/>
          <w:bCs/>
          <w:color w:val="auto"/>
          <w:szCs w:val="21"/>
        </w:rPr>
        <w:t>最低价法以外的评标方法，转为竞争性谈判后，评标方法应采用</w:t>
      </w:r>
      <w:r>
        <w:rPr>
          <w:rFonts w:hint="eastAsia" w:ascii="宋体" w:hAnsi="宋体"/>
          <w:b/>
          <w:color w:val="auto"/>
          <w:szCs w:val="21"/>
        </w:rPr>
        <w:t>最低价法。</w:t>
      </w:r>
    </w:p>
    <w:p>
      <w:pPr>
        <w:tabs>
          <w:tab w:val="left" w:pos="-1080"/>
        </w:tabs>
        <w:rPr>
          <w:rFonts w:ascii="宋体" w:hAnsi="宋体"/>
          <w:color w:val="auto"/>
          <w:szCs w:val="21"/>
        </w:rPr>
      </w:pPr>
      <w:r>
        <w:rPr>
          <w:rFonts w:hint="eastAsia" w:ascii="宋体" w:hAnsi="宋体"/>
          <w:color w:val="auto"/>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rPr>
          <w:rFonts w:ascii="宋体" w:hAnsi="宋体"/>
          <w:color w:val="auto"/>
          <w:szCs w:val="21"/>
        </w:rPr>
      </w:pPr>
      <w:r>
        <w:rPr>
          <w:rFonts w:hint="eastAsia" w:ascii="宋体" w:hAnsi="宋体"/>
          <w:color w:val="auto"/>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color w:val="auto"/>
          <w:szCs w:val="21"/>
        </w:rPr>
      </w:pPr>
      <w:r>
        <w:rPr>
          <w:rFonts w:hint="eastAsia" w:ascii="宋体" w:hAnsi="宋体"/>
          <w:color w:val="auto"/>
          <w:szCs w:val="21"/>
        </w:rPr>
        <w:t>42.4.4谈判小组向政府集中采购机构提交书面评标报告，并受采购人授权直接确定中标供应商。</w:t>
      </w:r>
    </w:p>
    <w:p>
      <w:pPr>
        <w:rPr>
          <w:rFonts w:ascii="宋体" w:hAnsi="宋体"/>
          <w:b/>
          <w:color w:val="auto"/>
          <w:szCs w:val="21"/>
        </w:rPr>
      </w:pPr>
      <w:r>
        <w:rPr>
          <w:rFonts w:hint="eastAsia" w:ascii="宋体" w:hAnsi="宋体"/>
          <w:b/>
          <w:color w:val="auto"/>
          <w:szCs w:val="21"/>
        </w:rPr>
        <w:t>43．公开招标失败项目转为单一来源谈判方式采购</w:t>
      </w:r>
    </w:p>
    <w:p>
      <w:pPr>
        <w:ind w:firstLine="413" w:firstLineChars="196"/>
        <w:rPr>
          <w:rFonts w:ascii="宋体" w:hAnsi="宋体"/>
          <w:b/>
          <w:color w:val="auto"/>
          <w:szCs w:val="21"/>
        </w:rPr>
      </w:pPr>
      <w:r>
        <w:rPr>
          <w:rFonts w:hint="eastAsia" w:ascii="宋体" w:hAnsi="宋体"/>
          <w:b/>
          <w:color w:val="auto"/>
          <w:szCs w:val="21"/>
        </w:rPr>
        <w:t>43.1谈判小组</w:t>
      </w:r>
    </w:p>
    <w:p>
      <w:pPr>
        <w:ind w:firstLine="411" w:firstLineChars="196"/>
        <w:rPr>
          <w:rFonts w:ascii="宋体" w:hAnsi="宋体"/>
          <w:color w:val="auto"/>
          <w:szCs w:val="21"/>
        </w:rPr>
      </w:pPr>
      <w:r>
        <w:rPr>
          <w:rFonts w:hint="eastAsia" w:ascii="宋体" w:hAnsi="宋体"/>
          <w:color w:val="auto"/>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auto"/>
          <w:szCs w:val="21"/>
        </w:rPr>
      </w:pPr>
      <w:r>
        <w:rPr>
          <w:rFonts w:hint="eastAsia" w:ascii="宋体" w:hAnsi="宋体"/>
          <w:color w:val="auto"/>
          <w:szCs w:val="21"/>
        </w:rPr>
        <w:t>43.1.2谈判前，谈判小组将对单一来源供应商的谈判应答文件进行审查，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ind w:firstLine="421" w:firstLineChars="200"/>
        <w:rPr>
          <w:rFonts w:ascii="宋体" w:hAnsi="宋体"/>
          <w:b/>
          <w:color w:val="auto"/>
          <w:szCs w:val="21"/>
        </w:rPr>
      </w:pPr>
      <w:r>
        <w:rPr>
          <w:rFonts w:hint="eastAsia" w:ascii="宋体" w:hAnsi="宋体"/>
          <w:b/>
          <w:color w:val="auto"/>
          <w:szCs w:val="21"/>
        </w:rPr>
        <w:t>43.2谈判程序</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1谈判小组主持人宣布谈判规则和谈判纪律。</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）项目方案；</w:t>
      </w:r>
    </w:p>
    <w:p>
      <w:pPr>
        <w:ind w:firstLine="411" w:firstLineChars="196"/>
        <w:rPr>
          <w:rFonts w:ascii="宋体" w:hAnsi="宋体"/>
          <w:color w:val="auto"/>
          <w:szCs w:val="21"/>
        </w:rPr>
      </w:pPr>
      <w:r>
        <w:rPr>
          <w:rFonts w:hint="eastAsia" w:ascii="宋体" w:hAnsi="宋体"/>
          <w:color w:val="auto"/>
          <w:szCs w:val="21"/>
        </w:rPr>
        <w:t>（2）报价；</w:t>
      </w:r>
    </w:p>
    <w:p>
      <w:pPr>
        <w:ind w:firstLine="411" w:firstLineChars="196"/>
        <w:rPr>
          <w:rFonts w:ascii="宋体" w:hAnsi="宋体"/>
          <w:color w:val="auto"/>
          <w:szCs w:val="21"/>
        </w:rPr>
      </w:pPr>
      <w:r>
        <w:rPr>
          <w:rFonts w:hint="eastAsia" w:ascii="宋体" w:hAnsi="宋体"/>
          <w:color w:val="auto"/>
          <w:szCs w:val="21"/>
        </w:rPr>
        <w:t>（3）其它相关事项。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原招标文件或谈判邀请文件有实质性变动的，谈判小组应当通过政府集中采购机构通知供应商。</w:t>
      </w:r>
    </w:p>
    <w:p>
      <w:pPr>
        <w:ind w:firstLine="411" w:firstLineChars="196"/>
        <w:rPr>
          <w:rFonts w:ascii="宋体" w:hAnsi="宋体"/>
          <w:color w:val="auto"/>
          <w:szCs w:val="21"/>
        </w:rPr>
      </w:pPr>
      <w:r>
        <w:rPr>
          <w:rFonts w:hint="eastAsia" w:ascii="宋体" w:hAnsi="宋体"/>
          <w:color w:val="auto"/>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允许供应商在谈判结束之前根据谈判小组提出的内容进行澄清、修改或完善，或对项目方案进行相应的调整。</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ind w:firstLine="411" w:firstLineChars="196"/>
        <w:rPr>
          <w:rFonts w:ascii="宋体" w:hAnsi="宋体"/>
          <w:color w:val="auto"/>
          <w:szCs w:val="21"/>
        </w:rPr>
      </w:pPr>
      <w:r>
        <w:rPr>
          <w:rFonts w:hint="eastAsia" w:ascii="宋体" w:hAnsi="宋体"/>
          <w:color w:val="auto"/>
          <w:szCs w:val="21"/>
        </w:rPr>
        <w:t>43.2.6谈判小组与单一来源供应商进行谈判。供应商有三次更改机会；供应商应在规定的时间内提出最后更改及书面承诺。</w:t>
      </w:r>
    </w:p>
    <w:p>
      <w:pPr>
        <w:ind w:firstLine="411" w:firstLineChars="196"/>
        <w:rPr>
          <w:rFonts w:ascii="宋体" w:hAnsi="宋体"/>
          <w:color w:val="auto"/>
          <w:szCs w:val="21"/>
        </w:rPr>
      </w:pPr>
      <w:r>
        <w:rPr>
          <w:rFonts w:hint="eastAsia" w:ascii="宋体" w:hAnsi="宋体"/>
          <w:color w:val="auto"/>
          <w:szCs w:val="21"/>
        </w:rPr>
        <w:t>43.2.7有下列情形之一的，供应商的谈判结果作投标无效处理，具体内容见</w:t>
      </w:r>
      <w:r>
        <w:rPr>
          <w:rFonts w:hint="eastAsia" w:ascii="宋体" w:hAnsi="宋体"/>
          <w:bCs/>
          <w:color w:val="auto"/>
          <w:szCs w:val="21"/>
        </w:rPr>
        <w:t>《资格性审查表》和《符合性审查表》</w:t>
      </w:r>
      <w:r>
        <w:rPr>
          <w:rFonts w:hint="eastAsia" w:ascii="宋体" w:hAnsi="宋体"/>
          <w:b/>
          <w:color w:val="auto"/>
          <w:szCs w:val="21"/>
        </w:rPr>
        <w:t>。</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color w:val="auto"/>
          <w:szCs w:val="21"/>
        </w:rPr>
      </w:pPr>
      <w:r>
        <w:rPr>
          <w:rFonts w:hint="eastAsia" w:ascii="宋体" w:hAnsi="宋体"/>
          <w:color w:val="auto"/>
          <w:szCs w:val="21"/>
        </w:rPr>
        <w:t>43.2.9谈判小组将对谈判过程进行记录，以存档备查。</w:t>
      </w:r>
    </w:p>
    <w:p>
      <w:pPr>
        <w:ind w:firstLine="413" w:firstLineChars="196"/>
        <w:rPr>
          <w:rFonts w:ascii="宋体" w:hAnsi="宋体"/>
          <w:b/>
          <w:color w:val="auto"/>
          <w:szCs w:val="21"/>
        </w:rPr>
      </w:pPr>
      <w:r>
        <w:rPr>
          <w:rFonts w:hint="eastAsia" w:ascii="宋体" w:hAnsi="宋体"/>
          <w:b/>
          <w:color w:val="auto"/>
          <w:szCs w:val="21"/>
        </w:rPr>
        <w:t>43.3评标方法和定标原则</w:t>
      </w:r>
    </w:p>
    <w:p>
      <w:pPr>
        <w:tabs>
          <w:tab w:val="left" w:pos="-1080"/>
        </w:tabs>
        <w:ind w:firstLine="420" w:firstLineChars="200"/>
        <w:rPr>
          <w:rFonts w:ascii="宋体" w:hAnsi="宋体"/>
          <w:color w:val="auto"/>
          <w:szCs w:val="21"/>
        </w:rPr>
      </w:pPr>
      <w:r>
        <w:rPr>
          <w:rFonts w:hint="eastAsia" w:ascii="宋体" w:hAnsi="宋体"/>
          <w:color w:val="auto"/>
          <w:szCs w:val="21"/>
        </w:rPr>
        <w:t>43.3.1</w:t>
      </w:r>
      <w:r>
        <w:rPr>
          <w:rFonts w:hint="eastAsia" w:ascii="宋体" w:hAnsi="宋体"/>
          <w:b/>
          <w:color w:val="auto"/>
          <w:szCs w:val="21"/>
        </w:rPr>
        <w:t>单一来源谈判采用最低价法。</w:t>
      </w:r>
      <w:r>
        <w:rPr>
          <w:rFonts w:hint="eastAsia" w:ascii="宋体" w:hAnsi="宋体"/>
          <w:color w:val="auto"/>
          <w:szCs w:val="21"/>
        </w:rPr>
        <w:t>原招标文件若采用</w:t>
      </w:r>
      <w:r>
        <w:rPr>
          <w:rFonts w:hint="eastAsia" w:ascii="宋体" w:hAnsi="宋体"/>
          <w:bCs/>
          <w:color w:val="auto"/>
          <w:szCs w:val="21"/>
        </w:rPr>
        <w:t>最低价法以外的评标方法，转为竞争性谈判后，评标方法改为</w:t>
      </w:r>
      <w:r>
        <w:rPr>
          <w:rFonts w:hint="eastAsia" w:ascii="宋体" w:hAnsi="宋体"/>
          <w:color w:val="auto"/>
          <w:szCs w:val="21"/>
        </w:rPr>
        <w:t>最低价法。谈判小组对谈判应答文件进行评审和比较，对供应商最终的方案、服务和投资等谈判结果按通用条款第36.1规定的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ind w:firstLine="420" w:firstLineChars="200"/>
        <w:rPr>
          <w:rFonts w:ascii="宋体" w:hAnsi="宋体"/>
          <w:color w:val="auto"/>
          <w:szCs w:val="21"/>
        </w:rPr>
      </w:pPr>
      <w:r>
        <w:rPr>
          <w:rFonts w:hint="eastAsia" w:ascii="宋体" w:hAnsi="宋体"/>
          <w:color w:val="auto"/>
          <w:szCs w:val="21"/>
        </w:rPr>
        <w:t>43.3.2谈判小组向政府集中采购机构提交书面评标报告，并受采购人授权直接确定中标供应商。</w:t>
      </w:r>
    </w:p>
    <w:p>
      <w:pPr>
        <w:tabs>
          <w:tab w:val="left" w:pos="-1080"/>
        </w:tabs>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第八章  授予合同</w:t>
      </w:r>
    </w:p>
    <w:p>
      <w:pPr>
        <w:rPr>
          <w:rFonts w:ascii="宋体" w:hAnsi="宋体"/>
          <w:b/>
          <w:bCs/>
          <w:color w:val="auto"/>
          <w:szCs w:val="21"/>
        </w:rPr>
      </w:pPr>
      <w:r>
        <w:rPr>
          <w:rFonts w:hint="eastAsia" w:ascii="宋体" w:hAnsi="宋体"/>
          <w:b/>
          <w:bCs/>
          <w:color w:val="auto"/>
          <w:szCs w:val="21"/>
        </w:rPr>
        <w:t>44接受和拒绝任何或所有投标的权力</w:t>
      </w:r>
    </w:p>
    <w:p>
      <w:pPr>
        <w:rPr>
          <w:rFonts w:ascii="宋体" w:hAnsi="宋体"/>
          <w:color w:val="auto"/>
          <w:szCs w:val="21"/>
        </w:rPr>
      </w:pPr>
      <w:r>
        <w:rPr>
          <w:rFonts w:hint="eastAsia" w:ascii="宋体" w:hAnsi="宋体"/>
          <w:color w:val="auto"/>
          <w:szCs w:val="21"/>
        </w:rPr>
        <w:t>44</w:t>
      </w:r>
      <w:r>
        <w:rPr>
          <w:rFonts w:ascii="宋体" w:hAnsi="宋体"/>
          <w:color w:val="auto"/>
          <w:szCs w:val="21"/>
        </w:rPr>
        <w:t xml:space="preserve">.1  </w:t>
      </w:r>
      <w:r>
        <w:rPr>
          <w:rFonts w:hint="eastAsia" w:ascii="宋体" w:hAnsi="宋体"/>
          <w:color w:val="auto"/>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color w:val="auto"/>
          <w:szCs w:val="21"/>
        </w:rPr>
      </w:pPr>
      <w:r>
        <w:rPr>
          <w:rFonts w:hint="eastAsia" w:ascii="宋体" w:hAnsi="宋体"/>
          <w:b/>
          <w:bCs/>
          <w:color w:val="auto"/>
          <w:szCs w:val="21"/>
        </w:rPr>
        <w:t>45中标通知书</w:t>
      </w:r>
    </w:p>
    <w:p>
      <w:pPr>
        <w:rPr>
          <w:rFonts w:ascii="宋体" w:hAnsi="宋体"/>
          <w:color w:val="auto"/>
          <w:szCs w:val="21"/>
        </w:rPr>
      </w:pPr>
      <w:r>
        <w:rPr>
          <w:rFonts w:hint="eastAsia" w:ascii="宋体" w:hAnsi="宋体"/>
          <w:color w:val="auto"/>
          <w:szCs w:val="21"/>
        </w:rPr>
        <w:t>深圳市光明区公共资源交易中心沿用深圳市政府采购中心数字中标（成交）通知书系统，于2017年8月 18日启用。启用后，政府采购项目将全面实施网上打印数字中标（成交）通知书。</w:t>
      </w:r>
    </w:p>
    <w:p>
      <w:pPr>
        <w:rPr>
          <w:rFonts w:ascii="宋体" w:hAnsi="宋体"/>
          <w:color w:val="auto"/>
          <w:szCs w:val="21"/>
        </w:rPr>
      </w:pPr>
      <w:r>
        <w:rPr>
          <w:rFonts w:hint="eastAsia" w:ascii="宋体" w:hAnsi="宋体"/>
          <w:color w:val="auto"/>
          <w:szCs w:val="21"/>
        </w:rPr>
        <w:t>45.1数字中标（成交）通知书相关操作流程见下述：</w:t>
      </w:r>
    </w:p>
    <w:p>
      <w:pPr>
        <w:rPr>
          <w:rFonts w:ascii="宋体" w:hAnsi="宋体"/>
          <w:color w:val="auto"/>
          <w:szCs w:val="21"/>
        </w:rPr>
      </w:pPr>
      <w:r>
        <w:rPr>
          <w:rFonts w:hint="eastAsia" w:ascii="宋体" w:hAnsi="宋体"/>
          <w:color w:val="auto"/>
          <w:szCs w:val="21"/>
        </w:rPr>
        <w:t>45.1.1关于数字中标（成交）通知书的发放</w:t>
      </w:r>
    </w:p>
    <w:p>
      <w:pPr>
        <w:rPr>
          <w:rFonts w:ascii="宋体" w:hAnsi="宋体"/>
          <w:color w:val="auto"/>
          <w:szCs w:val="21"/>
        </w:rPr>
      </w:pPr>
      <w:r>
        <w:rPr>
          <w:rFonts w:hint="eastAsia" w:ascii="宋体" w:hAnsi="宋体"/>
          <w:color w:val="auto"/>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rPr>
          <w:rFonts w:ascii="宋体" w:hAnsi="宋体"/>
          <w:color w:val="auto"/>
          <w:szCs w:val="21"/>
        </w:rPr>
      </w:pPr>
      <w:r>
        <w:rPr>
          <w:rFonts w:hint="eastAsia" w:ascii="宋体" w:hAnsi="宋体"/>
          <w:color w:val="auto"/>
          <w:szCs w:val="21"/>
        </w:rPr>
        <w:t>45.1.2关于数字中标（成交）通知书的验证方法</w:t>
      </w:r>
    </w:p>
    <w:p>
      <w:pPr>
        <w:rPr>
          <w:rFonts w:ascii="宋体" w:hAnsi="宋体"/>
          <w:color w:val="auto"/>
          <w:szCs w:val="21"/>
        </w:rPr>
      </w:pPr>
      <w:r>
        <w:rPr>
          <w:rFonts w:hint="eastAsia" w:ascii="宋体" w:hAnsi="宋体"/>
          <w:color w:val="auto"/>
          <w:szCs w:val="21"/>
        </w:rPr>
        <w:t>各采购单位、供应商可以通过扫描数字中标（成交）通知书上的二维码或点击中标（成交）通知书“有效性验证”链接两种方式进行验证。验证方式在每一份数字中标（成交）通知书上均有载明。</w:t>
      </w:r>
    </w:p>
    <w:p>
      <w:pPr>
        <w:rPr>
          <w:rFonts w:ascii="宋体" w:hAnsi="宋体"/>
          <w:color w:val="auto"/>
          <w:szCs w:val="21"/>
        </w:rPr>
      </w:pPr>
      <w:r>
        <w:rPr>
          <w:rFonts w:hint="eastAsia" w:ascii="宋体" w:hAnsi="宋体"/>
          <w:color w:val="auto"/>
          <w:szCs w:val="21"/>
        </w:rPr>
        <w:t>45.1.3关于网上操作技术咨询</w:t>
      </w:r>
    </w:p>
    <w:p>
      <w:pPr>
        <w:rPr>
          <w:rFonts w:ascii="宋体" w:hAnsi="宋体"/>
          <w:color w:val="auto"/>
          <w:szCs w:val="21"/>
        </w:rPr>
      </w:pPr>
      <w:r>
        <w:rPr>
          <w:rFonts w:hint="eastAsia" w:ascii="宋体" w:hAnsi="宋体"/>
          <w:color w:val="auto"/>
          <w:szCs w:val="21"/>
        </w:rPr>
        <w:t>为确保数字中标（成交）通知书发放工作的顺利开展，如对数字中标通知书系统网上操作有疑问，可拨打我中心技术支持服务电话咨询。联系电话：</w:t>
      </w:r>
      <w:r>
        <w:rPr>
          <w:rFonts w:ascii="宋体" w:hAnsi="宋体"/>
          <w:color w:val="auto"/>
          <w:szCs w:val="21"/>
        </w:rPr>
        <w:t>88212595</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45</w:t>
      </w:r>
      <w:r>
        <w:rPr>
          <w:rFonts w:ascii="宋体" w:hAnsi="宋体"/>
          <w:color w:val="auto"/>
          <w:szCs w:val="21"/>
        </w:rPr>
        <w:t xml:space="preserve">.2 </w:t>
      </w:r>
      <w:r>
        <w:rPr>
          <w:rFonts w:hint="eastAsia" w:ascii="宋体" w:hAnsi="宋体"/>
          <w:color w:val="auto"/>
          <w:szCs w:val="21"/>
        </w:rPr>
        <w:t>中标通知书是合同的重要组成部分。</w:t>
      </w:r>
    </w:p>
    <w:p>
      <w:pPr>
        <w:rPr>
          <w:rFonts w:ascii="宋体" w:hAnsi="宋体"/>
          <w:color w:val="auto"/>
          <w:szCs w:val="21"/>
        </w:rPr>
      </w:pPr>
      <w:r>
        <w:rPr>
          <w:rFonts w:hint="eastAsia" w:ascii="宋体" w:hAnsi="宋体"/>
          <w:color w:val="auto"/>
          <w:szCs w:val="21"/>
        </w:rPr>
        <w:t>45.3因质疑投诉或其它原因导致项目结果变更或采购终止的，光明区公共资源交易中心有权收回中标通知书。</w:t>
      </w:r>
    </w:p>
    <w:p>
      <w:pPr>
        <w:rPr>
          <w:rFonts w:ascii="宋体" w:hAnsi="宋体"/>
          <w:b/>
          <w:bCs/>
          <w:color w:val="auto"/>
          <w:szCs w:val="21"/>
        </w:rPr>
      </w:pPr>
      <w:r>
        <w:rPr>
          <w:rFonts w:hint="eastAsia" w:ascii="宋体" w:hAnsi="宋体"/>
          <w:b/>
          <w:bCs/>
          <w:color w:val="auto"/>
          <w:szCs w:val="21"/>
        </w:rPr>
        <w:t>46签订合同</w:t>
      </w:r>
    </w:p>
    <w:p>
      <w:pPr>
        <w:rPr>
          <w:rFonts w:ascii="宋体" w:hAnsi="宋体"/>
          <w:color w:val="auto"/>
          <w:szCs w:val="21"/>
        </w:rPr>
      </w:pPr>
      <w:r>
        <w:rPr>
          <w:rFonts w:hint="eastAsia" w:ascii="宋体" w:hAnsi="宋体"/>
          <w:color w:val="auto"/>
          <w:szCs w:val="21"/>
        </w:rPr>
        <w:t>46</w:t>
      </w:r>
      <w:r>
        <w:rPr>
          <w:rFonts w:ascii="宋体" w:hAnsi="宋体"/>
          <w:color w:val="auto"/>
          <w:szCs w:val="21"/>
        </w:rPr>
        <w:t>.</w:t>
      </w:r>
      <w:r>
        <w:rPr>
          <w:rFonts w:hint="eastAsia" w:ascii="宋体" w:hAnsi="宋体"/>
          <w:color w:val="auto"/>
          <w:szCs w:val="21"/>
        </w:rPr>
        <w:t>1“招标文件”、中标方的“投标文件”及其澄清文件等，均为签订合同的依据。</w:t>
      </w:r>
    </w:p>
    <w:p>
      <w:pPr>
        <w:rPr>
          <w:rFonts w:ascii="宋体" w:hAnsi="宋体"/>
          <w:color w:val="auto"/>
          <w:szCs w:val="21"/>
        </w:rPr>
      </w:pPr>
      <w:r>
        <w:rPr>
          <w:rFonts w:hint="eastAsia" w:ascii="宋体" w:hAnsi="宋体"/>
          <w:color w:val="auto"/>
          <w:szCs w:val="21"/>
        </w:rPr>
        <w:t>46.2 采购人与中标人签订的合同必须遵守本招标文件的合同条件，并且不得更改合同条件。</w:t>
      </w:r>
    </w:p>
    <w:p>
      <w:pPr>
        <w:rPr>
          <w:rFonts w:ascii="宋体" w:hAnsi="宋体"/>
          <w:color w:val="auto"/>
          <w:szCs w:val="21"/>
        </w:rPr>
      </w:pPr>
      <w:r>
        <w:rPr>
          <w:rFonts w:hint="eastAsia" w:ascii="宋体" w:hAnsi="宋体"/>
          <w:color w:val="auto"/>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rPr>
          <w:rFonts w:ascii="宋体" w:hAnsi="宋体"/>
          <w:color w:val="auto"/>
          <w:szCs w:val="21"/>
        </w:rPr>
      </w:pPr>
      <w:r>
        <w:rPr>
          <w:rFonts w:hint="eastAsia" w:ascii="宋体" w:hAnsi="宋体"/>
          <w:color w:val="auto"/>
          <w:szCs w:val="21"/>
        </w:rPr>
        <w:t>46.4 中标人应当按照合同约定履行义务，完成中标项目，不得将中标项目转让（转包）给他人；</w:t>
      </w:r>
    </w:p>
    <w:p>
      <w:pPr>
        <w:rPr>
          <w:rFonts w:ascii="宋体" w:hAnsi="宋体"/>
          <w:b/>
          <w:bCs/>
          <w:color w:val="auto"/>
          <w:szCs w:val="21"/>
        </w:rPr>
      </w:pPr>
      <w:r>
        <w:rPr>
          <w:rFonts w:hint="eastAsia" w:ascii="宋体" w:hAnsi="宋体"/>
          <w:b/>
          <w:bCs/>
          <w:color w:val="auto"/>
          <w:szCs w:val="21"/>
        </w:rPr>
        <w:t>47中标服务费</w:t>
      </w:r>
    </w:p>
    <w:p>
      <w:pPr>
        <w:rPr>
          <w:rFonts w:ascii="宋体" w:hAnsi="宋体"/>
          <w:color w:val="auto"/>
          <w:szCs w:val="21"/>
        </w:rPr>
      </w:pPr>
      <w:r>
        <w:rPr>
          <w:rFonts w:hint="eastAsia" w:ascii="宋体" w:hAnsi="宋体"/>
          <w:color w:val="auto"/>
          <w:szCs w:val="21"/>
        </w:rPr>
        <w:t>47</w:t>
      </w:r>
      <w:r>
        <w:rPr>
          <w:rFonts w:ascii="宋体" w:hAnsi="宋体"/>
          <w:color w:val="auto"/>
          <w:szCs w:val="21"/>
        </w:rPr>
        <w:t xml:space="preserve">.1  </w:t>
      </w:r>
      <w:r>
        <w:rPr>
          <w:rFonts w:hint="eastAsia" w:ascii="宋体" w:hAnsi="宋体"/>
          <w:color w:val="auto"/>
          <w:szCs w:val="21"/>
        </w:rPr>
        <w:t>政府集中采购机构不收取中标服务费，报价时投标人应充分考虑这个因素。</w:t>
      </w:r>
    </w:p>
    <w:p>
      <w:pPr>
        <w:rPr>
          <w:rFonts w:ascii="宋体" w:hAnsi="宋体"/>
          <w:b/>
          <w:color w:val="auto"/>
          <w:szCs w:val="21"/>
        </w:rPr>
      </w:pPr>
      <w:r>
        <w:rPr>
          <w:rFonts w:hint="eastAsia" w:ascii="宋体" w:hAnsi="宋体"/>
          <w:b/>
          <w:color w:val="auto"/>
          <w:szCs w:val="21"/>
        </w:rPr>
        <w:t>48.履约情况的反馈</w:t>
      </w:r>
    </w:p>
    <w:p>
      <w:pPr>
        <w:rPr>
          <w:rFonts w:ascii="宋体" w:hAnsi="宋体"/>
          <w:color w:val="auto"/>
          <w:szCs w:val="21"/>
        </w:rPr>
      </w:pPr>
      <w:r>
        <w:rPr>
          <w:rFonts w:hint="eastAsia" w:ascii="宋体" w:hAnsi="宋体"/>
          <w:color w:val="auto"/>
          <w:szCs w:val="21"/>
        </w:rPr>
        <w:t>采购人应及时向政府集中采购机构反馈中标人的履约情况（填写《政府采购履约情况反馈表》），中标人的履约情况将作为供应商考核的重要依据。</w:t>
      </w:r>
    </w:p>
    <w:p>
      <w:pPr>
        <w:rPr>
          <w:rFonts w:ascii="宋体" w:hAnsi="宋体"/>
          <w:b/>
          <w:color w:val="auto"/>
          <w:szCs w:val="21"/>
        </w:rPr>
      </w:pPr>
      <w:r>
        <w:rPr>
          <w:rFonts w:hint="eastAsia" w:ascii="宋体" w:hAnsi="宋体"/>
          <w:b/>
          <w:color w:val="auto"/>
          <w:szCs w:val="21"/>
        </w:rPr>
        <w:t>49．腐败和欺诈行为</w:t>
      </w:r>
    </w:p>
    <w:p>
      <w:pPr>
        <w:rPr>
          <w:rFonts w:ascii="宋体" w:hAnsi="宋体"/>
          <w:color w:val="auto"/>
          <w:szCs w:val="21"/>
        </w:rPr>
      </w:pPr>
      <w:r>
        <w:rPr>
          <w:rFonts w:hint="eastAsia" w:ascii="宋体" w:hAnsi="宋体"/>
          <w:color w:val="auto"/>
          <w:szCs w:val="21"/>
        </w:rPr>
        <w:t>政府采购要求合同项下的采购人和中标人在合同采购和实施过程中应遵守最高的道德标准。根据本要求，政府集中采购机构将：</w:t>
      </w:r>
    </w:p>
    <w:p>
      <w:pPr>
        <w:ind w:firstLine="420" w:firstLineChars="200"/>
        <w:rPr>
          <w:rFonts w:ascii="宋体" w:hAnsi="宋体"/>
          <w:color w:val="auto"/>
          <w:szCs w:val="21"/>
        </w:rPr>
      </w:pPr>
      <w:r>
        <w:rPr>
          <w:rFonts w:hint="eastAsia" w:ascii="宋体" w:hAnsi="宋体"/>
          <w:color w:val="auto"/>
          <w:szCs w:val="21"/>
        </w:rPr>
        <w:t>（1）为此目的，定义下述条件：</w:t>
      </w:r>
    </w:p>
    <w:p>
      <w:pPr>
        <w:ind w:firstLine="420" w:firstLineChars="200"/>
        <w:rPr>
          <w:rFonts w:ascii="宋体" w:hAnsi="宋体"/>
          <w:color w:val="auto"/>
          <w:szCs w:val="21"/>
        </w:rPr>
      </w:pPr>
      <w:r>
        <w:rPr>
          <w:rFonts w:hint="eastAsia" w:ascii="宋体" w:hAnsi="宋体"/>
          <w:color w:val="auto"/>
          <w:szCs w:val="21"/>
        </w:rPr>
        <w:t>（a）“腐败行为”是指提供、给予、接受或索取任何有价值的东西来影响招标方或采购人在采购过程或合同实施过程中的行为；</w:t>
      </w:r>
    </w:p>
    <w:p>
      <w:pPr>
        <w:ind w:firstLine="420" w:firstLineChars="200"/>
        <w:rPr>
          <w:rFonts w:ascii="宋体" w:hAnsi="宋体"/>
          <w:color w:val="auto"/>
          <w:szCs w:val="21"/>
        </w:rPr>
      </w:pPr>
      <w:r>
        <w:rPr>
          <w:rFonts w:hint="eastAsia" w:ascii="宋体" w:hAnsi="宋体"/>
          <w:color w:val="auto"/>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color w:val="auto"/>
          <w:szCs w:val="21"/>
        </w:rPr>
      </w:pPr>
      <w:r>
        <w:rPr>
          <w:rFonts w:hint="eastAsia" w:ascii="宋体" w:hAnsi="宋体"/>
          <w:color w:val="auto"/>
          <w:szCs w:val="21"/>
        </w:rPr>
        <w:t>（2）如果评审委员会认为投标人在本合同的竞争中有腐败和欺诈行为，则拒绝接受该投标。</w:t>
      </w:r>
    </w:p>
    <w:p>
      <w:pPr>
        <w:ind w:firstLine="420" w:firstLineChars="200"/>
        <w:rPr>
          <w:rFonts w:ascii="宋体" w:hAnsi="宋体"/>
          <w:color w:val="auto"/>
          <w:szCs w:val="21"/>
        </w:rPr>
      </w:pPr>
      <w:r>
        <w:rPr>
          <w:rFonts w:hint="eastAsia" w:ascii="宋体" w:hAnsi="宋体"/>
          <w:color w:val="auto"/>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第九章</w:t>
      </w:r>
      <w:r>
        <w:rPr>
          <w:rFonts w:ascii="宋体" w:hAnsi="宋体"/>
          <w:b/>
          <w:color w:val="auto"/>
          <w:szCs w:val="24"/>
        </w:rPr>
        <w:t xml:space="preserve">  质疑处理</w:t>
      </w:r>
    </w:p>
    <w:p>
      <w:pPr>
        <w:rPr>
          <w:rFonts w:ascii="宋体" w:hAnsi="宋体"/>
          <w:b/>
          <w:bCs/>
          <w:color w:val="auto"/>
          <w:szCs w:val="21"/>
        </w:rPr>
      </w:pPr>
      <w:r>
        <w:rPr>
          <w:rFonts w:hint="eastAsia" w:ascii="宋体" w:hAnsi="宋体"/>
          <w:b/>
          <w:bCs/>
          <w:color w:val="auto"/>
          <w:szCs w:val="21"/>
        </w:rPr>
        <w:t>50  质疑受理机构</w:t>
      </w:r>
    </w:p>
    <w:p>
      <w:pPr>
        <w:rPr>
          <w:rFonts w:ascii="宋体" w:hAnsi="宋体"/>
          <w:color w:val="auto"/>
          <w:szCs w:val="21"/>
        </w:rPr>
      </w:pPr>
      <w:r>
        <w:rPr>
          <w:rFonts w:hint="eastAsia" w:ascii="宋体" w:hAnsi="宋体"/>
          <w:color w:val="auto"/>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color w:val="auto"/>
          <w:szCs w:val="21"/>
        </w:rPr>
      </w:pPr>
      <w:r>
        <w:rPr>
          <w:rFonts w:hint="eastAsia" w:ascii="宋体" w:hAnsi="宋体"/>
          <w:b/>
          <w:bCs/>
          <w:color w:val="auto"/>
          <w:szCs w:val="21"/>
        </w:rPr>
        <w:t>51  质疑处理原则</w:t>
      </w:r>
    </w:p>
    <w:p>
      <w:pPr>
        <w:rPr>
          <w:rFonts w:ascii="宋体" w:hAnsi="宋体"/>
          <w:color w:val="auto"/>
          <w:szCs w:val="21"/>
        </w:rPr>
      </w:pPr>
      <w:r>
        <w:rPr>
          <w:rFonts w:hint="eastAsia" w:ascii="宋体" w:hAnsi="宋体"/>
          <w:color w:val="auto"/>
          <w:szCs w:val="21"/>
        </w:rPr>
        <w:t>51.1</w:t>
      </w:r>
      <w:r>
        <w:rPr>
          <w:rFonts w:ascii="宋体" w:hAnsi="宋体"/>
          <w:color w:val="auto"/>
          <w:szCs w:val="21"/>
        </w:rPr>
        <w:t>质疑处理遵循公平、公正、规范、高效的原则。</w:t>
      </w:r>
    </w:p>
    <w:p>
      <w:pPr>
        <w:rPr>
          <w:rFonts w:ascii="宋体" w:hAnsi="宋体"/>
          <w:color w:val="auto"/>
          <w:szCs w:val="21"/>
        </w:rPr>
      </w:pPr>
      <w:r>
        <w:rPr>
          <w:rFonts w:hint="eastAsia" w:ascii="宋体" w:hAnsi="宋体"/>
          <w:color w:val="auto"/>
          <w:szCs w:val="21"/>
        </w:rPr>
        <w:t>51.2</w:t>
      </w:r>
      <w:r>
        <w:rPr>
          <w:rFonts w:ascii="宋体" w:hAnsi="宋体"/>
          <w:color w:val="auto"/>
          <w:szCs w:val="21"/>
        </w:rPr>
        <w:t>供应商质疑实行实名制和“谁质疑，谁举证”的原则，质疑应有具体的事项及事实根据。</w:t>
      </w:r>
    </w:p>
    <w:p>
      <w:pPr>
        <w:rPr>
          <w:rFonts w:ascii="宋体" w:hAnsi="宋体"/>
          <w:b/>
          <w:bCs/>
          <w:color w:val="auto"/>
          <w:szCs w:val="21"/>
        </w:rPr>
      </w:pPr>
      <w:r>
        <w:rPr>
          <w:rFonts w:hint="eastAsia" w:ascii="宋体" w:hAnsi="宋体"/>
          <w:b/>
          <w:bCs/>
          <w:color w:val="auto"/>
          <w:szCs w:val="21"/>
        </w:rPr>
        <w:t>52  质疑受理的时效和范围</w:t>
      </w:r>
    </w:p>
    <w:p>
      <w:pPr>
        <w:rPr>
          <w:rFonts w:ascii="宋体" w:hAnsi="宋体"/>
          <w:color w:val="auto"/>
          <w:szCs w:val="21"/>
        </w:rPr>
      </w:pPr>
      <w:r>
        <w:rPr>
          <w:rFonts w:hint="eastAsia" w:ascii="宋体" w:hAnsi="宋体"/>
          <w:color w:val="auto"/>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color w:val="auto"/>
          <w:szCs w:val="21"/>
          <w:lang w:val="en-US"/>
        </w:rPr>
        <w:t>https://td.szggzy.com/home/index.html</w:t>
      </w:r>
      <w:r>
        <w:rPr>
          <w:rFonts w:hint="eastAsia" w:ascii="宋体" w:hAnsi="宋体"/>
          <w:color w:val="auto"/>
          <w:szCs w:val="21"/>
        </w:rPr>
        <w:t>），以书面形式向深圳市光明区公共资源交易中心提出质疑，联系方式及地址详见招标公告。</w:t>
      </w:r>
    </w:p>
    <w:p>
      <w:pPr>
        <w:rPr>
          <w:rFonts w:ascii="宋体" w:hAnsi="宋体"/>
          <w:color w:val="auto"/>
          <w:szCs w:val="21"/>
        </w:rPr>
      </w:pPr>
      <w:r>
        <w:rPr>
          <w:rFonts w:hint="eastAsia" w:ascii="宋体" w:hAnsi="宋体"/>
          <w:color w:val="auto"/>
          <w:szCs w:val="21"/>
        </w:rPr>
        <w:t>52.2供应商对采购文件有疑问的，深圳市光明区公共资源交易中心按答疑程序处理；供应商对采购文件有异议的，按质疑程序处理。</w:t>
      </w:r>
    </w:p>
    <w:p>
      <w:pPr>
        <w:rPr>
          <w:rFonts w:ascii="宋体" w:hAnsi="宋体"/>
          <w:b/>
          <w:bCs/>
          <w:color w:val="auto"/>
          <w:szCs w:val="21"/>
        </w:rPr>
      </w:pPr>
      <w:r>
        <w:rPr>
          <w:rFonts w:hint="eastAsia" w:ascii="宋体" w:hAnsi="宋体"/>
          <w:b/>
          <w:bCs/>
          <w:color w:val="auto"/>
          <w:szCs w:val="21"/>
        </w:rPr>
        <w:t>53  质疑条件</w:t>
      </w:r>
    </w:p>
    <w:p>
      <w:pPr>
        <w:rPr>
          <w:rFonts w:ascii="宋体" w:hAnsi="宋体"/>
          <w:color w:val="auto"/>
          <w:szCs w:val="21"/>
        </w:rPr>
      </w:pPr>
      <w:r>
        <w:rPr>
          <w:rFonts w:hint="eastAsia" w:ascii="宋体" w:hAnsi="宋体"/>
          <w:color w:val="auto"/>
          <w:szCs w:val="21"/>
        </w:rPr>
        <w:t>53.1提出质疑的应是直接参与相应采购项目的供应商。以联合体形式参与的，由联合体的主体共同提出；</w:t>
      </w:r>
    </w:p>
    <w:p>
      <w:pPr>
        <w:rPr>
          <w:rFonts w:ascii="宋体" w:hAnsi="宋体"/>
          <w:color w:val="auto"/>
          <w:szCs w:val="21"/>
        </w:rPr>
      </w:pPr>
      <w:r>
        <w:rPr>
          <w:rFonts w:hint="eastAsia" w:ascii="宋体" w:hAnsi="宋体"/>
          <w:color w:val="auto"/>
          <w:szCs w:val="21"/>
        </w:rPr>
        <w:t>53.2提供质疑的项目名称和编号、质疑供应商的单位名称、详细地址、邮政编码、联系人及联系电话等基本情况；</w:t>
      </w:r>
    </w:p>
    <w:p>
      <w:pPr>
        <w:rPr>
          <w:rFonts w:ascii="宋体" w:hAnsi="宋体"/>
          <w:color w:val="auto"/>
          <w:szCs w:val="21"/>
        </w:rPr>
      </w:pPr>
      <w:r>
        <w:rPr>
          <w:rFonts w:hint="eastAsia" w:ascii="宋体" w:hAnsi="宋体"/>
          <w:color w:val="auto"/>
          <w:szCs w:val="21"/>
        </w:rPr>
        <w:t>53.3有质疑的具体事项、请求及理由，并附相关证据材料及法律依据；</w:t>
      </w:r>
    </w:p>
    <w:p>
      <w:pPr>
        <w:rPr>
          <w:rFonts w:ascii="宋体" w:hAnsi="宋体"/>
          <w:color w:val="auto"/>
          <w:szCs w:val="21"/>
        </w:rPr>
      </w:pPr>
      <w:r>
        <w:rPr>
          <w:rFonts w:hint="eastAsia" w:ascii="宋体" w:hAnsi="宋体"/>
          <w:color w:val="auto"/>
          <w:szCs w:val="21"/>
        </w:rPr>
        <w:t>53.4质疑书加盖公章，被授权人进行质疑的同时提交营业执照复印件、法定代表人证明书及其身份证复印件、授权委托书及被授权人身份证复印件；</w:t>
      </w:r>
    </w:p>
    <w:p>
      <w:pPr>
        <w:rPr>
          <w:rFonts w:ascii="宋体" w:hAnsi="宋体"/>
          <w:color w:val="auto"/>
          <w:szCs w:val="21"/>
        </w:rPr>
      </w:pPr>
      <w:r>
        <w:rPr>
          <w:rFonts w:hint="eastAsia" w:ascii="宋体" w:hAnsi="宋体"/>
          <w:color w:val="auto"/>
          <w:szCs w:val="21"/>
        </w:rPr>
        <w:t>53.5质疑材料中有外文资料的，应一并附上中文译本，并以中文译本为准。</w:t>
      </w:r>
    </w:p>
    <w:p>
      <w:pPr>
        <w:rPr>
          <w:rFonts w:ascii="宋体" w:hAnsi="宋体"/>
          <w:color w:val="auto"/>
          <w:szCs w:val="21"/>
        </w:rPr>
      </w:pPr>
      <w:r>
        <w:rPr>
          <w:rFonts w:hint="eastAsia" w:ascii="宋体" w:hAnsi="宋体"/>
          <w:color w:val="auto"/>
          <w:szCs w:val="21"/>
        </w:rPr>
        <w:t>不符合上述条件的，深圳市光明区公共资源交易中心不予受理。</w:t>
      </w:r>
    </w:p>
    <w:p>
      <w:pPr>
        <w:rPr>
          <w:rFonts w:ascii="宋体" w:hAnsi="宋体"/>
          <w:b/>
          <w:bCs/>
          <w:color w:val="auto"/>
          <w:szCs w:val="21"/>
        </w:rPr>
      </w:pPr>
      <w:r>
        <w:rPr>
          <w:rFonts w:hint="eastAsia" w:ascii="宋体" w:hAnsi="宋体"/>
          <w:b/>
          <w:bCs/>
          <w:color w:val="auto"/>
          <w:szCs w:val="21"/>
        </w:rPr>
        <w:t>54  受理质疑办理程序</w:t>
      </w:r>
    </w:p>
    <w:p>
      <w:pPr>
        <w:rPr>
          <w:rFonts w:ascii="宋体" w:hAnsi="宋体"/>
          <w:color w:val="auto"/>
          <w:szCs w:val="21"/>
        </w:rPr>
      </w:pPr>
      <w:r>
        <w:rPr>
          <w:rFonts w:hint="eastAsia" w:ascii="宋体" w:hAnsi="宋体"/>
          <w:color w:val="auto"/>
          <w:szCs w:val="21"/>
        </w:rPr>
        <w:t>54.1先与质疑供应商进行沟通，以消除因误解或对采购规则和程序的不了解而引起的质疑。对沟通情况满意的，供应商撤回质疑，质疑处理程序终止。</w:t>
      </w:r>
    </w:p>
    <w:p>
      <w:pPr>
        <w:rPr>
          <w:rFonts w:ascii="宋体" w:hAnsi="宋体"/>
          <w:color w:val="auto"/>
          <w:szCs w:val="21"/>
        </w:rPr>
      </w:pPr>
      <w:r>
        <w:rPr>
          <w:rFonts w:hint="eastAsia" w:ascii="宋体" w:hAnsi="宋体"/>
          <w:color w:val="auto"/>
          <w:szCs w:val="21"/>
        </w:rPr>
        <w:t>54.2处理质疑一般进行书面审查；必要时听取各方当事人的陈述和申辩、进行相关调查；组织原评审委员会或谈判小组进行复核。</w:t>
      </w:r>
    </w:p>
    <w:p>
      <w:pPr>
        <w:rPr>
          <w:rFonts w:ascii="宋体" w:hAnsi="宋体"/>
          <w:color w:val="auto"/>
          <w:szCs w:val="21"/>
        </w:rPr>
      </w:pPr>
      <w:r>
        <w:rPr>
          <w:rFonts w:hint="eastAsia" w:ascii="宋体" w:hAnsi="宋体"/>
          <w:color w:val="auto"/>
          <w:szCs w:val="21"/>
        </w:rPr>
        <w:t>54.3在质疑处理期间，原则上不中止采购活动。但深圳市光明区发展和财政局视情形决定是否暂停采购活动。</w:t>
      </w:r>
    </w:p>
    <w:p>
      <w:pPr>
        <w:rPr>
          <w:rFonts w:ascii="宋体" w:hAnsi="宋体"/>
          <w:color w:val="auto"/>
          <w:szCs w:val="21"/>
        </w:rPr>
      </w:pPr>
      <w:r>
        <w:rPr>
          <w:rFonts w:hint="eastAsia" w:ascii="宋体" w:hAnsi="宋体"/>
          <w:color w:val="auto"/>
          <w:szCs w:val="21"/>
        </w:rPr>
        <w:t>54.4深圳市光明区公共资源交易中心原则上在质疑受理之日起十个工作日内书面答复质疑供应商。质疑答复函以直接领取、传真或邮寄方式送达。</w:t>
      </w:r>
    </w:p>
    <w:p>
      <w:pPr>
        <w:rPr>
          <w:rFonts w:ascii="宋体" w:hAnsi="宋体"/>
          <w:color w:val="auto"/>
          <w:szCs w:val="21"/>
        </w:rPr>
      </w:pPr>
      <w:r>
        <w:rPr>
          <w:rFonts w:hint="eastAsia" w:ascii="宋体" w:hAnsi="宋体"/>
          <w:color w:val="auto"/>
          <w:szCs w:val="21"/>
        </w:rPr>
        <w:t>54.5供应商向深圳市光明区公共资源交易中心提出质疑后，在质疑处理期限内，不得同时向其他方面提起同一质疑。质疑供应商如已就同一事项提起投诉、提请行政复议或诉讼的，质疑程序终止。</w:t>
      </w:r>
    </w:p>
    <w:p>
      <w:pPr>
        <w:rPr>
          <w:rFonts w:ascii="宋体" w:hAnsi="宋体"/>
          <w:color w:val="auto"/>
          <w:szCs w:val="21"/>
        </w:rPr>
      </w:pPr>
      <w:r>
        <w:rPr>
          <w:rFonts w:hint="eastAsia" w:ascii="宋体" w:hAnsi="宋体"/>
          <w:color w:val="auto"/>
          <w:szCs w:val="21"/>
        </w:rPr>
        <w:t>54.6 供应商应当在法定质疑期内一次性提出针对同一采购程序环节的质疑。</w:t>
      </w:r>
    </w:p>
    <w:p>
      <w:pPr>
        <w:rPr>
          <w:rFonts w:ascii="宋体" w:hAnsi="宋体"/>
          <w:b/>
          <w:bCs/>
          <w:color w:val="auto"/>
          <w:szCs w:val="21"/>
        </w:rPr>
      </w:pPr>
      <w:r>
        <w:rPr>
          <w:rFonts w:hint="eastAsia" w:ascii="宋体" w:hAnsi="宋体"/>
          <w:b/>
          <w:bCs/>
          <w:color w:val="auto"/>
          <w:szCs w:val="21"/>
        </w:rPr>
        <w:t>55  相关责任与义务</w:t>
      </w:r>
    </w:p>
    <w:p>
      <w:pPr>
        <w:rPr>
          <w:rFonts w:ascii="宋体" w:hAnsi="宋体"/>
          <w:color w:val="auto"/>
          <w:szCs w:val="21"/>
        </w:rPr>
      </w:pPr>
      <w:r>
        <w:rPr>
          <w:rFonts w:hint="eastAsia" w:ascii="宋体" w:hAnsi="宋体"/>
          <w:color w:val="auto"/>
          <w:szCs w:val="21"/>
        </w:rPr>
        <w:t>55.1采购单位、评标专家和相关供应商等当事人应积极配合深圳市光明区公共资源交易中心进行质疑处理，如实反映情况，及时提供证明材料。</w:t>
      </w:r>
    </w:p>
    <w:p>
      <w:pPr>
        <w:rPr>
          <w:rFonts w:ascii="宋体" w:hAnsi="宋体"/>
          <w:color w:val="auto"/>
          <w:szCs w:val="21"/>
        </w:rPr>
      </w:pPr>
      <w:r>
        <w:rPr>
          <w:rFonts w:hint="eastAsia" w:ascii="宋体" w:hAnsi="宋体"/>
          <w:color w:val="auto"/>
          <w:szCs w:val="21"/>
        </w:rPr>
        <w:t>55.2质疑供应商有下列情形之一的，深圳市光明区公共资源交易中心将视情节上报至政府采购监督管理部门，由政府采购监督管理部门记入供应商诚信档案。：</w:t>
      </w:r>
    </w:p>
    <w:p>
      <w:pPr>
        <w:rPr>
          <w:rFonts w:ascii="宋体" w:hAnsi="宋体"/>
          <w:color w:val="auto"/>
          <w:szCs w:val="21"/>
        </w:rPr>
      </w:pPr>
      <w:r>
        <w:rPr>
          <w:rFonts w:hint="eastAsia" w:ascii="宋体" w:hAnsi="宋体"/>
          <w:color w:val="auto"/>
          <w:szCs w:val="21"/>
        </w:rPr>
        <w:t>55.2.1捏造事实或提供虚假证明材料的；</w:t>
      </w:r>
    </w:p>
    <w:p>
      <w:pPr>
        <w:rPr>
          <w:rFonts w:ascii="宋体" w:hAnsi="宋体"/>
          <w:color w:val="auto"/>
          <w:szCs w:val="21"/>
        </w:rPr>
      </w:pPr>
      <w:r>
        <w:rPr>
          <w:rFonts w:hint="eastAsia" w:ascii="宋体" w:hAnsi="宋体"/>
          <w:color w:val="auto"/>
          <w:szCs w:val="21"/>
        </w:rPr>
        <w:t>55.2.2假冒他人名义进行质疑的；</w:t>
      </w:r>
    </w:p>
    <w:p>
      <w:pPr>
        <w:rPr>
          <w:rFonts w:ascii="宋体" w:hAnsi="宋体"/>
          <w:color w:val="auto"/>
          <w:szCs w:val="21"/>
        </w:rPr>
      </w:pPr>
      <w:r>
        <w:rPr>
          <w:rFonts w:hint="eastAsia" w:ascii="宋体" w:hAnsi="宋体"/>
          <w:color w:val="auto"/>
          <w:szCs w:val="21"/>
        </w:rPr>
        <w:t>55.2.3拒不配合进行有关调查、情节严重的。</w:t>
      </w:r>
    </w:p>
    <w:p>
      <w:pPr>
        <w:rPr>
          <w:color w:val="auto"/>
        </w:rPr>
      </w:pPr>
    </w:p>
    <w:p>
      <w:pPr>
        <w:pStyle w:val="2"/>
        <w:rPr>
          <w:rFonts w:hint="eastAsia"/>
          <w:color w:val="auto"/>
        </w:rPr>
      </w:pPr>
    </w:p>
    <w:sectPr>
      <w:pgSz w:w="11906" w:h="16838"/>
      <w:pgMar w:top="720" w:right="1106"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Unicode MS">
    <w:altName w:val="Nimbus Roman No9 L"/>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文鼎CS楷体">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鼎CS大隶书">
    <w:altName w:val="方正隶书_GBK"/>
    <w:panose1 w:val="00000000000000000000"/>
    <w:charset w:val="86"/>
    <w:family w:val="auto"/>
    <w:pitch w:val="default"/>
    <w:sig w:usb0="00000000" w:usb1="00000000" w:usb2="00000010" w:usb3="00000000" w:csb0="00040000" w:csb1="00000000"/>
  </w:font>
  <w:font w:name="文鼎CS中宋">
    <w:altName w:val="方正书宋_GBK"/>
    <w:panose1 w:val="00000000000000000000"/>
    <w:charset w:val="86"/>
    <w:family w:val="auto"/>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FreeSans"/>
    <w:panose1 w:val="020B0504020202030204"/>
    <w:charset w:val="00"/>
    <w:family w:val="swiss"/>
    <w:pitch w:val="default"/>
    <w:sig w:usb0="00000000" w:usb1="00000000" w:usb2="00000000" w:usb3="00000000" w:csb0="00000093" w:csb1="00000000"/>
  </w:font>
  <w:font w:name="FreeSans">
    <w:panose1 w:val="020B0504020202020204"/>
    <w:charset w:val="00"/>
    <w:family w:val="auto"/>
    <w:pitch w:val="default"/>
    <w:sig w:usb0="E4839EFF" w:usb1="4600FDFF" w:usb2="000030A0" w:usb3="00000584" w:csb0="600001BF" w:csb1="DFF70000"/>
  </w:font>
  <w:font w:name="文鼎CS中黑">
    <w:altName w:val="方正黑体_GBK"/>
    <w:panose1 w:val="00000000000000000000"/>
    <w:charset w:val="86"/>
    <w:family w:val="auto"/>
    <w:pitch w:val="default"/>
    <w:sig w:usb0="00000000" w:usb1="00000000" w:usb2="00000010" w:usb3="00000000" w:csb0="00040000"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Fonts w:hint="eastAsia"/>
      </w:rPr>
    </w:pPr>
    <w:r>
      <w:t xml:space="preserve">- </w:t>
    </w:r>
    <w:r>
      <w:fldChar w:fldCharType="begin"/>
    </w:r>
    <w:r>
      <w:instrText xml:space="preserve"> PAGE </w:instrText>
    </w:r>
    <w:r>
      <w:fldChar w:fldCharType="separate"/>
    </w:r>
    <w:r>
      <w:t>10</w:t>
    </w:r>
    <w:r>
      <w:fldChar w:fldCharType="end"/>
    </w:r>
    <w:r>
      <w:t xml:space="preserve"> -</w:t>
    </w:r>
  </w:p>
  <w:p>
    <w:pPr>
      <w:pStyle w:val="3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214"/>
      <w:lvlText w:val=""/>
      <w:lvlJc w:val="left"/>
      <w:pPr>
        <w:tabs>
          <w:tab w:val="left" w:pos="360"/>
        </w:tabs>
        <w:ind w:left="360" w:hanging="360"/>
      </w:pPr>
      <w:rPr>
        <w:rFonts w:hint="default" w:ascii="Wingdings" w:hAnsi="Wingdings"/>
      </w:rPr>
    </w:lvl>
  </w:abstractNum>
  <w:abstractNum w:abstractNumId="2">
    <w:nsid w:val="00000004"/>
    <w:multiLevelType w:val="multilevel"/>
    <w:tmpl w:val="00000004"/>
    <w:lvl w:ilvl="0" w:tentative="0">
      <w:start w:val="1"/>
      <w:numFmt w:val="decimal"/>
      <w:pStyle w:val="190"/>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7B50313"/>
    <w:multiLevelType w:val="multilevel"/>
    <w:tmpl w:val="27B50313"/>
    <w:lvl w:ilvl="0" w:tentative="0">
      <w:start w:val="1"/>
      <w:numFmt w:val="decimal"/>
      <w:pStyle w:val="13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A23AE1"/>
    <w:multiLevelType w:val="multilevel"/>
    <w:tmpl w:val="4FA23AE1"/>
    <w:lvl w:ilvl="0" w:tentative="0">
      <w:start w:val="1"/>
      <w:numFmt w:val="bullet"/>
      <w:pStyle w:val="149"/>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6DE5D57"/>
    <w:multiLevelType w:val="multilevel"/>
    <w:tmpl w:val="56DE5D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A05FAD"/>
    <w:multiLevelType w:val="multilevel"/>
    <w:tmpl w:val="62A05FAD"/>
    <w:lvl w:ilvl="0" w:tentative="0">
      <w:start w:val="1"/>
      <w:numFmt w:val="chineseCountingThousand"/>
      <w:pStyle w:val="150"/>
      <w:lvlText w:val="%1、"/>
      <w:lvlJc w:val="left"/>
      <w:pPr>
        <w:ind w:left="2100" w:hanging="420"/>
      </w:p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num w:numId="1">
    <w:abstractNumId w:val="1"/>
  </w:num>
  <w:num w:numId="2">
    <w:abstractNumId w:val="0"/>
  </w:num>
  <w:num w:numId="3">
    <w:abstractNumId w:val="7"/>
  </w:num>
  <w:num w:numId="4">
    <w:abstractNumId w:val="4"/>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AA"/>
    <w:rsid w:val="00001375"/>
    <w:rsid w:val="00003013"/>
    <w:rsid w:val="00003A9C"/>
    <w:rsid w:val="00005215"/>
    <w:rsid w:val="00005A10"/>
    <w:rsid w:val="00006F01"/>
    <w:rsid w:val="00010102"/>
    <w:rsid w:val="00010BC2"/>
    <w:rsid w:val="00010F1A"/>
    <w:rsid w:val="00012625"/>
    <w:rsid w:val="000134A6"/>
    <w:rsid w:val="00013A78"/>
    <w:rsid w:val="0001547C"/>
    <w:rsid w:val="00015921"/>
    <w:rsid w:val="00015AF1"/>
    <w:rsid w:val="0001716B"/>
    <w:rsid w:val="000172AA"/>
    <w:rsid w:val="000177C0"/>
    <w:rsid w:val="00017D0A"/>
    <w:rsid w:val="00020DF8"/>
    <w:rsid w:val="000211EA"/>
    <w:rsid w:val="00021BA6"/>
    <w:rsid w:val="000230E2"/>
    <w:rsid w:val="000234B2"/>
    <w:rsid w:val="00024E49"/>
    <w:rsid w:val="0002621F"/>
    <w:rsid w:val="000269C9"/>
    <w:rsid w:val="00026B5B"/>
    <w:rsid w:val="00026F0E"/>
    <w:rsid w:val="00030712"/>
    <w:rsid w:val="00031260"/>
    <w:rsid w:val="000316CE"/>
    <w:rsid w:val="00031700"/>
    <w:rsid w:val="00031F6E"/>
    <w:rsid w:val="00032ED7"/>
    <w:rsid w:val="0003440B"/>
    <w:rsid w:val="00034D28"/>
    <w:rsid w:val="0003589A"/>
    <w:rsid w:val="00035A08"/>
    <w:rsid w:val="00040D3C"/>
    <w:rsid w:val="000411F0"/>
    <w:rsid w:val="0004129C"/>
    <w:rsid w:val="00041D63"/>
    <w:rsid w:val="0004249E"/>
    <w:rsid w:val="0004283A"/>
    <w:rsid w:val="00043A89"/>
    <w:rsid w:val="00043D00"/>
    <w:rsid w:val="0004527C"/>
    <w:rsid w:val="00045739"/>
    <w:rsid w:val="00046EBF"/>
    <w:rsid w:val="000472D8"/>
    <w:rsid w:val="00050500"/>
    <w:rsid w:val="0005108D"/>
    <w:rsid w:val="000510B6"/>
    <w:rsid w:val="00051F3F"/>
    <w:rsid w:val="000521F0"/>
    <w:rsid w:val="00052BC1"/>
    <w:rsid w:val="000535F8"/>
    <w:rsid w:val="0005582B"/>
    <w:rsid w:val="00056970"/>
    <w:rsid w:val="00056C64"/>
    <w:rsid w:val="00057332"/>
    <w:rsid w:val="00057D68"/>
    <w:rsid w:val="00060ACE"/>
    <w:rsid w:val="0006267A"/>
    <w:rsid w:val="00062765"/>
    <w:rsid w:val="00063763"/>
    <w:rsid w:val="000643BC"/>
    <w:rsid w:val="00064D60"/>
    <w:rsid w:val="0006670C"/>
    <w:rsid w:val="00070B05"/>
    <w:rsid w:val="00071848"/>
    <w:rsid w:val="00073CAF"/>
    <w:rsid w:val="000748C5"/>
    <w:rsid w:val="00074EC1"/>
    <w:rsid w:val="000750DC"/>
    <w:rsid w:val="00075E72"/>
    <w:rsid w:val="000767B4"/>
    <w:rsid w:val="000773DE"/>
    <w:rsid w:val="000806E8"/>
    <w:rsid w:val="000810A4"/>
    <w:rsid w:val="00082667"/>
    <w:rsid w:val="000827B3"/>
    <w:rsid w:val="00083786"/>
    <w:rsid w:val="00083DC6"/>
    <w:rsid w:val="00083EEE"/>
    <w:rsid w:val="0008470B"/>
    <w:rsid w:val="000907E2"/>
    <w:rsid w:val="0009231F"/>
    <w:rsid w:val="00092FC7"/>
    <w:rsid w:val="00093A04"/>
    <w:rsid w:val="000954D5"/>
    <w:rsid w:val="00095704"/>
    <w:rsid w:val="00095883"/>
    <w:rsid w:val="0009618D"/>
    <w:rsid w:val="00096E04"/>
    <w:rsid w:val="0009709B"/>
    <w:rsid w:val="00097E84"/>
    <w:rsid w:val="000A0AFD"/>
    <w:rsid w:val="000A0EB5"/>
    <w:rsid w:val="000A203F"/>
    <w:rsid w:val="000A3A34"/>
    <w:rsid w:val="000A4CCC"/>
    <w:rsid w:val="000A56F5"/>
    <w:rsid w:val="000A7204"/>
    <w:rsid w:val="000B05E2"/>
    <w:rsid w:val="000B24CA"/>
    <w:rsid w:val="000B2568"/>
    <w:rsid w:val="000B4D28"/>
    <w:rsid w:val="000B4F6A"/>
    <w:rsid w:val="000B5AB9"/>
    <w:rsid w:val="000B5C22"/>
    <w:rsid w:val="000B65E7"/>
    <w:rsid w:val="000B6BE3"/>
    <w:rsid w:val="000B6D94"/>
    <w:rsid w:val="000B74D3"/>
    <w:rsid w:val="000C1EE4"/>
    <w:rsid w:val="000C2303"/>
    <w:rsid w:val="000C25A5"/>
    <w:rsid w:val="000C3601"/>
    <w:rsid w:val="000C364B"/>
    <w:rsid w:val="000C3B3C"/>
    <w:rsid w:val="000C4683"/>
    <w:rsid w:val="000C4DC7"/>
    <w:rsid w:val="000C56BC"/>
    <w:rsid w:val="000C6054"/>
    <w:rsid w:val="000C69A0"/>
    <w:rsid w:val="000D03DA"/>
    <w:rsid w:val="000D08BF"/>
    <w:rsid w:val="000D1A7D"/>
    <w:rsid w:val="000D1EE3"/>
    <w:rsid w:val="000D208A"/>
    <w:rsid w:val="000D2309"/>
    <w:rsid w:val="000D326B"/>
    <w:rsid w:val="000D38F9"/>
    <w:rsid w:val="000D50AA"/>
    <w:rsid w:val="000D528E"/>
    <w:rsid w:val="000D540F"/>
    <w:rsid w:val="000D577D"/>
    <w:rsid w:val="000D5CF2"/>
    <w:rsid w:val="000D61A9"/>
    <w:rsid w:val="000D7CE8"/>
    <w:rsid w:val="000D7EBB"/>
    <w:rsid w:val="000D7F08"/>
    <w:rsid w:val="000E0814"/>
    <w:rsid w:val="000E168F"/>
    <w:rsid w:val="000E4DE8"/>
    <w:rsid w:val="000E7259"/>
    <w:rsid w:val="000E7975"/>
    <w:rsid w:val="000E7EF3"/>
    <w:rsid w:val="000F0164"/>
    <w:rsid w:val="000F0DEE"/>
    <w:rsid w:val="000F2065"/>
    <w:rsid w:val="000F2129"/>
    <w:rsid w:val="000F2A88"/>
    <w:rsid w:val="000F2D1B"/>
    <w:rsid w:val="000F3080"/>
    <w:rsid w:val="000F338D"/>
    <w:rsid w:val="000F3727"/>
    <w:rsid w:val="000F49D8"/>
    <w:rsid w:val="000F565B"/>
    <w:rsid w:val="000F5F3F"/>
    <w:rsid w:val="000F641E"/>
    <w:rsid w:val="000F7BD8"/>
    <w:rsid w:val="000F7E06"/>
    <w:rsid w:val="000F7E97"/>
    <w:rsid w:val="0010110E"/>
    <w:rsid w:val="00101DD0"/>
    <w:rsid w:val="00102555"/>
    <w:rsid w:val="0010437A"/>
    <w:rsid w:val="00104E90"/>
    <w:rsid w:val="0010541A"/>
    <w:rsid w:val="00105993"/>
    <w:rsid w:val="00107D54"/>
    <w:rsid w:val="00111A0A"/>
    <w:rsid w:val="00111B00"/>
    <w:rsid w:val="00111CA0"/>
    <w:rsid w:val="00112FA5"/>
    <w:rsid w:val="0011476F"/>
    <w:rsid w:val="00114C9F"/>
    <w:rsid w:val="00114E37"/>
    <w:rsid w:val="00115A55"/>
    <w:rsid w:val="00115F88"/>
    <w:rsid w:val="001176F3"/>
    <w:rsid w:val="0011791A"/>
    <w:rsid w:val="001212EF"/>
    <w:rsid w:val="00121503"/>
    <w:rsid w:val="00121639"/>
    <w:rsid w:val="001217DC"/>
    <w:rsid w:val="0012203F"/>
    <w:rsid w:val="0012310C"/>
    <w:rsid w:val="00123CC6"/>
    <w:rsid w:val="00125C8A"/>
    <w:rsid w:val="00127D1B"/>
    <w:rsid w:val="00130827"/>
    <w:rsid w:val="001308A2"/>
    <w:rsid w:val="00131371"/>
    <w:rsid w:val="0013185E"/>
    <w:rsid w:val="00132C10"/>
    <w:rsid w:val="00133D84"/>
    <w:rsid w:val="001342FE"/>
    <w:rsid w:val="0013484A"/>
    <w:rsid w:val="00135C11"/>
    <w:rsid w:val="00135D34"/>
    <w:rsid w:val="001405BA"/>
    <w:rsid w:val="001408A2"/>
    <w:rsid w:val="00140A8D"/>
    <w:rsid w:val="00141244"/>
    <w:rsid w:val="00143653"/>
    <w:rsid w:val="00143B3A"/>
    <w:rsid w:val="0014456C"/>
    <w:rsid w:val="00144AB5"/>
    <w:rsid w:val="001451A5"/>
    <w:rsid w:val="0014550E"/>
    <w:rsid w:val="00146C71"/>
    <w:rsid w:val="00152656"/>
    <w:rsid w:val="001536AC"/>
    <w:rsid w:val="00153BDB"/>
    <w:rsid w:val="00156A08"/>
    <w:rsid w:val="00156C11"/>
    <w:rsid w:val="00157E23"/>
    <w:rsid w:val="00157FC3"/>
    <w:rsid w:val="00161C84"/>
    <w:rsid w:val="00161D6D"/>
    <w:rsid w:val="0016264C"/>
    <w:rsid w:val="001626BD"/>
    <w:rsid w:val="001638A2"/>
    <w:rsid w:val="00164E23"/>
    <w:rsid w:val="00165550"/>
    <w:rsid w:val="0016595F"/>
    <w:rsid w:val="00165E63"/>
    <w:rsid w:val="00166A2C"/>
    <w:rsid w:val="0016758C"/>
    <w:rsid w:val="00170B38"/>
    <w:rsid w:val="001719DB"/>
    <w:rsid w:val="00171F20"/>
    <w:rsid w:val="00172003"/>
    <w:rsid w:val="00174200"/>
    <w:rsid w:val="00174F4C"/>
    <w:rsid w:val="00177167"/>
    <w:rsid w:val="0018063F"/>
    <w:rsid w:val="00183262"/>
    <w:rsid w:val="00183AFF"/>
    <w:rsid w:val="00183C79"/>
    <w:rsid w:val="00183C8B"/>
    <w:rsid w:val="00183E75"/>
    <w:rsid w:val="00184423"/>
    <w:rsid w:val="001845CF"/>
    <w:rsid w:val="001848C2"/>
    <w:rsid w:val="001865BB"/>
    <w:rsid w:val="00187518"/>
    <w:rsid w:val="001875D6"/>
    <w:rsid w:val="00190C6C"/>
    <w:rsid w:val="00191E71"/>
    <w:rsid w:val="001935F4"/>
    <w:rsid w:val="001949D4"/>
    <w:rsid w:val="00194EA2"/>
    <w:rsid w:val="00195255"/>
    <w:rsid w:val="00195F25"/>
    <w:rsid w:val="00196954"/>
    <w:rsid w:val="00196B4E"/>
    <w:rsid w:val="00196C20"/>
    <w:rsid w:val="00196C65"/>
    <w:rsid w:val="00196CD2"/>
    <w:rsid w:val="00197346"/>
    <w:rsid w:val="001A027A"/>
    <w:rsid w:val="001A0887"/>
    <w:rsid w:val="001A08FE"/>
    <w:rsid w:val="001A0D2C"/>
    <w:rsid w:val="001A0E67"/>
    <w:rsid w:val="001A1045"/>
    <w:rsid w:val="001A22BB"/>
    <w:rsid w:val="001A2A06"/>
    <w:rsid w:val="001A2B06"/>
    <w:rsid w:val="001A2DC2"/>
    <w:rsid w:val="001A312F"/>
    <w:rsid w:val="001A3ECB"/>
    <w:rsid w:val="001A3FA1"/>
    <w:rsid w:val="001A4195"/>
    <w:rsid w:val="001A422B"/>
    <w:rsid w:val="001A43A6"/>
    <w:rsid w:val="001A440A"/>
    <w:rsid w:val="001A4A55"/>
    <w:rsid w:val="001A4BFD"/>
    <w:rsid w:val="001A5DC7"/>
    <w:rsid w:val="001A6A4F"/>
    <w:rsid w:val="001A76B7"/>
    <w:rsid w:val="001A7862"/>
    <w:rsid w:val="001A797A"/>
    <w:rsid w:val="001A7BBE"/>
    <w:rsid w:val="001B0D1E"/>
    <w:rsid w:val="001B1339"/>
    <w:rsid w:val="001B194F"/>
    <w:rsid w:val="001B1FDD"/>
    <w:rsid w:val="001B2189"/>
    <w:rsid w:val="001B2424"/>
    <w:rsid w:val="001B25E0"/>
    <w:rsid w:val="001B2C56"/>
    <w:rsid w:val="001B4747"/>
    <w:rsid w:val="001B718F"/>
    <w:rsid w:val="001B7394"/>
    <w:rsid w:val="001C03DD"/>
    <w:rsid w:val="001C04B2"/>
    <w:rsid w:val="001C0D56"/>
    <w:rsid w:val="001C17D5"/>
    <w:rsid w:val="001C1FDE"/>
    <w:rsid w:val="001C335C"/>
    <w:rsid w:val="001C3997"/>
    <w:rsid w:val="001C3C53"/>
    <w:rsid w:val="001C4A29"/>
    <w:rsid w:val="001C5839"/>
    <w:rsid w:val="001C5D51"/>
    <w:rsid w:val="001C6DD3"/>
    <w:rsid w:val="001C77E1"/>
    <w:rsid w:val="001C7ADA"/>
    <w:rsid w:val="001D0257"/>
    <w:rsid w:val="001D04D5"/>
    <w:rsid w:val="001D126D"/>
    <w:rsid w:val="001D28A6"/>
    <w:rsid w:val="001D3543"/>
    <w:rsid w:val="001D533B"/>
    <w:rsid w:val="001D58E5"/>
    <w:rsid w:val="001E17D7"/>
    <w:rsid w:val="001E2502"/>
    <w:rsid w:val="001E292F"/>
    <w:rsid w:val="001E3CB0"/>
    <w:rsid w:val="001E474D"/>
    <w:rsid w:val="001E5720"/>
    <w:rsid w:val="001E5A81"/>
    <w:rsid w:val="001E5C01"/>
    <w:rsid w:val="001E6E60"/>
    <w:rsid w:val="001E721A"/>
    <w:rsid w:val="001F018E"/>
    <w:rsid w:val="001F0349"/>
    <w:rsid w:val="001F0B74"/>
    <w:rsid w:val="001F1DE3"/>
    <w:rsid w:val="001F2423"/>
    <w:rsid w:val="001F4EB8"/>
    <w:rsid w:val="001F6F6A"/>
    <w:rsid w:val="001F78C0"/>
    <w:rsid w:val="002002AC"/>
    <w:rsid w:val="00200B4C"/>
    <w:rsid w:val="002028F3"/>
    <w:rsid w:val="0020291D"/>
    <w:rsid w:val="00202EBF"/>
    <w:rsid w:val="00203267"/>
    <w:rsid w:val="0020391D"/>
    <w:rsid w:val="002048D9"/>
    <w:rsid w:val="00204CB6"/>
    <w:rsid w:val="002050C2"/>
    <w:rsid w:val="00205F9C"/>
    <w:rsid w:val="00207159"/>
    <w:rsid w:val="002075C8"/>
    <w:rsid w:val="0020792C"/>
    <w:rsid w:val="0021033D"/>
    <w:rsid w:val="00210771"/>
    <w:rsid w:val="00211069"/>
    <w:rsid w:val="00211885"/>
    <w:rsid w:val="00211AA3"/>
    <w:rsid w:val="00212702"/>
    <w:rsid w:val="00213F98"/>
    <w:rsid w:val="002150EB"/>
    <w:rsid w:val="00215699"/>
    <w:rsid w:val="002159DE"/>
    <w:rsid w:val="00215E99"/>
    <w:rsid w:val="002163D7"/>
    <w:rsid w:val="002163EE"/>
    <w:rsid w:val="002166A6"/>
    <w:rsid w:val="00216BB6"/>
    <w:rsid w:val="0022048B"/>
    <w:rsid w:val="002209E9"/>
    <w:rsid w:val="00221193"/>
    <w:rsid w:val="00221484"/>
    <w:rsid w:val="00222DEE"/>
    <w:rsid w:val="002249F8"/>
    <w:rsid w:val="00225FC3"/>
    <w:rsid w:val="00227D49"/>
    <w:rsid w:val="00227FC7"/>
    <w:rsid w:val="00230B7A"/>
    <w:rsid w:val="00231116"/>
    <w:rsid w:val="002321A1"/>
    <w:rsid w:val="00232C23"/>
    <w:rsid w:val="00232D55"/>
    <w:rsid w:val="0023409D"/>
    <w:rsid w:val="002340A6"/>
    <w:rsid w:val="00234461"/>
    <w:rsid w:val="002346DE"/>
    <w:rsid w:val="002364B5"/>
    <w:rsid w:val="00236E72"/>
    <w:rsid w:val="00237D3E"/>
    <w:rsid w:val="00240293"/>
    <w:rsid w:val="00244ACD"/>
    <w:rsid w:val="00244BB5"/>
    <w:rsid w:val="002456DC"/>
    <w:rsid w:val="00245754"/>
    <w:rsid w:val="00245B7A"/>
    <w:rsid w:val="00246066"/>
    <w:rsid w:val="00250B28"/>
    <w:rsid w:val="00250BEA"/>
    <w:rsid w:val="00250F42"/>
    <w:rsid w:val="002520DB"/>
    <w:rsid w:val="00252946"/>
    <w:rsid w:val="00252C25"/>
    <w:rsid w:val="002539CF"/>
    <w:rsid w:val="002540BC"/>
    <w:rsid w:val="002541CA"/>
    <w:rsid w:val="00254B44"/>
    <w:rsid w:val="00254E99"/>
    <w:rsid w:val="002558AC"/>
    <w:rsid w:val="00255D20"/>
    <w:rsid w:val="00256283"/>
    <w:rsid w:val="0026027A"/>
    <w:rsid w:val="00260533"/>
    <w:rsid w:val="002609E3"/>
    <w:rsid w:val="00261A54"/>
    <w:rsid w:val="00261D37"/>
    <w:rsid w:val="002623E6"/>
    <w:rsid w:val="00263607"/>
    <w:rsid w:val="0026475E"/>
    <w:rsid w:val="002656E1"/>
    <w:rsid w:val="00265CFF"/>
    <w:rsid w:val="0026719E"/>
    <w:rsid w:val="002674F3"/>
    <w:rsid w:val="00270486"/>
    <w:rsid w:val="0027098B"/>
    <w:rsid w:val="00271440"/>
    <w:rsid w:val="002715A8"/>
    <w:rsid w:val="00271BC8"/>
    <w:rsid w:val="00272663"/>
    <w:rsid w:val="002730A6"/>
    <w:rsid w:val="0027345F"/>
    <w:rsid w:val="00275641"/>
    <w:rsid w:val="002758A0"/>
    <w:rsid w:val="00276296"/>
    <w:rsid w:val="0027637D"/>
    <w:rsid w:val="00276AD0"/>
    <w:rsid w:val="002772D9"/>
    <w:rsid w:val="002777E4"/>
    <w:rsid w:val="0027799C"/>
    <w:rsid w:val="00280AB2"/>
    <w:rsid w:val="00280C45"/>
    <w:rsid w:val="0028214B"/>
    <w:rsid w:val="002821E9"/>
    <w:rsid w:val="002824CC"/>
    <w:rsid w:val="00282A99"/>
    <w:rsid w:val="00283002"/>
    <w:rsid w:val="00284B71"/>
    <w:rsid w:val="00284F50"/>
    <w:rsid w:val="00285197"/>
    <w:rsid w:val="00285C6D"/>
    <w:rsid w:val="00285CD4"/>
    <w:rsid w:val="00285D0B"/>
    <w:rsid w:val="002870AD"/>
    <w:rsid w:val="002874F8"/>
    <w:rsid w:val="00292F66"/>
    <w:rsid w:val="0029315D"/>
    <w:rsid w:val="00293F3A"/>
    <w:rsid w:val="0029449E"/>
    <w:rsid w:val="002951CE"/>
    <w:rsid w:val="002966CD"/>
    <w:rsid w:val="00296F46"/>
    <w:rsid w:val="00296F8A"/>
    <w:rsid w:val="002A180F"/>
    <w:rsid w:val="002A1D69"/>
    <w:rsid w:val="002A1DF2"/>
    <w:rsid w:val="002A28F2"/>
    <w:rsid w:val="002A3A36"/>
    <w:rsid w:val="002A3C65"/>
    <w:rsid w:val="002A54BA"/>
    <w:rsid w:val="002A6C0B"/>
    <w:rsid w:val="002B0564"/>
    <w:rsid w:val="002B22D4"/>
    <w:rsid w:val="002B30B9"/>
    <w:rsid w:val="002B32DB"/>
    <w:rsid w:val="002B3F5C"/>
    <w:rsid w:val="002B4985"/>
    <w:rsid w:val="002B4A2A"/>
    <w:rsid w:val="002B55E1"/>
    <w:rsid w:val="002B65BF"/>
    <w:rsid w:val="002B701D"/>
    <w:rsid w:val="002B7354"/>
    <w:rsid w:val="002B755E"/>
    <w:rsid w:val="002B7969"/>
    <w:rsid w:val="002C02F5"/>
    <w:rsid w:val="002C075F"/>
    <w:rsid w:val="002C0DE8"/>
    <w:rsid w:val="002C1177"/>
    <w:rsid w:val="002C2597"/>
    <w:rsid w:val="002C2717"/>
    <w:rsid w:val="002C36D1"/>
    <w:rsid w:val="002C3EBE"/>
    <w:rsid w:val="002C59A3"/>
    <w:rsid w:val="002C704C"/>
    <w:rsid w:val="002C7725"/>
    <w:rsid w:val="002C7B95"/>
    <w:rsid w:val="002D0356"/>
    <w:rsid w:val="002D07C0"/>
    <w:rsid w:val="002D0AC1"/>
    <w:rsid w:val="002D1AE1"/>
    <w:rsid w:val="002D2718"/>
    <w:rsid w:val="002D3AFB"/>
    <w:rsid w:val="002D4A85"/>
    <w:rsid w:val="002D51C0"/>
    <w:rsid w:val="002D5C21"/>
    <w:rsid w:val="002D6288"/>
    <w:rsid w:val="002D64DF"/>
    <w:rsid w:val="002D6AF0"/>
    <w:rsid w:val="002D7FCC"/>
    <w:rsid w:val="002E0B40"/>
    <w:rsid w:val="002E190F"/>
    <w:rsid w:val="002E1B0C"/>
    <w:rsid w:val="002E2544"/>
    <w:rsid w:val="002E38DB"/>
    <w:rsid w:val="002E4A09"/>
    <w:rsid w:val="002E4ECD"/>
    <w:rsid w:val="002E4F35"/>
    <w:rsid w:val="002E517A"/>
    <w:rsid w:val="002E5DF5"/>
    <w:rsid w:val="002E65B9"/>
    <w:rsid w:val="002F1399"/>
    <w:rsid w:val="002F29CB"/>
    <w:rsid w:val="002F2B7A"/>
    <w:rsid w:val="002F3105"/>
    <w:rsid w:val="002F6FE9"/>
    <w:rsid w:val="002F72FF"/>
    <w:rsid w:val="00301228"/>
    <w:rsid w:val="003016B5"/>
    <w:rsid w:val="003016EA"/>
    <w:rsid w:val="00303DF9"/>
    <w:rsid w:val="0030463E"/>
    <w:rsid w:val="00304ED6"/>
    <w:rsid w:val="003064C1"/>
    <w:rsid w:val="00306777"/>
    <w:rsid w:val="00306BD4"/>
    <w:rsid w:val="00307396"/>
    <w:rsid w:val="00312217"/>
    <w:rsid w:val="00312505"/>
    <w:rsid w:val="0031347A"/>
    <w:rsid w:val="003136B3"/>
    <w:rsid w:val="00314F82"/>
    <w:rsid w:val="00315548"/>
    <w:rsid w:val="00315A06"/>
    <w:rsid w:val="003160C0"/>
    <w:rsid w:val="003165DD"/>
    <w:rsid w:val="00316881"/>
    <w:rsid w:val="003173D5"/>
    <w:rsid w:val="00317C08"/>
    <w:rsid w:val="00320680"/>
    <w:rsid w:val="00320CCB"/>
    <w:rsid w:val="003225FB"/>
    <w:rsid w:val="00323A7C"/>
    <w:rsid w:val="00323AEA"/>
    <w:rsid w:val="00323C32"/>
    <w:rsid w:val="00324A1D"/>
    <w:rsid w:val="00324CD3"/>
    <w:rsid w:val="003256C6"/>
    <w:rsid w:val="00325742"/>
    <w:rsid w:val="00327AB3"/>
    <w:rsid w:val="00327B4F"/>
    <w:rsid w:val="00330264"/>
    <w:rsid w:val="00331189"/>
    <w:rsid w:val="00331398"/>
    <w:rsid w:val="00331501"/>
    <w:rsid w:val="0033330A"/>
    <w:rsid w:val="003336A2"/>
    <w:rsid w:val="00336D73"/>
    <w:rsid w:val="003372CE"/>
    <w:rsid w:val="0033746B"/>
    <w:rsid w:val="00337654"/>
    <w:rsid w:val="003401C5"/>
    <w:rsid w:val="00340A4F"/>
    <w:rsid w:val="0034105B"/>
    <w:rsid w:val="003422F3"/>
    <w:rsid w:val="00342DC1"/>
    <w:rsid w:val="00343A2F"/>
    <w:rsid w:val="00343C67"/>
    <w:rsid w:val="00343F41"/>
    <w:rsid w:val="00344D3F"/>
    <w:rsid w:val="00344F68"/>
    <w:rsid w:val="00345EA7"/>
    <w:rsid w:val="0034634E"/>
    <w:rsid w:val="0034652C"/>
    <w:rsid w:val="003467D0"/>
    <w:rsid w:val="0035067B"/>
    <w:rsid w:val="00350829"/>
    <w:rsid w:val="003513CE"/>
    <w:rsid w:val="003515C0"/>
    <w:rsid w:val="003516FE"/>
    <w:rsid w:val="00351FB4"/>
    <w:rsid w:val="00352569"/>
    <w:rsid w:val="0035341E"/>
    <w:rsid w:val="00353530"/>
    <w:rsid w:val="00354BE2"/>
    <w:rsid w:val="00360494"/>
    <w:rsid w:val="00361532"/>
    <w:rsid w:val="00361B22"/>
    <w:rsid w:val="003648FB"/>
    <w:rsid w:val="00364CBD"/>
    <w:rsid w:val="0036508D"/>
    <w:rsid w:val="003651C8"/>
    <w:rsid w:val="00366E66"/>
    <w:rsid w:val="00366F3E"/>
    <w:rsid w:val="0036763D"/>
    <w:rsid w:val="00370069"/>
    <w:rsid w:val="003700A3"/>
    <w:rsid w:val="003707A8"/>
    <w:rsid w:val="00370B40"/>
    <w:rsid w:val="00371C98"/>
    <w:rsid w:val="00373411"/>
    <w:rsid w:val="00373C07"/>
    <w:rsid w:val="00373C15"/>
    <w:rsid w:val="0037450D"/>
    <w:rsid w:val="003746BA"/>
    <w:rsid w:val="003747A1"/>
    <w:rsid w:val="0037524D"/>
    <w:rsid w:val="00375F3D"/>
    <w:rsid w:val="0037661F"/>
    <w:rsid w:val="00377D40"/>
    <w:rsid w:val="00380094"/>
    <w:rsid w:val="00380AAE"/>
    <w:rsid w:val="003824B7"/>
    <w:rsid w:val="00382D41"/>
    <w:rsid w:val="00383071"/>
    <w:rsid w:val="00385464"/>
    <w:rsid w:val="00385DA6"/>
    <w:rsid w:val="00387541"/>
    <w:rsid w:val="003900BF"/>
    <w:rsid w:val="00391FAB"/>
    <w:rsid w:val="00392539"/>
    <w:rsid w:val="00392677"/>
    <w:rsid w:val="003929D2"/>
    <w:rsid w:val="003929F7"/>
    <w:rsid w:val="00392B70"/>
    <w:rsid w:val="00394981"/>
    <w:rsid w:val="003953A8"/>
    <w:rsid w:val="003956F4"/>
    <w:rsid w:val="0039788E"/>
    <w:rsid w:val="003A024D"/>
    <w:rsid w:val="003A0A19"/>
    <w:rsid w:val="003A2DE5"/>
    <w:rsid w:val="003A3551"/>
    <w:rsid w:val="003A38F0"/>
    <w:rsid w:val="003A3EF0"/>
    <w:rsid w:val="003A3F1C"/>
    <w:rsid w:val="003A443D"/>
    <w:rsid w:val="003A572F"/>
    <w:rsid w:val="003A5B87"/>
    <w:rsid w:val="003A6A5A"/>
    <w:rsid w:val="003A72E9"/>
    <w:rsid w:val="003A776F"/>
    <w:rsid w:val="003B29E9"/>
    <w:rsid w:val="003B4FA3"/>
    <w:rsid w:val="003B650F"/>
    <w:rsid w:val="003C3B07"/>
    <w:rsid w:val="003C5B1D"/>
    <w:rsid w:val="003C6010"/>
    <w:rsid w:val="003D142B"/>
    <w:rsid w:val="003D2333"/>
    <w:rsid w:val="003D3293"/>
    <w:rsid w:val="003D3835"/>
    <w:rsid w:val="003D3887"/>
    <w:rsid w:val="003D3D11"/>
    <w:rsid w:val="003D5357"/>
    <w:rsid w:val="003D53D9"/>
    <w:rsid w:val="003D5413"/>
    <w:rsid w:val="003E14AF"/>
    <w:rsid w:val="003E3D54"/>
    <w:rsid w:val="003E434F"/>
    <w:rsid w:val="003E47DE"/>
    <w:rsid w:val="003E4C55"/>
    <w:rsid w:val="003E5086"/>
    <w:rsid w:val="003E5503"/>
    <w:rsid w:val="003E7252"/>
    <w:rsid w:val="003F10D3"/>
    <w:rsid w:val="003F1548"/>
    <w:rsid w:val="003F2B3D"/>
    <w:rsid w:val="003F3105"/>
    <w:rsid w:val="003F4172"/>
    <w:rsid w:val="003F4249"/>
    <w:rsid w:val="003F5086"/>
    <w:rsid w:val="003F57FA"/>
    <w:rsid w:val="003F711C"/>
    <w:rsid w:val="00400624"/>
    <w:rsid w:val="004017BB"/>
    <w:rsid w:val="004017C0"/>
    <w:rsid w:val="004023FB"/>
    <w:rsid w:val="00403364"/>
    <w:rsid w:val="00403A27"/>
    <w:rsid w:val="0040415C"/>
    <w:rsid w:val="00404507"/>
    <w:rsid w:val="004048B6"/>
    <w:rsid w:val="004057CF"/>
    <w:rsid w:val="00406435"/>
    <w:rsid w:val="00410E79"/>
    <w:rsid w:val="0041155C"/>
    <w:rsid w:val="00411A3E"/>
    <w:rsid w:val="00413D3D"/>
    <w:rsid w:val="00413E27"/>
    <w:rsid w:val="0041450E"/>
    <w:rsid w:val="00415370"/>
    <w:rsid w:val="0041577C"/>
    <w:rsid w:val="00415781"/>
    <w:rsid w:val="00415C95"/>
    <w:rsid w:val="00416025"/>
    <w:rsid w:val="0041614A"/>
    <w:rsid w:val="00416246"/>
    <w:rsid w:val="00416613"/>
    <w:rsid w:val="00416F40"/>
    <w:rsid w:val="00417715"/>
    <w:rsid w:val="00417769"/>
    <w:rsid w:val="00420142"/>
    <w:rsid w:val="00420DCF"/>
    <w:rsid w:val="00421EF2"/>
    <w:rsid w:val="00422668"/>
    <w:rsid w:val="00423AF9"/>
    <w:rsid w:val="004244FC"/>
    <w:rsid w:val="00424698"/>
    <w:rsid w:val="00424F62"/>
    <w:rsid w:val="00424F9F"/>
    <w:rsid w:val="00426556"/>
    <w:rsid w:val="00426B75"/>
    <w:rsid w:val="004270CC"/>
    <w:rsid w:val="00427D79"/>
    <w:rsid w:val="00430F4A"/>
    <w:rsid w:val="00431AC1"/>
    <w:rsid w:val="004329C9"/>
    <w:rsid w:val="00432CD5"/>
    <w:rsid w:val="00433027"/>
    <w:rsid w:val="00433E83"/>
    <w:rsid w:val="00434577"/>
    <w:rsid w:val="00434BCD"/>
    <w:rsid w:val="004363FA"/>
    <w:rsid w:val="004364CC"/>
    <w:rsid w:val="00440349"/>
    <w:rsid w:val="004405B0"/>
    <w:rsid w:val="004412D5"/>
    <w:rsid w:val="004416CF"/>
    <w:rsid w:val="00441FF9"/>
    <w:rsid w:val="00442BD9"/>
    <w:rsid w:val="0044382F"/>
    <w:rsid w:val="004442EB"/>
    <w:rsid w:val="00444D1B"/>
    <w:rsid w:val="004450B4"/>
    <w:rsid w:val="00445FB2"/>
    <w:rsid w:val="0044792B"/>
    <w:rsid w:val="0045266C"/>
    <w:rsid w:val="0045315C"/>
    <w:rsid w:val="00453C67"/>
    <w:rsid w:val="00454597"/>
    <w:rsid w:val="004548E6"/>
    <w:rsid w:val="0045543A"/>
    <w:rsid w:val="00455C75"/>
    <w:rsid w:val="0045637C"/>
    <w:rsid w:val="00456874"/>
    <w:rsid w:val="0045758B"/>
    <w:rsid w:val="0045767F"/>
    <w:rsid w:val="004634B4"/>
    <w:rsid w:val="0046542A"/>
    <w:rsid w:val="00466385"/>
    <w:rsid w:val="00466A1E"/>
    <w:rsid w:val="00470418"/>
    <w:rsid w:val="00472AEA"/>
    <w:rsid w:val="00473AA9"/>
    <w:rsid w:val="00473E26"/>
    <w:rsid w:val="00474E48"/>
    <w:rsid w:val="00476A3D"/>
    <w:rsid w:val="0048231B"/>
    <w:rsid w:val="0048249B"/>
    <w:rsid w:val="00485E3C"/>
    <w:rsid w:val="004860E7"/>
    <w:rsid w:val="00486776"/>
    <w:rsid w:val="00486839"/>
    <w:rsid w:val="00487370"/>
    <w:rsid w:val="00487FCB"/>
    <w:rsid w:val="00491546"/>
    <w:rsid w:val="004922C4"/>
    <w:rsid w:val="00492735"/>
    <w:rsid w:val="00492D90"/>
    <w:rsid w:val="00494FC9"/>
    <w:rsid w:val="00497CEE"/>
    <w:rsid w:val="004A0C34"/>
    <w:rsid w:val="004A1DE6"/>
    <w:rsid w:val="004A201B"/>
    <w:rsid w:val="004A2FE9"/>
    <w:rsid w:val="004A3F2D"/>
    <w:rsid w:val="004A40F0"/>
    <w:rsid w:val="004A4377"/>
    <w:rsid w:val="004A4C63"/>
    <w:rsid w:val="004A57EB"/>
    <w:rsid w:val="004A5824"/>
    <w:rsid w:val="004A5DD7"/>
    <w:rsid w:val="004A6E53"/>
    <w:rsid w:val="004A6FD8"/>
    <w:rsid w:val="004A7A4A"/>
    <w:rsid w:val="004B1C00"/>
    <w:rsid w:val="004B1CAB"/>
    <w:rsid w:val="004B2A6A"/>
    <w:rsid w:val="004B36ED"/>
    <w:rsid w:val="004B612E"/>
    <w:rsid w:val="004B623B"/>
    <w:rsid w:val="004B6B4D"/>
    <w:rsid w:val="004B7053"/>
    <w:rsid w:val="004B75FC"/>
    <w:rsid w:val="004C17E5"/>
    <w:rsid w:val="004C1C6C"/>
    <w:rsid w:val="004C3E02"/>
    <w:rsid w:val="004C422D"/>
    <w:rsid w:val="004C425B"/>
    <w:rsid w:val="004C4CEB"/>
    <w:rsid w:val="004C5101"/>
    <w:rsid w:val="004C57EB"/>
    <w:rsid w:val="004C6123"/>
    <w:rsid w:val="004C6748"/>
    <w:rsid w:val="004D000F"/>
    <w:rsid w:val="004D2799"/>
    <w:rsid w:val="004D3CD9"/>
    <w:rsid w:val="004D5166"/>
    <w:rsid w:val="004D7BF4"/>
    <w:rsid w:val="004D7C92"/>
    <w:rsid w:val="004E1C24"/>
    <w:rsid w:val="004E38B2"/>
    <w:rsid w:val="004E3936"/>
    <w:rsid w:val="004E3A86"/>
    <w:rsid w:val="004E3BD5"/>
    <w:rsid w:val="004E4FEA"/>
    <w:rsid w:val="004E57F7"/>
    <w:rsid w:val="004E5C70"/>
    <w:rsid w:val="004E5D9C"/>
    <w:rsid w:val="004E5F4C"/>
    <w:rsid w:val="004E617E"/>
    <w:rsid w:val="004E63AE"/>
    <w:rsid w:val="004E6B8E"/>
    <w:rsid w:val="004E6C46"/>
    <w:rsid w:val="004E7D0C"/>
    <w:rsid w:val="004F0543"/>
    <w:rsid w:val="004F15AA"/>
    <w:rsid w:val="004F2419"/>
    <w:rsid w:val="004F3906"/>
    <w:rsid w:val="004F392B"/>
    <w:rsid w:val="004F593D"/>
    <w:rsid w:val="004F6C02"/>
    <w:rsid w:val="00500F7A"/>
    <w:rsid w:val="005012AD"/>
    <w:rsid w:val="0050179F"/>
    <w:rsid w:val="00502337"/>
    <w:rsid w:val="005027BB"/>
    <w:rsid w:val="00503448"/>
    <w:rsid w:val="005037E1"/>
    <w:rsid w:val="00503B5C"/>
    <w:rsid w:val="00503C90"/>
    <w:rsid w:val="0050456A"/>
    <w:rsid w:val="005045B4"/>
    <w:rsid w:val="00504AB8"/>
    <w:rsid w:val="00504E12"/>
    <w:rsid w:val="00505844"/>
    <w:rsid w:val="005068E1"/>
    <w:rsid w:val="005077C5"/>
    <w:rsid w:val="005105C6"/>
    <w:rsid w:val="005105CF"/>
    <w:rsid w:val="00510629"/>
    <w:rsid w:val="00510655"/>
    <w:rsid w:val="0051168A"/>
    <w:rsid w:val="005117E6"/>
    <w:rsid w:val="00511EB8"/>
    <w:rsid w:val="005122F4"/>
    <w:rsid w:val="0051506C"/>
    <w:rsid w:val="00515416"/>
    <w:rsid w:val="005156A6"/>
    <w:rsid w:val="00515A59"/>
    <w:rsid w:val="0051637E"/>
    <w:rsid w:val="00516393"/>
    <w:rsid w:val="00516CB7"/>
    <w:rsid w:val="00517826"/>
    <w:rsid w:val="005202DF"/>
    <w:rsid w:val="00520539"/>
    <w:rsid w:val="00520B4F"/>
    <w:rsid w:val="005223BC"/>
    <w:rsid w:val="005227B8"/>
    <w:rsid w:val="005227F8"/>
    <w:rsid w:val="00524AD7"/>
    <w:rsid w:val="0052585B"/>
    <w:rsid w:val="00526552"/>
    <w:rsid w:val="005304E5"/>
    <w:rsid w:val="00530C42"/>
    <w:rsid w:val="00531F6A"/>
    <w:rsid w:val="0053269A"/>
    <w:rsid w:val="00533920"/>
    <w:rsid w:val="00534162"/>
    <w:rsid w:val="00534E1E"/>
    <w:rsid w:val="00534ED8"/>
    <w:rsid w:val="00534F86"/>
    <w:rsid w:val="00535324"/>
    <w:rsid w:val="0053575F"/>
    <w:rsid w:val="00537099"/>
    <w:rsid w:val="005377CE"/>
    <w:rsid w:val="00540452"/>
    <w:rsid w:val="005406FD"/>
    <w:rsid w:val="00540F79"/>
    <w:rsid w:val="0054216F"/>
    <w:rsid w:val="00542773"/>
    <w:rsid w:val="00542F18"/>
    <w:rsid w:val="00544222"/>
    <w:rsid w:val="0054426D"/>
    <w:rsid w:val="00544853"/>
    <w:rsid w:val="00544B6F"/>
    <w:rsid w:val="00544FEF"/>
    <w:rsid w:val="005450E2"/>
    <w:rsid w:val="00545367"/>
    <w:rsid w:val="00545C21"/>
    <w:rsid w:val="00546105"/>
    <w:rsid w:val="0054715B"/>
    <w:rsid w:val="00551545"/>
    <w:rsid w:val="0055350C"/>
    <w:rsid w:val="00556CC0"/>
    <w:rsid w:val="00557078"/>
    <w:rsid w:val="0055764E"/>
    <w:rsid w:val="0056051E"/>
    <w:rsid w:val="00560528"/>
    <w:rsid w:val="005617F1"/>
    <w:rsid w:val="00561923"/>
    <w:rsid w:val="0056310A"/>
    <w:rsid w:val="00563AE1"/>
    <w:rsid w:val="00566B38"/>
    <w:rsid w:val="005671ED"/>
    <w:rsid w:val="00567CA6"/>
    <w:rsid w:val="00570B53"/>
    <w:rsid w:val="00571489"/>
    <w:rsid w:val="00571D59"/>
    <w:rsid w:val="00572E3E"/>
    <w:rsid w:val="00572FDC"/>
    <w:rsid w:val="005732B3"/>
    <w:rsid w:val="0057420B"/>
    <w:rsid w:val="00576168"/>
    <w:rsid w:val="00576D6F"/>
    <w:rsid w:val="005775ED"/>
    <w:rsid w:val="00577F50"/>
    <w:rsid w:val="00580280"/>
    <w:rsid w:val="0058135A"/>
    <w:rsid w:val="005826E4"/>
    <w:rsid w:val="00582C5F"/>
    <w:rsid w:val="00583F84"/>
    <w:rsid w:val="00584058"/>
    <w:rsid w:val="00585571"/>
    <w:rsid w:val="00585B91"/>
    <w:rsid w:val="00585F63"/>
    <w:rsid w:val="00586BF1"/>
    <w:rsid w:val="005903E4"/>
    <w:rsid w:val="00591909"/>
    <w:rsid w:val="005926CB"/>
    <w:rsid w:val="00592907"/>
    <w:rsid w:val="005931DF"/>
    <w:rsid w:val="00594C1E"/>
    <w:rsid w:val="005950D6"/>
    <w:rsid w:val="005957B7"/>
    <w:rsid w:val="0059630F"/>
    <w:rsid w:val="0059708C"/>
    <w:rsid w:val="0059751C"/>
    <w:rsid w:val="00597919"/>
    <w:rsid w:val="00597D1B"/>
    <w:rsid w:val="005A0B9F"/>
    <w:rsid w:val="005A442D"/>
    <w:rsid w:val="005A4E9A"/>
    <w:rsid w:val="005A619D"/>
    <w:rsid w:val="005A63D8"/>
    <w:rsid w:val="005A6FEF"/>
    <w:rsid w:val="005A7DBE"/>
    <w:rsid w:val="005B0236"/>
    <w:rsid w:val="005B0376"/>
    <w:rsid w:val="005B0736"/>
    <w:rsid w:val="005B0FA9"/>
    <w:rsid w:val="005B14F5"/>
    <w:rsid w:val="005B1F62"/>
    <w:rsid w:val="005B2ED3"/>
    <w:rsid w:val="005B2ED6"/>
    <w:rsid w:val="005B3125"/>
    <w:rsid w:val="005B3606"/>
    <w:rsid w:val="005B49B6"/>
    <w:rsid w:val="005B4F52"/>
    <w:rsid w:val="005B5CB6"/>
    <w:rsid w:val="005B688E"/>
    <w:rsid w:val="005B750B"/>
    <w:rsid w:val="005B7733"/>
    <w:rsid w:val="005B78E8"/>
    <w:rsid w:val="005B7A22"/>
    <w:rsid w:val="005C0602"/>
    <w:rsid w:val="005C0622"/>
    <w:rsid w:val="005C062C"/>
    <w:rsid w:val="005C2D2B"/>
    <w:rsid w:val="005C2DFA"/>
    <w:rsid w:val="005C3C84"/>
    <w:rsid w:val="005C3CA8"/>
    <w:rsid w:val="005C40C7"/>
    <w:rsid w:val="005D04A8"/>
    <w:rsid w:val="005D2998"/>
    <w:rsid w:val="005D4CF7"/>
    <w:rsid w:val="005D5347"/>
    <w:rsid w:val="005D5CC5"/>
    <w:rsid w:val="005D67FC"/>
    <w:rsid w:val="005D6812"/>
    <w:rsid w:val="005D7404"/>
    <w:rsid w:val="005D787B"/>
    <w:rsid w:val="005E12BE"/>
    <w:rsid w:val="005E248F"/>
    <w:rsid w:val="005E2B58"/>
    <w:rsid w:val="005E57B0"/>
    <w:rsid w:val="005E5C84"/>
    <w:rsid w:val="005E5D44"/>
    <w:rsid w:val="005E77F3"/>
    <w:rsid w:val="005E79E4"/>
    <w:rsid w:val="005F1851"/>
    <w:rsid w:val="005F18B9"/>
    <w:rsid w:val="005F231E"/>
    <w:rsid w:val="005F2EA8"/>
    <w:rsid w:val="005F339C"/>
    <w:rsid w:val="005F34CB"/>
    <w:rsid w:val="005F64C6"/>
    <w:rsid w:val="006007CC"/>
    <w:rsid w:val="006008F1"/>
    <w:rsid w:val="00601600"/>
    <w:rsid w:val="00601735"/>
    <w:rsid w:val="00601D29"/>
    <w:rsid w:val="006021F5"/>
    <w:rsid w:val="0060226B"/>
    <w:rsid w:val="00602AD8"/>
    <w:rsid w:val="00602BD2"/>
    <w:rsid w:val="00602D38"/>
    <w:rsid w:val="006030A9"/>
    <w:rsid w:val="00603F4B"/>
    <w:rsid w:val="0060586B"/>
    <w:rsid w:val="00605D47"/>
    <w:rsid w:val="006072F2"/>
    <w:rsid w:val="00610F0B"/>
    <w:rsid w:val="0061175F"/>
    <w:rsid w:val="006134E3"/>
    <w:rsid w:val="00613C47"/>
    <w:rsid w:val="0061453A"/>
    <w:rsid w:val="006146D5"/>
    <w:rsid w:val="00616201"/>
    <w:rsid w:val="00616225"/>
    <w:rsid w:val="006169D6"/>
    <w:rsid w:val="00617A78"/>
    <w:rsid w:val="00617A8B"/>
    <w:rsid w:val="00617D13"/>
    <w:rsid w:val="0062063E"/>
    <w:rsid w:val="00621278"/>
    <w:rsid w:val="00621C47"/>
    <w:rsid w:val="00621D5E"/>
    <w:rsid w:val="00621E6F"/>
    <w:rsid w:val="00622FEA"/>
    <w:rsid w:val="006239D9"/>
    <w:rsid w:val="00623CDF"/>
    <w:rsid w:val="00623DB1"/>
    <w:rsid w:val="00623F6D"/>
    <w:rsid w:val="006245F3"/>
    <w:rsid w:val="006247B2"/>
    <w:rsid w:val="00625843"/>
    <w:rsid w:val="006258D1"/>
    <w:rsid w:val="00627FAB"/>
    <w:rsid w:val="006304B5"/>
    <w:rsid w:val="006319CA"/>
    <w:rsid w:val="006319E0"/>
    <w:rsid w:val="00632C8B"/>
    <w:rsid w:val="00633225"/>
    <w:rsid w:val="00633A4A"/>
    <w:rsid w:val="00633C07"/>
    <w:rsid w:val="006346C5"/>
    <w:rsid w:val="00634EC0"/>
    <w:rsid w:val="0063627F"/>
    <w:rsid w:val="00636510"/>
    <w:rsid w:val="00636916"/>
    <w:rsid w:val="006378CC"/>
    <w:rsid w:val="006420A0"/>
    <w:rsid w:val="00642D72"/>
    <w:rsid w:val="00642F79"/>
    <w:rsid w:val="00643F5A"/>
    <w:rsid w:val="00643F9B"/>
    <w:rsid w:val="006443CB"/>
    <w:rsid w:val="00644402"/>
    <w:rsid w:val="00644F38"/>
    <w:rsid w:val="00644F80"/>
    <w:rsid w:val="00645867"/>
    <w:rsid w:val="00645874"/>
    <w:rsid w:val="006468F2"/>
    <w:rsid w:val="00647029"/>
    <w:rsid w:val="00647432"/>
    <w:rsid w:val="006511C3"/>
    <w:rsid w:val="00651FC1"/>
    <w:rsid w:val="00656ED0"/>
    <w:rsid w:val="00660C69"/>
    <w:rsid w:val="00661884"/>
    <w:rsid w:val="00661918"/>
    <w:rsid w:val="00662A5A"/>
    <w:rsid w:val="006653D7"/>
    <w:rsid w:val="00666373"/>
    <w:rsid w:val="006665BA"/>
    <w:rsid w:val="00666A4F"/>
    <w:rsid w:val="00667382"/>
    <w:rsid w:val="0066789D"/>
    <w:rsid w:val="006703D9"/>
    <w:rsid w:val="00673A43"/>
    <w:rsid w:val="00674466"/>
    <w:rsid w:val="00676E68"/>
    <w:rsid w:val="00677115"/>
    <w:rsid w:val="00677AC9"/>
    <w:rsid w:val="006807A4"/>
    <w:rsid w:val="00680936"/>
    <w:rsid w:val="00680D8C"/>
    <w:rsid w:val="00681A60"/>
    <w:rsid w:val="006821CA"/>
    <w:rsid w:val="0068256E"/>
    <w:rsid w:val="00682725"/>
    <w:rsid w:val="00683372"/>
    <w:rsid w:val="00686975"/>
    <w:rsid w:val="00687ACA"/>
    <w:rsid w:val="0069137B"/>
    <w:rsid w:val="00691886"/>
    <w:rsid w:val="00692117"/>
    <w:rsid w:val="00692582"/>
    <w:rsid w:val="00693652"/>
    <w:rsid w:val="006939E7"/>
    <w:rsid w:val="00693D3E"/>
    <w:rsid w:val="006942F7"/>
    <w:rsid w:val="00694C16"/>
    <w:rsid w:val="00696D81"/>
    <w:rsid w:val="006A1510"/>
    <w:rsid w:val="006A2150"/>
    <w:rsid w:val="006A241D"/>
    <w:rsid w:val="006A3288"/>
    <w:rsid w:val="006A33E0"/>
    <w:rsid w:val="006A39D8"/>
    <w:rsid w:val="006A43E6"/>
    <w:rsid w:val="006A44E2"/>
    <w:rsid w:val="006A57E1"/>
    <w:rsid w:val="006A586C"/>
    <w:rsid w:val="006A5F2E"/>
    <w:rsid w:val="006A6179"/>
    <w:rsid w:val="006A6DF9"/>
    <w:rsid w:val="006A6EC9"/>
    <w:rsid w:val="006A70BE"/>
    <w:rsid w:val="006A7F68"/>
    <w:rsid w:val="006B059F"/>
    <w:rsid w:val="006B0A4C"/>
    <w:rsid w:val="006B1B18"/>
    <w:rsid w:val="006B2084"/>
    <w:rsid w:val="006B224E"/>
    <w:rsid w:val="006B317A"/>
    <w:rsid w:val="006B6588"/>
    <w:rsid w:val="006B680E"/>
    <w:rsid w:val="006B6F32"/>
    <w:rsid w:val="006B7130"/>
    <w:rsid w:val="006C192D"/>
    <w:rsid w:val="006C2821"/>
    <w:rsid w:val="006C3009"/>
    <w:rsid w:val="006C30F1"/>
    <w:rsid w:val="006C4150"/>
    <w:rsid w:val="006C4E7E"/>
    <w:rsid w:val="006C5209"/>
    <w:rsid w:val="006C54BE"/>
    <w:rsid w:val="006C5683"/>
    <w:rsid w:val="006C5E33"/>
    <w:rsid w:val="006C5E48"/>
    <w:rsid w:val="006C6434"/>
    <w:rsid w:val="006C6623"/>
    <w:rsid w:val="006C6FB2"/>
    <w:rsid w:val="006C7F5A"/>
    <w:rsid w:val="006D013F"/>
    <w:rsid w:val="006D017F"/>
    <w:rsid w:val="006D02B1"/>
    <w:rsid w:val="006D0D76"/>
    <w:rsid w:val="006D0FFE"/>
    <w:rsid w:val="006D1263"/>
    <w:rsid w:val="006D1BDE"/>
    <w:rsid w:val="006D1D3F"/>
    <w:rsid w:val="006D253B"/>
    <w:rsid w:val="006D2699"/>
    <w:rsid w:val="006D310A"/>
    <w:rsid w:val="006D39A0"/>
    <w:rsid w:val="006D3B38"/>
    <w:rsid w:val="006D3C45"/>
    <w:rsid w:val="006D45E8"/>
    <w:rsid w:val="006D57CB"/>
    <w:rsid w:val="006D617E"/>
    <w:rsid w:val="006D6CDD"/>
    <w:rsid w:val="006E051C"/>
    <w:rsid w:val="006E0CC8"/>
    <w:rsid w:val="006E4238"/>
    <w:rsid w:val="006E4669"/>
    <w:rsid w:val="006E468B"/>
    <w:rsid w:val="006E497B"/>
    <w:rsid w:val="006E51F3"/>
    <w:rsid w:val="006E554A"/>
    <w:rsid w:val="006E61A7"/>
    <w:rsid w:val="006E67AF"/>
    <w:rsid w:val="006E78D9"/>
    <w:rsid w:val="006E7B97"/>
    <w:rsid w:val="006F06E3"/>
    <w:rsid w:val="006F0B0A"/>
    <w:rsid w:val="006F0EDD"/>
    <w:rsid w:val="006F281F"/>
    <w:rsid w:val="006F37BE"/>
    <w:rsid w:val="006F45C7"/>
    <w:rsid w:val="006F4714"/>
    <w:rsid w:val="006F4AE7"/>
    <w:rsid w:val="006F4C84"/>
    <w:rsid w:val="006F6D4C"/>
    <w:rsid w:val="006F6E67"/>
    <w:rsid w:val="006F7157"/>
    <w:rsid w:val="006F78E0"/>
    <w:rsid w:val="00702B1B"/>
    <w:rsid w:val="007039E0"/>
    <w:rsid w:val="00704164"/>
    <w:rsid w:val="007043D5"/>
    <w:rsid w:val="00704402"/>
    <w:rsid w:val="00704A72"/>
    <w:rsid w:val="00706047"/>
    <w:rsid w:val="00706762"/>
    <w:rsid w:val="00706A58"/>
    <w:rsid w:val="00706C60"/>
    <w:rsid w:val="00706F95"/>
    <w:rsid w:val="00707275"/>
    <w:rsid w:val="00707398"/>
    <w:rsid w:val="0070758D"/>
    <w:rsid w:val="00707EAB"/>
    <w:rsid w:val="00710A71"/>
    <w:rsid w:val="007110E1"/>
    <w:rsid w:val="007139BB"/>
    <w:rsid w:val="00714394"/>
    <w:rsid w:val="00714910"/>
    <w:rsid w:val="00714C8D"/>
    <w:rsid w:val="00714C8F"/>
    <w:rsid w:val="007168F8"/>
    <w:rsid w:val="00717A0D"/>
    <w:rsid w:val="007205A6"/>
    <w:rsid w:val="00721F7E"/>
    <w:rsid w:val="00722E29"/>
    <w:rsid w:val="00722F5A"/>
    <w:rsid w:val="007236FD"/>
    <w:rsid w:val="00724606"/>
    <w:rsid w:val="00724E85"/>
    <w:rsid w:val="00731866"/>
    <w:rsid w:val="00731C26"/>
    <w:rsid w:val="00732A13"/>
    <w:rsid w:val="007332DD"/>
    <w:rsid w:val="00734887"/>
    <w:rsid w:val="007349FA"/>
    <w:rsid w:val="0073511C"/>
    <w:rsid w:val="007357A5"/>
    <w:rsid w:val="00735E4A"/>
    <w:rsid w:val="007365A7"/>
    <w:rsid w:val="007365B6"/>
    <w:rsid w:val="007401E2"/>
    <w:rsid w:val="00740702"/>
    <w:rsid w:val="00740961"/>
    <w:rsid w:val="007411E5"/>
    <w:rsid w:val="0074160E"/>
    <w:rsid w:val="00741BC0"/>
    <w:rsid w:val="007420C8"/>
    <w:rsid w:val="00743A27"/>
    <w:rsid w:val="00745CB7"/>
    <w:rsid w:val="007463CC"/>
    <w:rsid w:val="00746951"/>
    <w:rsid w:val="00746C30"/>
    <w:rsid w:val="0074701B"/>
    <w:rsid w:val="00747144"/>
    <w:rsid w:val="0074791E"/>
    <w:rsid w:val="007500C7"/>
    <w:rsid w:val="007505A4"/>
    <w:rsid w:val="0075115D"/>
    <w:rsid w:val="00751374"/>
    <w:rsid w:val="00751AC1"/>
    <w:rsid w:val="00753890"/>
    <w:rsid w:val="00754508"/>
    <w:rsid w:val="007555DF"/>
    <w:rsid w:val="0075647D"/>
    <w:rsid w:val="00756A54"/>
    <w:rsid w:val="00761434"/>
    <w:rsid w:val="00761FD5"/>
    <w:rsid w:val="00765455"/>
    <w:rsid w:val="0076583D"/>
    <w:rsid w:val="00765999"/>
    <w:rsid w:val="00765DD8"/>
    <w:rsid w:val="00766D36"/>
    <w:rsid w:val="00767607"/>
    <w:rsid w:val="00767D72"/>
    <w:rsid w:val="00770D9E"/>
    <w:rsid w:val="00771CD2"/>
    <w:rsid w:val="00771F5C"/>
    <w:rsid w:val="007720D4"/>
    <w:rsid w:val="0077345D"/>
    <w:rsid w:val="00773874"/>
    <w:rsid w:val="00774126"/>
    <w:rsid w:val="0077531F"/>
    <w:rsid w:val="00775402"/>
    <w:rsid w:val="00775B93"/>
    <w:rsid w:val="00776FB2"/>
    <w:rsid w:val="0077781A"/>
    <w:rsid w:val="00777AAA"/>
    <w:rsid w:val="00777F01"/>
    <w:rsid w:val="007829E3"/>
    <w:rsid w:val="00783ED2"/>
    <w:rsid w:val="007840F3"/>
    <w:rsid w:val="00785491"/>
    <w:rsid w:val="007858C0"/>
    <w:rsid w:val="00785E94"/>
    <w:rsid w:val="0078679A"/>
    <w:rsid w:val="0078741F"/>
    <w:rsid w:val="00787929"/>
    <w:rsid w:val="00792447"/>
    <w:rsid w:val="00792A6F"/>
    <w:rsid w:val="00792D33"/>
    <w:rsid w:val="007931FB"/>
    <w:rsid w:val="00796006"/>
    <w:rsid w:val="0079694C"/>
    <w:rsid w:val="007A0270"/>
    <w:rsid w:val="007A10E2"/>
    <w:rsid w:val="007A147E"/>
    <w:rsid w:val="007A3444"/>
    <w:rsid w:val="007A3A37"/>
    <w:rsid w:val="007A48D1"/>
    <w:rsid w:val="007A4DE2"/>
    <w:rsid w:val="007A4E17"/>
    <w:rsid w:val="007A5170"/>
    <w:rsid w:val="007A5A7E"/>
    <w:rsid w:val="007A5B8D"/>
    <w:rsid w:val="007A6630"/>
    <w:rsid w:val="007A6FD4"/>
    <w:rsid w:val="007A7752"/>
    <w:rsid w:val="007A7AFE"/>
    <w:rsid w:val="007A7F6D"/>
    <w:rsid w:val="007B02EA"/>
    <w:rsid w:val="007B1559"/>
    <w:rsid w:val="007B1BAF"/>
    <w:rsid w:val="007B1FCC"/>
    <w:rsid w:val="007B29E0"/>
    <w:rsid w:val="007B4942"/>
    <w:rsid w:val="007B4F72"/>
    <w:rsid w:val="007B6633"/>
    <w:rsid w:val="007B6C0F"/>
    <w:rsid w:val="007B7A74"/>
    <w:rsid w:val="007C08D6"/>
    <w:rsid w:val="007C0971"/>
    <w:rsid w:val="007C0E04"/>
    <w:rsid w:val="007C195F"/>
    <w:rsid w:val="007C2827"/>
    <w:rsid w:val="007C355F"/>
    <w:rsid w:val="007C3A26"/>
    <w:rsid w:val="007C46D1"/>
    <w:rsid w:val="007C49BC"/>
    <w:rsid w:val="007C49EF"/>
    <w:rsid w:val="007C536C"/>
    <w:rsid w:val="007C5B97"/>
    <w:rsid w:val="007C71D4"/>
    <w:rsid w:val="007C74B5"/>
    <w:rsid w:val="007C74E5"/>
    <w:rsid w:val="007D00B0"/>
    <w:rsid w:val="007D0D16"/>
    <w:rsid w:val="007D0E43"/>
    <w:rsid w:val="007D0F4E"/>
    <w:rsid w:val="007D13E7"/>
    <w:rsid w:val="007D1E37"/>
    <w:rsid w:val="007D2FF9"/>
    <w:rsid w:val="007D4C55"/>
    <w:rsid w:val="007D563E"/>
    <w:rsid w:val="007D5A13"/>
    <w:rsid w:val="007D5FC1"/>
    <w:rsid w:val="007D715A"/>
    <w:rsid w:val="007D741C"/>
    <w:rsid w:val="007D7B3C"/>
    <w:rsid w:val="007D7DC8"/>
    <w:rsid w:val="007E0251"/>
    <w:rsid w:val="007E0E9E"/>
    <w:rsid w:val="007E21FB"/>
    <w:rsid w:val="007E420B"/>
    <w:rsid w:val="007E4932"/>
    <w:rsid w:val="007E4F1C"/>
    <w:rsid w:val="007E502C"/>
    <w:rsid w:val="007E5BD7"/>
    <w:rsid w:val="007E7968"/>
    <w:rsid w:val="007F013A"/>
    <w:rsid w:val="007F03FF"/>
    <w:rsid w:val="007F20AE"/>
    <w:rsid w:val="007F2AC7"/>
    <w:rsid w:val="007F2D90"/>
    <w:rsid w:val="007F38EB"/>
    <w:rsid w:val="007F3A83"/>
    <w:rsid w:val="007F4F82"/>
    <w:rsid w:val="007F561C"/>
    <w:rsid w:val="007F5811"/>
    <w:rsid w:val="00800840"/>
    <w:rsid w:val="0080121F"/>
    <w:rsid w:val="008017CC"/>
    <w:rsid w:val="00802D0C"/>
    <w:rsid w:val="00802FE3"/>
    <w:rsid w:val="00803441"/>
    <w:rsid w:val="00804653"/>
    <w:rsid w:val="00806A84"/>
    <w:rsid w:val="00807C6C"/>
    <w:rsid w:val="0081114B"/>
    <w:rsid w:val="00811336"/>
    <w:rsid w:val="00811C98"/>
    <w:rsid w:val="0081340B"/>
    <w:rsid w:val="00815581"/>
    <w:rsid w:val="00817BB4"/>
    <w:rsid w:val="00817D3A"/>
    <w:rsid w:val="00820D34"/>
    <w:rsid w:val="00821021"/>
    <w:rsid w:val="008214BB"/>
    <w:rsid w:val="00821AE1"/>
    <w:rsid w:val="00821B58"/>
    <w:rsid w:val="00822D4E"/>
    <w:rsid w:val="00823B36"/>
    <w:rsid w:val="008257BB"/>
    <w:rsid w:val="00826F4C"/>
    <w:rsid w:val="0083115B"/>
    <w:rsid w:val="00832A11"/>
    <w:rsid w:val="008337F1"/>
    <w:rsid w:val="00834900"/>
    <w:rsid w:val="00835AA2"/>
    <w:rsid w:val="008377DA"/>
    <w:rsid w:val="00837B84"/>
    <w:rsid w:val="00845A15"/>
    <w:rsid w:val="0084620D"/>
    <w:rsid w:val="0084632F"/>
    <w:rsid w:val="0084774C"/>
    <w:rsid w:val="0085471E"/>
    <w:rsid w:val="00855B06"/>
    <w:rsid w:val="00856596"/>
    <w:rsid w:val="00857D29"/>
    <w:rsid w:val="00857DF4"/>
    <w:rsid w:val="008601BD"/>
    <w:rsid w:val="00860FD2"/>
    <w:rsid w:val="008615A8"/>
    <w:rsid w:val="008629A8"/>
    <w:rsid w:val="00862B02"/>
    <w:rsid w:val="00862E84"/>
    <w:rsid w:val="00863270"/>
    <w:rsid w:val="00864169"/>
    <w:rsid w:val="008645C3"/>
    <w:rsid w:val="008645D1"/>
    <w:rsid w:val="00864622"/>
    <w:rsid w:val="00865139"/>
    <w:rsid w:val="0086564D"/>
    <w:rsid w:val="0086632C"/>
    <w:rsid w:val="00866AC6"/>
    <w:rsid w:val="00867407"/>
    <w:rsid w:val="008706CA"/>
    <w:rsid w:val="00870CB6"/>
    <w:rsid w:val="0087142E"/>
    <w:rsid w:val="00871A77"/>
    <w:rsid w:val="00872E75"/>
    <w:rsid w:val="0087378E"/>
    <w:rsid w:val="008739D0"/>
    <w:rsid w:val="00873FEA"/>
    <w:rsid w:val="0087419B"/>
    <w:rsid w:val="00874592"/>
    <w:rsid w:val="00874AF5"/>
    <w:rsid w:val="008756CE"/>
    <w:rsid w:val="0087745E"/>
    <w:rsid w:val="0087757E"/>
    <w:rsid w:val="00881074"/>
    <w:rsid w:val="00881693"/>
    <w:rsid w:val="008818F6"/>
    <w:rsid w:val="0088293C"/>
    <w:rsid w:val="00882C24"/>
    <w:rsid w:val="0088398E"/>
    <w:rsid w:val="008839EA"/>
    <w:rsid w:val="00883AA3"/>
    <w:rsid w:val="00884F18"/>
    <w:rsid w:val="00885698"/>
    <w:rsid w:val="00886532"/>
    <w:rsid w:val="00886C16"/>
    <w:rsid w:val="0088705B"/>
    <w:rsid w:val="008873C9"/>
    <w:rsid w:val="00887E02"/>
    <w:rsid w:val="00892952"/>
    <w:rsid w:val="00892A2E"/>
    <w:rsid w:val="00892F60"/>
    <w:rsid w:val="00893479"/>
    <w:rsid w:val="00893CFD"/>
    <w:rsid w:val="008943F5"/>
    <w:rsid w:val="008945E6"/>
    <w:rsid w:val="00897AD9"/>
    <w:rsid w:val="008A03F6"/>
    <w:rsid w:val="008A09DF"/>
    <w:rsid w:val="008A1C47"/>
    <w:rsid w:val="008A356D"/>
    <w:rsid w:val="008A483B"/>
    <w:rsid w:val="008A5290"/>
    <w:rsid w:val="008A593A"/>
    <w:rsid w:val="008A5B85"/>
    <w:rsid w:val="008A6C5A"/>
    <w:rsid w:val="008B047B"/>
    <w:rsid w:val="008B05A3"/>
    <w:rsid w:val="008B2DF3"/>
    <w:rsid w:val="008B376A"/>
    <w:rsid w:val="008B6CAF"/>
    <w:rsid w:val="008B7220"/>
    <w:rsid w:val="008B7620"/>
    <w:rsid w:val="008B7C94"/>
    <w:rsid w:val="008C0237"/>
    <w:rsid w:val="008C0740"/>
    <w:rsid w:val="008C08A5"/>
    <w:rsid w:val="008C0F63"/>
    <w:rsid w:val="008C28FF"/>
    <w:rsid w:val="008C382C"/>
    <w:rsid w:val="008C588D"/>
    <w:rsid w:val="008C64E3"/>
    <w:rsid w:val="008C778B"/>
    <w:rsid w:val="008C77CC"/>
    <w:rsid w:val="008D0316"/>
    <w:rsid w:val="008D0D1E"/>
    <w:rsid w:val="008D48A2"/>
    <w:rsid w:val="008D6554"/>
    <w:rsid w:val="008E0F84"/>
    <w:rsid w:val="008E1E54"/>
    <w:rsid w:val="008E23D6"/>
    <w:rsid w:val="008E2DBF"/>
    <w:rsid w:val="008E3A28"/>
    <w:rsid w:val="008E3C88"/>
    <w:rsid w:val="008E5B6B"/>
    <w:rsid w:val="008E67E1"/>
    <w:rsid w:val="008E7F14"/>
    <w:rsid w:val="008F022C"/>
    <w:rsid w:val="008F026E"/>
    <w:rsid w:val="008F1E7A"/>
    <w:rsid w:val="008F202A"/>
    <w:rsid w:val="008F2918"/>
    <w:rsid w:val="008F2F39"/>
    <w:rsid w:val="008F30FD"/>
    <w:rsid w:val="008F3D6A"/>
    <w:rsid w:val="008F5C74"/>
    <w:rsid w:val="008F65EB"/>
    <w:rsid w:val="008F6DEF"/>
    <w:rsid w:val="008F7989"/>
    <w:rsid w:val="00900213"/>
    <w:rsid w:val="009033EC"/>
    <w:rsid w:val="0090428E"/>
    <w:rsid w:val="00906552"/>
    <w:rsid w:val="00906F27"/>
    <w:rsid w:val="00910127"/>
    <w:rsid w:val="009108C2"/>
    <w:rsid w:val="00911BF1"/>
    <w:rsid w:val="00912253"/>
    <w:rsid w:val="009123D9"/>
    <w:rsid w:val="00913927"/>
    <w:rsid w:val="009142AB"/>
    <w:rsid w:val="009143FB"/>
    <w:rsid w:val="0091521A"/>
    <w:rsid w:val="00915B35"/>
    <w:rsid w:val="00915FFB"/>
    <w:rsid w:val="00917D2C"/>
    <w:rsid w:val="009207DB"/>
    <w:rsid w:val="00922024"/>
    <w:rsid w:val="0092436F"/>
    <w:rsid w:val="00925087"/>
    <w:rsid w:val="00925501"/>
    <w:rsid w:val="00925E01"/>
    <w:rsid w:val="00926982"/>
    <w:rsid w:val="009270C4"/>
    <w:rsid w:val="00927763"/>
    <w:rsid w:val="0093037E"/>
    <w:rsid w:val="009309B2"/>
    <w:rsid w:val="00935734"/>
    <w:rsid w:val="0093740F"/>
    <w:rsid w:val="00937B4A"/>
    <w:rsid w:val="00937C1D"/>
    <w:rsid w:val="00937E98"/>
    <w:rsid w:val="00940446"/>
    <w:rsid w:val="00940FC3"/>
    <w:rsid w:val="0094131D"/>
    <w:rsid w:val="00941510"/>
    <w:rsid w:val="00942120"/>
    <w:rsid w:val="0094224D"/>
    <w:rsid w:val="009425F7"/>
    <w:rsid w:val="00943729"/>
    <w:rsid w:val="00943BEB"/>
    <w:rsid w:val="00944BF0"/>
    <w:rsid w:val="00945316"/>
    <w:rsid w:val="009453BE"/>
    <w:rsid w:val="00945DF9"/>
    <w:rsid w:val="00945F8E"/>
    <w:rsid w:val="00947E24"/>
    <w:rsid w:val="009500DA"/>
    <w:rsid w:val="00950AE5"/>
    <w:rsid w:val="0095125B"/>
    <w:rsid w:val="00951BB6"/>
    <w:rsid w:val="00954282"/>
    <w:rsid w:val="00954427"/>
    <w:rsid w:val="0095518B"/>
    <w:rsid w:val="009563E5"/>
    <w:rsid w:val="009573EC"/>
    <w:rsid w:val="00960F3E"/>
    <w:rsid w:val="00961837"/>
    <w:rsid w:val="00962EE4"/>
    <w:rsid w:val="009634F3"/>
    <w:rsid w:val="0096454B"/>
    <w:rsid w:val="00964D19"/>
    <w:rsid w:val="00964EE1"/>
    <w:rsid w:val="0096595C"/>
    <w:rsid w:val="009663AC"/>
    <w:rsid w:val="0096797D"/>
    <w:rsid w:val="00970AC6"/>
    <w:rsid w:val="0097160D"/>
    <w:rsid w:val="00971747"/>
    <w:rsid w:val="00971C40"/>
    <w:rsid w:val="009721C5"/>
    <w:rsid w:val="00972305"/>
    <w:rsid w:val="009729D4"/>
    <w:rsid w:val="0097376D"/>
    <w:rsid w:val="009759CB"/>
    <w:rsid w:val="00975C75"/>
    <w:rsid w:val="00975DF3"/>
    <w:rsid w:val="009771DB"/>
    <w:rsid w:val="00981456"/>
    <w:rsid w:val="00981483"/>
    <w:rsid w:val="0098177A"/>
    <w:rsid w:val="00982251"/>
    <w:rsid w:val="009825BD"/>
    <w:rsid w:val="00983471"/>
    <w:rsid w:val="00983EFD"/>
    <w:rsid w:val="0098402C"/>
    <w:rsid w:val="0098610C"/>
    <w:rsid w:val="00986257"/>
    <w:rsid w:val="00986861"/>
    <w:rsid w:val="00986882"/>
    <w:rsid w:val="00986F12"/>
    <w:rsid w:val="00987CBC"/>
    <w:rsid w:val="00990C04"/>
    <w:rsid w:val="0099120F"/>
    <w:rsid w:val="00991367"/>
    <w:rsid w:val="00992557"/>
    <w:rsid w:val="00992EA2"/>
    <w:rsid w:val="00995198"/>
    <w:rsid w:val="00996326"/>
    <w:rsid w:val="00996817"/>
    <w:rsid w:val="009A1078"/>
    <w:rsid w:val="009A269B"/>
    <w:rsid w:val="009A2B4B"/>
    <w:rsid w:val="009A44E8"/>
    <w:rsid w:val="009A50F1"/>
    <w:rsid w:val="009A5C53"/>
    <w:rsid w:val="009A5D03"/>
    <w:rsid w:val="009A7492"/>
    <w:rsid w:val="009B0692"/>
    <w:rsid w:val="009B1DA5"/>
    <w:rsid w:val="009B27C7"/>
    <w:rsid w:val="009B28FD"/>
    <w:rsid w:val="009B2AD6"/>
    <w:rsid w:val="009B359A"/>
    <w:rsid w:val="009B4641"/>
    <w:rsid w:val="009B4FBA"/>
    <w:rsid w:val="009B5218"/>
    <w:rsid w:val="009B5594"/>
    <w:rsid w:val="009B55D0"/>
    <w:rsid w:val="009B5A4E"/>
    <w:rsid w:val="009B6312"/>
    <w:rsid w:val="009B712A"/>
    <w:rsid w:val="009B729E"/>
    <w:rsid w:val="009B7498"/>
    <w:rsid w:val="009C34C2"/>
    <w:rsid w:val="009C3D84"/>
    <w:rsid w:val="009C528F"/>
    <w:rsid w:val="009C5BA0"/>
    <w:rsid w:val="009C5F38"/>
    <w:rsid w:val="009C7B1D"/>
    <w:rsid w:val="009D03F1"/>
    <w:rsid w:val="009D0782"/>
    <w:rsid w:val="009D0AA2"/>
    <w:rsid w:val="009D0C74"/>
    <w:rsid w:val="009D1CF4"/>
    <w:rsid w:val="009D23AA"/>
    <w:rsid w:val="009D380F"/>
    <w:rsid w:val="009D57A7"/>
    <w:rsid w:val="009E13E4"/>
    <w:rsid w:val="009E13FA"/>
    <w:rsid w:val="009E3294"/>
    <w:rsid w:val="009E3425"/>
    <w:rsid w:val="009E39F7"/>
    <w:rsid w:val="009E54C5"/>
    <w:rsid w:val="009E6321"/>
    <w:rsid w:val="009E68A1"/>
    <w:rsid w:val="009E6CE9"/>
    <w:rsid w:val="009E6DD0"/>
    <w:rsid w:val="009E6E0C"/>
    <w:rsid w:val="009E75F2"/>
    <w:rsid w:val="009E7C03"/>
    <w:rsid w:val="009E7CC7"/>
    <w:rsid w:val="009F0096"/>
    <w:rsid w:val="009F0579"/>
    <w:rsid w:val="009F09C1"/>
    <w:rsid w:val="009F0BD9"/>
    <w:rsid w:val="009F1206"/>
    <w:rsid w:val="009F1EA4"/>
    <w:rsid w:val="009F23FF"/>
    <w:rsid w:val="009F33FA"/>
    <w:rsid w:val="009F43EE"/>
    <w:rsid w:val="009F57C1"/>
    <w:rsid w:val="009F601F"/>
    <w:rsid w:val="009F666B"/>
    <w:rsid w:val="009F7285"/>
    <w:rsid w:val="009F7314"/>
    <w:rsid w:val="00A005AC"/>
    <w:rsid w:val="00A01C1F"/>
    <w:rsid w:val="00A01C98"/>
    <w:rsid w:val="00A02F54"/>
    <w:rsid w:val="00A03863"/>
    <w:rsid w:val="00A039EC"/>
    <w:rsid w:val="00A03A63"/>
    <w:rsid w:val="00A04D21"/>
    <w:rsid w:val="00A05AC8"/>
    <w:rsid w:val="00A069E7"/>
    <w:rsid w:val="00A06A54"/>
    <w:rsid w:val="00A06BE6"/>
    <w:rsid w:val="00A07367"/>
    <w:rsid w:val="00A07D02"/>
    <w:rsid w:val="00A10423"/>
    <w:rsid w:val="00A1049B"/>
    <w:rsid w:val="00A10841"/>
    <w:rsid w:val="00A10AD7"/>
    <w:rsid w:val="00A10B65"/>
    <w:rsid w:val="00A1293D"/>
    <w:rsid w:val="00A12FDA"/>
    <w:rsid w:val="00A13303"/>
    <w:rsid w:val="00A151AC"/>
    <w:rsid w:val="00A15A52"/>
    <w:rsid w:val="00A16054"/>
    <w:rsid w:val="00A163A6"/>
    <w:rsid w:val="00A17755"/>
    <w:rsid w:val="00A17EBF"/>
    <w:rsid w:val="00A22F1C"/>
    <w:rsid w:val="00A231D4"/>
    <w:rsid w:val="00A23D04"/>
    <w:rsid w:val="00A23E0E"/>
    <w:rsid w:val="00A24024"/>
    <w:rsid w:val="00A2466E"/>
    <w:rsid w:val="00A247D1"/>
    <w:rsid w:val="00A254F7"/>
    <w:rsid w:val="00A268F5"/>
    <w:rsid w:val="00A31169"/>
    <w:rsid w:val="00A311AD"/>
    <w:rsid w:val="00A32211"/>
    <w:rsid w:val="00A34114"/>
    <w:rsid w:val="00A34347"/>
    <w:rsid w:val="00A34627"/>
    <w:rsid w:val="00A3497D"/>
    <w:rsid w:val="00A34C81"/>
    <w:rsid w:val="00A34E19"/>
    <w:rsid w:val="00A366A6"/>
    <w:rsid w:val="00A37C64"/>
    <w:rsid w:val="00A409EC"/>
    <w:rsid w:val="00A40D0C"/>
    <w:rsid w:val="00A41302"/>
    <w:rsid w:val="00A41AE1"/>
    <w:rsid w:val="00A41C59"/>
    <w:rsid w:val="00A41E62"/>
    <w:rsid w:val="00A42C2A"/>
    <w:rsid w:val="00A45B3C"/>
    <w:rsid w:val="00A45FF7"/>
    <w:rsid w:val="00A46506"/>
    <w:rsid w:val="00A47029"/>
    <w:rsid w:val="00A47B69"/>
    <w:rsid w:val="00A50299"/>
    <w:rsid w:val="00A5072F"/>
    <w:rsid w:val="00A508AD"/>
    <w:rsid w:val="00A53519"/>
    <w:rsid w:val="00A53768"/>
    <w:rsid w:val="00A5454F"/>
    <w:rsid w:val="00A5510E"/>
    <w:rsid w:val="00A559F4"/>
    <w:rsid w:val="00A56547"/>
    <w:rsid w:val="00A56713"/>
    <w:rsid w:val="00A570E0"/>
    <w:rsid w:val="00A573EB"/>
    <w:rsid w:val="00A57604"/>
    <w:rsid w:val="00A57F4A"/>
    <w:rsid w:val="00A606A0"/>
    <w:rsid w:val="00A61263"/>
    <w:rsid w:val="00A614AD"/>
    <w:rsid w:val="00A6181B"/>
    <w:rsid w:val="00A61886"/>
    <w:rsid w:val="00A62CA1"/>
    <w:rsid w:val="00A63022"/>
    <w:rsid w:val="00A6332A"/>
    <w:rsid w:val="00A63D89"/>
    <w:rsid w:val="00A64FEF"/>
    <w:rsid w:val="00A65177"/>
    <w:rsid w:val="00A665C4"/>
    <w:rsid w:val="00A6670F"/>
    <w:rsid w:val="00A66E04"/>
    <w:rsid w:val="00A671B3"/>
    <w:rsid w:val="00A677D1"/>
    <w:rsid w:val="00A70927"/>
    <w:rsid w:val="00A71DE3"/>
    <w:rsid w:val="00A72223"/>
    <w:rsid w:val="00A72317"/>
    <w:rsid w:val="00A7413B"/>
    <w:rsid w:val="00A7490E"/>
    <w:rsid w:val="00A75275"/>
    <w:rsid w:val="00A76063"/>
    <w:rsid w:val="00A771BF"/>
    <w:rsid w:val="00A81953"/>
    <w:rsid w:val="00A819CF"/>
    <w:rsid w:val="00A835AC"/>
    <w:rsid w:val="00A83976"/>
    <w:rsid w:val="00A84421"/>
    <w:rsid w:val="00A84FC9"/>
    <w:rsid w:val="00A861F3"/>
    <w:rsid w:val="00A86F8F"/>
    <w:rsid w:val="00A87116"/>
    <w:rsid w:val="00A90D73"/>
    <w:rsid w:val="00A90DB1"/>
    <w:rsid w:val="00A9147B"/>
    <w:rsid w:val="00A91BA8"/>
    <w:rsid w:val="00A91EF1"/>
    <w:rsid w:val="00A91EF2"/>
    <w:rsid w:val="00A9325C"/>
    <w:rsid w:val="00A962FF"/>
    <w:rsid w:val="00A96FC6"/>
    <w:rsid w:val="00A97B61"/>
    <w:rsid w:val="00A97C8C"/>
    <w:rsid w:val="00AA009C"/>
    <w:rsid w:val="00AA01DA"/>
    <w:rsid w:val="00AA0CCF"/>
    <w:rsid w:val="00AA19AB"/>
    <w:rsid w:val="00AA1F46"/>
    <w:rsid w:val="00AA22D2"/>
    <w:rsid w:val="00AA33ED"/>
    <w:rsid w:val="00AA40CE"/>
    <w:rsid w:val="00AA40DA"/>
    <w:rsid w:val="00AA450C"/>
    <w:rsid w:val="00AA5FA1"/>
    <w:rsid w:val="00AA60BE"/>
    <w:rsid w:val="00AA66DA"/>
    <w:rsid w:val="00AA6766"/>
    <w:rsid w:val="00AB1287"/>
    <w:rsid w:val="00AB1B60"/>
    <w:rsid w:val="00AB1CE8"/>
    <w:rsid w:val="00AB2084"/>
    <w:rsid w:val="00AB2378"/>
    <w:rsid w:val="00AB24C1"/>
    <w:rsid w:val="00AB2770"/>
    <w:rsid w:val="00AB3594"/>
    <w:rsid w:val="00AB3D7C"/>
    <w:rsid w:val="00AB411F"/>
    <w:rsid w:val="00AB423C"/>
    <w:rsid w:val="00AB4748"/>
    <w:rsid w:val="00AB48EA"/>
    <w:rsid w:val="00AB4CE7"/>
    <w:rsid w:val="00AB5A7D"/>
    <w:rsid w:val="00AB5B22"/>
    <w:rsid w:val="00AB6700"/>
    <w:rsid w:val="00AB6DFC"/>
    <w:rsid w:val="00AC020F"/>
    <w:rsid w:val="00AC35A2"/>
    <w:rsid w:val="00AC3CA8"/>
    <w:rsid w:val="00AC3DB7"/>
    <w:rsid w:val="00AC3E88"/>
    <w:rsid w:val="00AC68FB"/>
    <w:rsid w:val="00AC7590"/>
    <w:rsid w:val="00AC7899"/>
    <w:rsid w:val="00AC7F00"/>
    <w:rsid w:val="00AD1053"/>
    <w:rsid w:val="00AD3C68"/>
    <w:rsid w:val="00AD3DE1"/>
    <w:rsid w:val="00AD41A2"/>
    <w:rsid w:val="00AD4658"/>
    <w:rsid w:val="00AD752F"/>
    <w:rsid w:val="00AD7CDB"/>
    <w:rsid w:val="00AE1459"/>
    <w:rsid w:val="00AE2C1C"/>
    <w:rsid w:val="00AE55BC"/>
    <w:rsid w:val="00AE5961"/>
    <w:rsid w:val="00AE686D"/>
    <w:rsid w:val="00AE6B27"/>
    <w:rsid w:val="00AF0F96"/>
    <w:rsid w:val="00AF179C"/>
    <w:rsid w:val="00AF21D7"/>
    <w:rsid w:val="00AF28EB"/>
    <w:rsid w:val="00AF4C12"/>
    <w:rsid w:val="00AF5125"/>
    <w:rsid w:val="00AF576F"/>
    <w:rsid w:val="00B00ED5"/>
    <w:rsid w:val="00B02730"/>
    <w:rsid w:val="00B02BF0"/>
    <w:rsid w:val="00B03AB4"/>
    <w:rsid w:val="00B04545"/>
    <w:rsid w:val="00B04E75"/>
    <w:rsid w:val="00B05B91"/>
    <w:rsid w:val="00B05C99"/>
    <w:rsid w:val="00B077CC"/>
    <w:rsid w:val="00B07953"/>
    <w:rsid w:val="00B10073"/>
    <w:rsid w:val="00B11858"/>
    <w:rsid w:val="00B11E3C"/>
    <w:rsid w:val="00B143F8"/>
    <w:rsid w:val="00B1522C"/>
    <w:rsid w:val="00B15BB2"/>
    <w:rsid w:val="00B16BB6"/>
    <w:rsid w:val="00B1718D"/>
    <w:rsid w:val="00B173EF"/>
    <w:rsid w:val="00B17C03"/>
    <w:rsid w:val="00B20A23"/>
    <w:rsid w:val="00B22425"/>
    <w:rsid w:val="00B22C8E"/>
    <w:rsid w:val="00B22F4E"/>
    <w:rsid w:val="00B24A57"/>
    <w:rsid w:val="00B25D00"/>
    <w:rsid w:val="00B25F0D"/>
    <w:rsid w:val="00B26F4E"/>
    <w:rsid w:val="00B27A45"/>
    <w:rsid w:val="00B32A51"/>
    <w:rsid w:val="00B32E6D"/>
    <w:rsid w:val="00B33837"/>
    <w:rsid w:val="00B352B5"/>
    <w:rsid w:val="00B404DA"/>
    <w:rsid w:val="00B42C20"/>
    <w:rsid w:val="00B431CA"/>
    <w:rsid w:val="00B4456A"/>
    <w:rsid w:val="00B44F31"/>
    <w:rsid w:val="00B451CF"/>
    <w:rsid w:val="00B4599B"/>
    <w:rsid w:val="00B45F39"/>
    <w:rsid w:val="00B46612"/>
    <w:rsid w:val="00B4779A"/>
    <w:rsid w:val="00B501A1"/>
    <w:rsid w:val="00B50EB0"/>
    <w:rsid w:val="00B513DA"/>
    <w:rsid w:val="00B539EB"/>
    <w:rsid w:val="00B543B7"/>
    <w:rsid w:val="00B54C7D"/>
    <w:rsid w:val="00B576E1"/>
    <w:rsid w:val="00B5788F"/>
    <w:rsid w:val="00B6030D"/>
    <w:rsid w:val="00B60604"/>
    <w:rsid w:val="00B608F1"/>
    <w:rsid w:val="00B60F79"/>
    <w:rsid w:val="00B62859"/>
    <w:rsid w:val="00B62D61"/>
    <w:rsid w:val="00B63B4A"/>
    <w:rsid w:val="00B63BC0"/>
    <w:rsid w:val="00B63C1C"/>
    <w:rsid w:val="00B65108"/>
    <w:rsid w:val="00B654D5"/>
    <w:rsid w:val="00B6600D"/>
    <w:rsid w:val="00B66764"/>
    <w:rsid w:val="00B673CA"/>
    <w:rsid w:val="00B67530"/>
    <w:rsid w:val="00B67637"/>
    <w:rsid w:val="00B67D51"/>
    <w:rsid w:val="00B7117A"/>
    <w:rsid w:val="00B71A99"/>
    <w:rsid w:val="00B72053"/>
    <w:rsid w:val="00B72CD8"/>
    <w:rsid w:val="00B73217"/>
    <w:rsid w:val="00B740D4"/>
    <w:rsid w:val="00B75651"/>
    <w:rsid w:val="00B757C6"/>
    <w:rsid w:val="00B75D3F"/>
    <w:rsid w:val="00B7622C"/>
    <w:rsid w:val="00B77723"/>
    <w:rsid w:val="00B80D4A"/>
    <w:rsid w:val="00B815D3"/>
    <w:rsid w:val="00B843A1"/>
    <w:rsid w:val="00B84939"/>
    <w:rsid w:val="00B84B71"/>
    <w:rsid w:val="00B84C5C"/>
    <w:rsid w:val="00B85496"/>
    <w:rsid w:val="00B86134"/>
    <w:rsid w:val="00B866C8"/>
    <w:rsid w:val="00B8748B"/>
    <w:rsid w:val="00B91818"/>
    <w:rsid w:val="00B91BB2"/>
    <w:rsid w:val="00B93616"/>
    <w:rsid w:val="00B93DA8"/>
    <w:rsid w:val="00B94DE0"/>
    <w:rsid w:val="00B9550D"/>
    <w:rsid w:val="00B96745"/>
    <w:rsid w:val="00B96DB1"/>
    <w:rsid w:val="00B9723C"/>
    <w:rsid w:val="00B974EC"/>
    <w:rsid w:val="00BA0A76"/>
    <w:rsid w:val="00BA5574"/>
    <w:rsid w:val="00BA5685"/>
    <w:rsid w:val="00BA6DCE"/>
    <w:rsid w:val="00BA723A"/>
    <w:rsid w:val="00BB0423"/>
    <w:rsid w:val="00BB05E1"/>
    <w:rsid w:val="00BB0D30"/>
    <w:rsid w:val="00BB1435"/>
    <w:rsid w:val="00BB32A7"/>
    <w:rsid w:val="00BB3CF5"/>
    <w:rsid w:val="00BB3D9F"/>
    <w:rsid w:val="00BB44E0"/>
    <w:rsid w:val="00BB48AD"/>
    <w:rsid w:val="00BB5495"/>
    <w:rsid w:val="00BB6678"/>
    <w:rsid w:val="00BB6ECF"/>
    <w:rsid w:val="00BB74B3"/>
    <w:rsid w:val="00BB777A"/>
    <w:rsid w:val="00BC069F"/>
    <w:rsid w:val="00BC1765"/>
    <w:rsid w:val="00BC2E80"/>
    <w:rsid w:val="00BC44FC"/>
    <w:rsid w:val="00BC4DE7"/>
    <w:rsid w:val="00BC5123"/>
    <w:rsid w:val="00BC5454"/>
    <w:rsid w:val="00BC612C"/>
    <w:rsid w:val="00BC70E7"/>
    <w:rsid w:val="00BC7E24"/>
    <w:rsid w:val="00BD001B"/>
    <w:rsid w:val="00BD1365"/>
    <w:rsid w:val="00BD1426"/>
    <w:rsid w:val="00BD219A"/>
    <w:rsid w:val="00BD2C42"/>
    <w:rsid w:val="00BD35D1"/>
    <w:rsid w:val="00BD42A7"/>
    <w:rsid w:val="00BD4844"/>
    <w:rsid w:val="00BD4E09"/>
    <w:rsid w:val="00BD6597"/>
    <w:rsid w:val="00BD6EF9"/>
    <w:rsid w:val="00BD754C"/>
    <w:rsid w:val="00BE2140"/>
    <w:rsid w:val="00BE27F0"/>
    <w:rsid w:val="00BE67B6"/>
    <w:rsid w:val="00BE72FD"/>
    <w:rsid w:val="00BE749F"/>
    <w:rsid w:val="00BE7978"/>
    <w:rsid w:val="00BF01A7"/>
    <w:rsid w:val="00BF0287"/>
    <w:rsid w:val="00BF0424"/>
    <w:rsid w:val="00BF0758"/>
    <w:rsid w:val="00BF0C2F"/>
    <w:rsid w:val="00BF1843"/>
    <w:rsid w:val="00BF1EF8"/>
    <w:rsid w:val="00BF214F"/>
    <w:rsid w:val="00BF23E0"/>
    <w:rsid w:val="00BF23E6"/>
    <w:rsid w:val="00BF2DE5"/>
    <w:rsid w:val="00BF3789"/>
    <w:rsid w:val="00BF3AC2"/>
    <w:rsid w:val="00BF3F7C"/>
    <w:rsid w:val="00BF4A0E"/>
    <w:rsid w:val="00BF4BB5"/>
    <w:rsid w:val="00BF4C49"/>
    <w:rsid w:val="00BF542C"/>
    <w:rsid w:val="00BF5A01"/>
    <w:rsid w:val="00BF6338"/>
    <w:rsid w:val="00BF6D56"/>
    <w:rsid w:val="00BF76E8"/>
    <w:rsid w:val="00BF77E0"/>
    <w:rsid w:val="00C00BA9"/>
    <w:rsid w:val="00C00D03"/>
    <w:rsid w:val="00C01DFC"/>
    <w:rsid w:val="00C0282B"/>
    <w:rsid w:val="00C03096"/>
    <w:rsid w:val="00C04447"/>
    <w:rsid w:val="00C05EAB"/>
    <w:rsid w:val="00C06484"/>
    <w:rsid w:val="00C067E0"/>
    <w:rsid w:val="00C1008A"/>
    <w:rsid w:val="00C1025D"/>
    <w:rsid w:val="00C12D93"/>
    <w:rsid w:val="00C12EE2"/>
    <w:rsid w:val="00C139DE"/>
    <w:rsid w:val="00C13B55"/>
    <w:rsid w:val="00C13EAC"/>
    <w:rsid w:val="00C144EB"/>
    <w:rsid w:val="00C14637"/>
    <w:rsid w:val="00C14919"/>
    <w:rsid w:val="00C15032"/>
    <w:rsid w:val="00C159D5"/>
    <w:rsid w:val="00C175C9"/>
    <w:rsid w:val="00C17A6B"/>
    <w:rsid w:val="00C17E88"/>
    <w:rsid w:val="00C2060B"/>
    <w:rsid w:val="00C223EE"/>
    <w:rsid w:val="00C22DC4"/>
    <w:rsid w:val="00C23520"/>
    <w:rsid w:val="00C239C3"/>
    <w:rsid w:val="00C23C2D"/>
    <w:rsid w:val="00C25082"/>
    <w:rsid w:val="00C25CA9"/>
    <w:rsid w:val="00C261BB"/>
    <w:rsid w:val="00C265D4"/>
    <w:rsid w:val="00C265EF"/>
    <w:rsid w:val="00C275FC"/>
    <w:rsid w:val="00C27A31"/>
    <w:rsid w:val="00C30D84"/>
    <w:rsid w:val="00C317A7"/>
    <w:rsid w:val="00C32974"/>
    <w:rsid w:val="00C32E75"/>
    <w:rsid w:val="00C33AEC"/>
    <w:rsid w:val="00C35850"/>
    <w:rsid w:val="00C360C2"/>
    <w:rsid w:val="00C3661C"/>
    <w:rsid w:val="00C36658"/>
    <w:rsid w:val="00C36F1D"/>
    <w:rsid w:val="00C37804"/>
    <w:rsid w:val="00C379F5"/>
    <w:rsid w:val="00C40BFB"/>
    <w:rsid w:val="00C410D2"/>
    <w:rsid w:val="00C41B6E"/>
    <w:rsid w:val="00C42A78"/>
    <w:rsid w:val="00C437D6"/>
    <w:rsid w:val="00C465A3"/>
    <w:rsid w:val="00C46607"/>
    <w:rsid w:val="00C46702"/>
    <w:rsid w:val="00C473D4"/>
    <w:rsid w:val="00C50793"/>
    <w:rsid w:val="00C50DE1"/>
    <w:rsid w:val="00C51782"/>
    <w:rsid w:val="00C52B78"/>
    <w:rsid w:val="00C53E52"/>
    <w:rsid w:val="00C54473"/>
    <w:rsid w:val="00C54A6D"/>
    <w:rsid w:val="00C55BD7"/>
    <w:rsid w:val="00C55D94"/>
    <w:rsid w:val="00C57582"/>
    <w:rsid w:val="00C608EF"/>
    <w:rsid w:val="00C609BB"/>
    <w:rsid w:val="00C60A25"/>
    <w:rsid w:val="00C612BB"/>
    <w:rsid w:val="00C612BF"/>
    <w:rsid w:val="00C6207E"/>
    <w:rsid w:val="00C621A4"/>
    <w:rsid w:val="00C639A6"/>
    <w:rsid w:val="00C63CD5"/>
    <w:rsid w:val="00C63D6B"/>
    <w:rsid w:val="00C6419B"/>
    <w:rsid w:val="00C64D07"/>
    <w:rsid w:val="00C64FAE"/>
    <w:rsid w:val="00C651A9"/>
    <w:rsid w:val="00C66344"/>
    <w:rsid w:val="00C67255"/>
    <w:rsid w:val="00C674F7"/>
    <w:rsid w:val="00C7052B"/>
    <w:rsid w:val="00C70759"/>
    <w:rsid w:val="00C71096"/>
    <w:rsid w:val="00C71104"/>
    <w:rsid w:val="00C745D7"/>
    <w:rsid w:val="00C75520"/>
    <w:rsid w:val="00C75867"/>
    <w:rsid w:val="00C75A3B"/>
    <w:rsid w:val="00C76D8C"/>
    <w:rsid w:val="00C7702A"/>
    <w:rsid w:val="00C773C8"/>
    <w:rsid w:val="00C77EB7"/>
    <w:rsid w:val="00C80A25"/>
    <w:rsid w:val="00C81319"/>
    <w:rsid w:val="00C81F9C"/>
    <w:rsid w:val="00C827FA"/>
    <w:rsid w:val="00C82930"/>
    <w:rsid w:val="00C83ACD"/>
    <w:rsid w:val="00C846CD"/>
    <w:rsid w:val="00C8531E"/>
    <w:rsid w:val="00C8574F"/>
    <w:rsid w:val="00C85A52"/>
    <w:rsid w:val="00C85B6C"/>
    <w:rsid w:val="00C85F12"/>
    <w:rsid w:val="00C85FEF"/>
    <w:rsid w:val="00C86BFE"/>
    <w:rsid w:val="00C86D8A"/>
    <w:rsid w:val="00C900B0"/>
    <w:rsid w:val="00C9080B"/>
    <w:rsid w:val="00C90EF9"/>
    <w:rsid w:val="00C91231"/>
    <w:rsid w:val="00C92949"/>
    <w:rsid w:val="00C9312F"/>
    <w:rsid w:val="00C9343E"/>
    <w:rsid w:val="00C93736"/>
    <w:rsid w:val="00C95ED6"/>
    <w:rsid w:val="00C96379"/>
    <w:rsid w:val="00C97900"/>
    <w:rsid w:val="00CA1FB0"/>
    <w:rsid w:val="00CA24D1"/>
    <w:rsid w:val="00CA3131"/>
    <w:rsid w:val="00CA39C1"/>
    <w:rsid w:val="00CA39CC"/>
    <w:rsid w:val="00CA4319"/>
    <w:rsid w:val="00CA4743"/>
    <w:rsid w:val="00CA638E"/>
    <w:rsid w:val="00CA67A1"/>
    <w:rsid w:val="00CA7C29"/>
    <w:rsid w:val="00CB0171"/>
    <w:rsid w:val="00CB0548"/>
    <w:rsid w:val="00CB05C5"/>
    <w:rsid w:val="00CB0FCD"/>
    <w:rsid w:val="00CB138F"/>
    <w:rsid w:val="00CB13E0"/>
    <w:rsid w:val="00CB40BB"/>
    <w:rsid w:val="00CB4407"/>
    <w:rsid w:val="00CB679F"/>
    <w:rsid w:val="00CB769A"/>
    <w:rsid w:val="00CB76B8"/>
    <w:rsid w:val="00CB7703"/>
    <w:rsid w:val="00CB783B"/>
    <w:rsid w:val="00CC03A6"/>
    <w:rsid w:val="00CC2803"/>
    <w:rsid w:val="00CC2DEA"/>
    <w:rsid w:val="00CC4C7D"/>
    <w:rsid w:val="00CC4EB4"/>
    <w:rsid w:val="00CC612C"/>
    <w:rsid w:val="00CC6D19"/>
    <w:rsid w:val="00CC707F"/>
    <w:rsid w:val="00CC7244"/>
    <w:rsid w:val="00CC79CD"/>
    <w:rsid w:val="00CD1841"/>
    <w:rsid w:val="00CD1BF1"/>
    <w:rsid w:val="00CD3780"/>
    <w:rsid w:val="00CD52B3"/>
    <w:rsid w:val="00CD68DD"/>
    <w:rsid w:val="00CD7860"/>
    <w:rsid w:val="00CD7B8B"/>
    <w:rsid w:val="00CE2092"/>
    <w:rsid w:val="00CE2B04"/>
    <w:rsid w:val="00CE377D"/>
    <w:rsid w:val="00CE58EB"/>
    <w:rsid w:val="00CE5F4F"/>
    <w:rsid w:val="00CE75F2"/>
    <w:rsid w:val="00CF1035"/>
    <w:rsid w:val="00CF35B2"/>
    <w:rsid w:val="00CF37BC"/>
    <w:rsid w:val="00CF38D4"/>
    <w:rsid w:val="00CF3B2D"/>
    <w:rsid w:val="00CF4101"/>
    <w:rsid w:val="00CF411E"/>
    <w:rsid w:val="00CF4440"/>
    <w:rsid w:val="00CF5F82"/>
    <w:rsid w:val="00CF769B"/>
    <w:rsid w:val="00CF7BC4"/>
    <w:rsid w:val="00D017C2"/>
    <w:rsid w:val="00D019D4"/>
    <w:rsid w:val="00D01ED0"/>
    <w:rsid w:val="00D0214C"/>
    <w:rsid w:val="00D02D91"/>
    <w:rsid w:val="00D03E47"/>
    <w:rsid w:val="00D04E6E"/>
    <w:rsid w:val="00D05515"/>
    <w:rsid w:val="00D058D2"/>
    <w:rsid w:val="00D06A3C"/>
    <w:rsid w:val="00D10722"/>
    <w:rsid w:val="00D10ECF"/>
    <w:rsid w:val="00D119F3"/>
    <w:rsid w:val="00D11B02"/>
    <w:rsid w:val="00D11CF4"/>
    <w:rsid w:val="00D13FBB"/>
    <w:rsid w:val="00D14BDD"/>
    <w:rsid w:val="00D159F8"/>
    <w:rsid w:val="00D17CFB"/>
    <w:rsid w:val="00D226B9"/>
    <w:rsid w:val="00D23437"/>
    <w:rsid w:val="00D24056"/>
    <w:rsid w:val="00D2459A"/>
    <w:rsid w:val="00D24CD7"/>
    <w:rsid w:val="00D24F0D"/>
    <w:rsid w:val="00D256BE"/>
    <w:rsid w:val="00D27131"/>
    <w:rsid w:val="00D27930"/>
    <w:rsid w:val="00D30044"/>
    <w:rsid w:val="00D31BBD"/>
    <w:rsid w:val="00D337C1"/>
    <w:rsid w:val="00D3437B"/>
    <w:rsid w:val="00D3592A"/>
    <w:rsid w:val="00D37FE7"/>
    <w:rsid w:val="00D404B1"/>
    <w:rsid w:val="00D40987"/>
    <w:rsid w:val="00D41F65"/>
    <w:rsid w:val="00D429F6"/>
    <w:rsid w:val="00D434B0"/>
    <w:rsid w:val="00D43988"/>
    <w:rsid w:val="00D4469F"/>
    <w:rsid w:val="00D46856"/>
    <w:rsid w:val="00D46E91"/>
    <w:rsid w:val="00D47058"/>
    <w:rsid w:val="00D4707E"/>
    <w:rsid w:val="00D47867"/>
    <w:rsid w:val="00D47947"/>
    <w:rsid w:val="00D47DC6"/>
    <w:rsid w:val="00D47EAF"/>
    <w:rsid w:val="00D51345"/>
    <w:rsid w:val="00D521A7"/>
    <w:rsid w:val="00D528AA"/>
    <w:rsid w:val="00D52D7F"/>
    <w:rsid w:val="00D53034"/>
    <w:rsid w:val="00D53AAB"/>
    <w:rsid w:val="00D55A05"/>
    <w:rsid w:val="00D56584"/>
    <w:rsid w:val="00D56DF8"/>
    <w:rsid w:val="00D575A8"/>
    <w:rsid w:val="00D57D2B"/>
    <w:rsid w:val="00D57FC6"/>
    <w:rsid w:val="00D608A7"/>
    <w:rsid w:val="00D60C34"/>
    <w:rsid w:val="00D61A9F"/>
    <w:rsid w:val="00D61EDD"/>
    <w:rsid w:val="00D628AF"/>
    <w:rsid w:val="00D6294B"/>
    <w:rsid w:val="00D62B73"/>
    <w:rsid w:val="00D64BD8"/>
    <w:rsid w:val="00D651ED"/>
    <w:rsid w:val="00D65A4D"/>
    <w:rsid w:val="00D66697"/>
    <w:rsid w:val="00D67111"/>
    <w:rsid w:val="00D67ACA"/>
    <w:rsid w:val="00D67F69"/>
    <w:rsid w:val="00D71103"/>
    <w:rsid w:val="00D71B68"/>
    <w:rsid w:val="00D71F66"/>
    <w:rsid w:val="00D72CA9"/>
    <w:rsid w:val="00D73E39"/>
    <w:rsid w:val="00D74504"/>
    <w:rsid w:val="00D74639"/>
    <w:rsid w:val="00D7480D"/>
    <w:rsid w:val="00D75269"/>
    <w:rsid w:val="00D76893"/>
    <w:rsid w:val="00D76CAC"/>
    <w:rsid w:val="00D76F78"/>
    <w:rsid w:val="00D7798C"/>
    <w:rsid w:val="00D809B7"/>
    <w:rsid w:val="00D80FEC"/>
    <w:rsid w:val="00D813B0"/>
    <w:rsid w:val="00D81A57"/>
    <w:rsid w:val="00D82112"/>
    <w:rsid w:val="00D82279"/>
    <w:rsid w:val="00D82A4C"/>
    <w:rsid w:val="00D84B56"/>
    <w:rsid w:val="00D85326"/>
    <w:rsid w:val="00D8557B"/>
    <w:rsid w:val="00D85683"/>
    <w:rsid w:val="00D90F8A"/>
    <w:rsid w:val="00D90FBE"/>
    <w:rsid w:val="00D91614"/>
    <w:rsid w:val="00D91621"/>
    <w:rsid w:val="00D93A5F"/>
    <w:rsid w:val="00D9553A"/>
    <w:rsid w:val="00D96328"/>
    <w:rsid w:val="00D964CF"/>
    <w:rsid w:val="00D96B72"/>
    <w:rsid w:val="00D9740F"/>
    <w:rsid w:val="00D9788C"/>
    <w:rsid w:val="00D97BA1"/>
    <w:rsid w:val="00D97DE0"/>
    <w:rsid w:val="00DA09FC"/>
    <w:rsid w:val="00DA0F0A"/>
    <w:rsid w:val="00DA4D0E"/>
    <w:rsid w:val="00DA59D2"/>
    <w:rsid w:val="00DA732B"/>
    <w:rsid w:val="00DA751C"/>
    <w:rsid w:val="00DB07BC"/>
    <w:rsid w:val="00DB15E7"/>
    <w:rsid w:val="00DB1CB8"/>
    <w:rsid w:val="00DB2B7E"/>
    <w:rsid w:val="00DB2C0B"/>
    <w:rsid w:val="00DB5719"/>
    <w:rsid w:val="00DB624E"/>
    <w:rsid w:val="00DB6CE7"/>
    <w:rsid w:val="00DB76A4"/>
    <w:rsid w:val="00DB7D14"/>
    <w:rsid w:val="00DC02EA"/>
    <w:rsid w:val="00DC0CC8"/>
    <w:rsid w:val="00DC1CA6"/>
    <w:rsid w:val="00DC20CF"/>
    <w:rsid w:val="00DC29FD"/>
    <w:rsid w:val="00DC4284"/>
    <w:rsid w:val="00DC5239"/>
    <w:rsid w:val="00DC63F9"/>
    <w:rsid w:val="00DC7896"/>
    <w:rsid w:val="00DC7E69"/>
    <w:rsid w:val="00DD1CCB"/>
    <w:rsid w:val="00DD3316"/>
    <w:rsid w:val="00DD3E1F"/>
    <w:rsid w:val="00DD5E57"/>
    <w:rsid w:val="00DD686C"/>
    <w:rsid w:val="00DD6CDC"/>
    <w:rsid w:val="00DD713B"/>
    <w:rsid w:val="00DE0DBC"/>
    <w:rsid w:val="00DE1472"/>
    <w:rsid w:val="00DE2965"/>
    <w:rsid w:val="00DE2DAE"/>
    <w:rsid w:val="00DE3385"/>
    <w:rsid w:val="00DE3466"/>
    <w:rsid w:val="00DE3F64"/>
    <w:rsid w:val="00DE4638"/>
    <w:rsid w:val="00DE4651"/>
    <w:rsid w:val="00DE465E"/>
    <w:rsid w:val="00DE4FAC"/>
    <w:rsid w:val="00DE533F"/>
    <w:rsid w:val="00DE7265"/>
    <w:rsid w:val="00DE7525"/>
    <w:rsid w:val="00DE7F4A"/>
    <w:rsid w:val="00DF03B9"/>
    <w:rsid w:val="00DF141E"/>
    <w:rsid w:val="00DF2353"/>
    <w:rsid w:val="00DF2EFF"/>
    <w:rsid w:val="00DF2FC3"/>
    <w:rsid w:val="00DF3140"/>
    <w:rsid w:val="00DF31E2"/>
    <w:rsid w:val="00DF35CF"/>
    <w:rsid w:val="00DF3AB2"/>
    <w:rsid w:val="00DF3FA1"/>
    <w:rsid w:val="00DF3FD0"/>
    <w:rsid w:val="00DF56B1"/>
    <w:rsid w:val="00DF73BA"/>
    <w:rsid w:val="00DF75FF"/>
    <w:rsid w:val="00DF762B"/>
    <w:rsid w:val="00E00755"/>
    <w:rsid w:val="00E00898"/>
    <w:rsid w:val="00E016B0"/>
    <w:rsid w:val="00E027AE"/>
    <w:rsid w:val="00E02DC0"/>
    <w:rsid w:val="00E03478"/>
    <w:rsid w:val="00E0628E"/>
    <w:rsid w:val="00E06460"/>
    <w:rsid w:val="00E06F3D"/>
    <w:rsid w:val="00E07011"/>
    <w:rsid w:val="00E073CF"/>
    <w:rsid w:val="00E076EF"/>
    <w:rsid w:val="00E1129B"/>
    <w:rsid w:val="00E11584"/>
    <w:rsid w:val="00E11FE4"/>
    <w:rsid w:val="00E14BFA"/>
    <w:rsid w:val="00E159D9"/>
    <w:rsid w:val="00E15CF0"/>
    <w:rsid w:val="00E16360"/>
    <w:rsid w:val="00E17F53"/>
    <w:rsid w:val="00E21350"/>
    <w:rsid w:val="00E226D5"/>
    <w:rsid w:val="00E22700"/>
    <w:rsid w:val="00E23D2B"/>
    <w:rsid w:val="00E25124"/>
    <w:rsid w:val="00E261F8"/>
    <w:rsid w:val="00E31EB9"/>
    <w:rsid w:val="00E324AD"/>
    <w:rsid w:val="00E32B5F"/>
    <w:rsid w:val="00E3342D"/>
    <w:rsid w:val="00E33683"/>
    <w:rsid w:val="00E33734"/>
    <w:rsid w:val="00E37514"/>
    <w:rsid w:val="00E376F8"/>
    <w:rsid w:val="00E404F8"/>
    <w:rsid w:val="00E411DD"/>
    <w:rsid w:val="00E413F7"/>
    <w:rsid w:val="00E41A1D"/>
    <w:rsid w:val="00E42117"/>
    <w:rsid w:val="00E427F9"/>
    <w:rsid w:val="00E42965"/>
    <w:rsid w:val="00E44CD4"/>
    <w:rsid w:val="00E4560F"/>
    <w:rsid w:val="00E45B91"/>
    <w:rsid w:val="00E468D0"/>
    <w:rsid w:val="00E469F6"/>
    <w:rsid w:val="00E46C0E"/>
    <w:rsid w:val="00E46C57"/>
    <w:rsid w:val="00E4721E"/>
    <w:rsid w:val="00E479BB"/>
    <w:rsid w:val="00E47A5D"/>
    <w:rsid w:val="00E47E88"/>
    <w:rsid w:val="00E5064A"/>
    <w:rsid w:val="00E508EC"/>
    <w:rsid w:val="00E5176B"/>
    <w:rsid w:val="00E51B19"/>
    <w:rsid w:val="00E51ED4"/>
    <w:rsid w:val="00E52291"/>
    <w:rsid w:val="00E528BA"/>
    <w:rsid w:val="00E5366B"/>
    <w:rsid w:val="00E53826"/>
    <w:rsid w:val="00E53E3B"/>
    <w:rsid w:val="00E54365"/>
    <w:rsid w:val="00E565C2"/>
    <w:rsid w:val="00E57075"/>
    <w:rsid w:val="00E57FF6"/>
    <w:rsid w:val="00E60269"/>
    <w:rsid w:val="00E60C32"/>
    <w:rsid w:val="00E61591"/>
    <w:rsid w:val="00E61CB4"/>
    <w:rsid w:val="00E620D7"/>
    <w:rsid w:val="00E627F6"/>
    <w:rsid w:val="00E62F47"/>
    <w:rsid w:val="00E63F1D"/>
    <w:rsid w:val="00E63FBE"/>
    <w:rsid w:val="00E646D5"/>
    <w:rsid w:val="00E6531F"/>
    <w:rsid w:val="00E65573"/>
    <w:rsid w:val="00E70006"/>
    <w:rsid w:val="00E719AB"/>
    <w:rsid w:val="00E72A86"/>
    <w:rsid w:val="00E72BA8"/>
    <w:rsid w:val="00E73AA8"/>
    <w:rsid w:val="00E748FE"/>
    <w:rsid w:val="00E75A9D"/>
    <w:rsid w:val="00E77D05"/>
    <w:rsid w:val="00E81B8E"/>
    <w:rsid w:val="00E81C11"/>
    <w:rsid w:val="00E81ED7"/>
    <w:rsid w:val="00E821B1"/>
    <w:rsid w:val="00E82207"/>
    <w:rsid w:val="00E824B5"/>
    <w:rsid w:val="00E82C04"/>
    <w:rsid w:val="00E83077"/>
    <w:rsid w:val="00E834C3"/>
    <w:rsid w:val="00E8377F"/>
    <w:rsid w:val="00E83C6C"/>
    <w:rsid w:val="00E83F8B"/>
    <w:rsid w:val="00E913DC"/>
    <w:rsid w:val="00E9222C"/>
    <w:rsid w:val="00E9223A"/>
    <w:rsid w:val="00E9247E"/>
    <w:rsid w:val="00E92CBB"/>
    <w:rsid w:val="00E93007"/>
    <w:rsid w:val="00E930BA"/>
    <w:rsid w:val="00E93580"/>
    <w:rsid w:val="00E9558B"/>
    <w:rsid w:val="00E95D1B"/>
    <w:rsid w:val="00E96A4B"/>
    <w:rsid w:val="00E97131"/>
    <w:rsid w:val="00EA020F"/>
    <w:rsid w:val="00EA1CEC"/>
    <w:rsid w:val="00EA2076"/>
    <w:rsid w:val="00EA2158"/>
    <w:rsid w:val="00EA21DF"/>
    <w:rsid w:val="00EA2684"/>
    <w:rsid w:val="00EA2EFA"/>
    <w:rsid w:val="00EA50D6"/>
    <w:rsid w:val="00EA5714"/>
    <w:rsid w:val="00EA5FFF"/>
    <w:rsid w:val="00EA61AE"/>
    <w:rsid w:val="00EA7662"/>
    <w:rsid w:val="00EA78BB"/>
    <w:rsid w:val="00EB016F"/>
    <w:rsid w:val="00EB0CA3"/>
    <w:rsid w:val="00EB0D72"/>
    <w:rsid w:val="00EB2A8E"/>
    <w:rsid w:val="00EB33F4"/>
    <w:rsid w:val="00EB3B9C"/>
    <w:rsid w:val="00EB40A2"/>
    <w:rsid w:val="00EB4C04"/>
    <w:rsid w:val="00EB511D"/>
    <w:rsid w:val="00EB5735"/>
    <w:rsid w:val="00EB6DE3"/>
    <w:rsid w:val="00EB7068"/>
    <w:rsid w:val="00EB71EA"/>
    <w:rsid w:val="00EB7F21"/>
    <w:rsid w:val="00EC0219"/>
    <w:rsid w:val="00EC13D4"/>
    <w:rsid w:val="00EC1406"/>
    <w:rsid w:val="00EC24FA"/>
    <w:rsid w:val="00EC2677"/>
    <w:rsid w:val="00EC36F2"/>
    <w:rsid w:val="00EC4BDE"/>
    <w:rsid w:val="00EC4F33"/>
    <w:rsid w:val="00EC515B"/>
    <w:rsid w:val="00EC6F6B"/>
    <w:rsid w:val="00EC703B"/>
    <w:rsid w:val="00EC7E9A"/>
    <w:rsid w:val="00ED00C8"/>
    <w:rsid w:val="00ED04B9"/>
    <w:rsid w:val="00ED05A1"/>
    <w:rsid w:val="00ED1570"/>
    <w:rsid w:val="00ED2C57"/>
    <w:rsid w:val="00ED43EE"/>
    <w:rsid w:val="00ED4C56"/>
    <w:rsid w:val="00ED5BD8"/>
    <w:rsid w:val="00ED7DF8"/>
    <w:rsid w:val="00EE0232"/>
    <w:rsid w:val="00EE12E8"/>
    <w:rsid w:val="00EE1E6D"/>
    <w:rsid w:val="00EE1F2C"/>
    <w:rsid w:val="00EE2304"/>
    <w:rsid w:val="00EE294E"/>
    <w:rsid w:val="00EE2DC4"/>
    <w:rsid w:val="00EE303E"/>
    <w:rsid w:val="00EE4C7E"/>
    <w:rsid w:val="00EE4F62"/>
    <w:rsid w:val="00EE556D"/>
    <w:rsid w:val="00EE6184"/>
    <w:rsid w:val="00EE67C5"/>
    <w:rsid w:val="00EE7A2C"/>
    <w:rsid w:val="00EF05A3"/>
    <w:rsid w:val="00EF1520"/>
    <w:rsid w:val="00EF2240"/>
    <w:rsid w:val="00EF27A0"/>
    <w:rsid w:val="00EF2BFC"/>
    <w:rsid w:val="00EF37B8"/>
    <w:rsid w:val="00EF6556"/>
    <w:rsid w:val="00EF67AB"/>
    <w:rsid w:val="00EF7829"/>
    <w:rsid w:val="00EF7AA0"/>
    <w:rsid w:val="00F00BCB"/>
    <w:rsid w:val="00F0207D"/>
    <w:rsid w:val="00F02428"/>
    <w:rsid w:val="00F0319D"/>
    <w:rsid w:val="00F03201"/>
    <w:rsid w:val="00F03AB8"/>
    <w:rsid w:val="00F059F8"/>
    <w:rsid w:val="00F06165"/>
    <w:rsid w:val="00F069FD"/>
    <w:rsid w:val="00F07462"/>
    <w:rsid w:val="00F1096F"/>
    <w:rsid w:val="00F11E45"/>
    <w:rsid w:val="00F12D86"/>
    <w:rsid w:val="00F12E39"/>
    <w:rsid w:val="00F13B04"/>
    <w:rsid w:val="00F13B05"/>
    <w:rsid w:val="00F1433D"/>
    <w:rsid w:val="00F15AF2"/>
    <w:rsid w:val="00F15C87"/>
    <w:rsid w:val="00F16A3B"/>
    <w:rsid w:val="00F17C59"/>
    <w:rsid w:val="00F207FC"/>
    <w:rsid w:val="00F21290"/>
    <w:rsid w:val="00F25426"/>
    <w:rsid w:val="00F307CC"/>
    <w:rsid w:val="00F30BBA"/>
    <w:rsid w:val="00F30E1D"/>
    <w:rsid w:val="00F31630"/>
    <w:rsid w:val="00F32291"/>
    <w:rsid w:val="00F3266E"/>
    <w:rsid w:val="00F3282E"/>
    <w:rsid w:val="00F33F6B"/>
    <w:rsid w:val="00F34C99"/>
    <w:rsid w:val="00F36C04"/>
    <w:rsid w:val="00F37ADF"/>
    <w:rsid w:val="00F40869"/>
    <w:rsid w:val="00F41BC0"/>
    <w:rsid w:val="00F426A1"/>
    <w:rsid w:val="00F439BB"/>
    <w:rsid w:val="00F43E0D"/>
    <w:rsid w:val="00F449D7"/>
    <w:rsid w:val="00F44E79"/>
    <w:rsid w:val="00F4554B"/>
    <w:rsid w:val="00F45F51"/>
    <w:rsid w:val="00F461AE"/>
    <w:rsid w:val="00F4624C"/>
    <w:rsid w:val="00F4661F"/>
    <w:rsid w:val="00F50F23"/>
    <w:rsid w:val="00F5184B"/>
    <w:rsid w:val="00F51B88"/>
    <w:rsid w:val="00F51E70"/>
    <w:rsid w:val="00F52F12"/>
    <w:rsid w:val="00F534D3"/>
    <w:rsid w:val="00F5372A"/>
    <w:rsid w:val="00F5421D"/>
    <w:rsid w:val="00F54FDE"/>
    <w:rsid w:val="00F55025"/>
    <w:rsid w:val="00F55E4F"/>
    <w:rsid w:val="00F55E73"/>
    <w:rsid w:val="00F601A0"/>
    <w:rsid w:val="00F60DF3"/>
    <w:rsid w:val="00F6181B"/>
    <w:rsid w:val="00F62057"/>
    <w:rsid w:val="00F63834"/>
    <w:rsid w:val="00F639A2"/>
    <w:rsid w:val="00F6403A"/>
    <w:rsid w:val="00F64463"/>
    <w:rsid w:val="00F6488F"/>
    <w:rsid w:val="00F65545"/>
    <w:rsid w:val="00F6557B"/>
    <w:rsid w:val="00F6628E"/>
    <w:rsid w:val="00F66C05"/>
    <w:rsid w:val="00F678A4"/>
    <w:rsid w:val="00F679D1"/>
    <w:rsid w:val="00F67C01"/>
    <w:rsid w:val="00F67F82"/>
    <w:rsid w:val="00F7041B"/>
    <w:rsid w:val="00F70F9F"/>
    <w:rsid w:val="00F7114B"/>
    <w:rsid w:val="00F71D71"/>
    <w:rsid w:val="00F721EF"/>
    <w:rsid w:val="00F726B2"/>
    <w:rsid w:val="00F72AC2"/>
    <w:rsid w:val="00F72B58"/>
    <w:rsid w:val="00F73C6A"/>
    <w:rsid w:val="00F74168"/>
    <w:rsid w:val="00F742F1"/>
    <w:rsid w:val="00F7484F"/>
    <w:rsid w:val="00F74857"/>
    <w:rsid w:val="00F75D2F"/>
    <w:rsid w:val="00F75FEA"/>
    <w:rsid w:val="00F76037"/>
    <w:rsid w:val="00F776A4"/>
    <w:rsid w:val="00F77724"/>
    <w:rsid w:val="00F77839"/>
    <w:rsid w:val="00F81871"/>
    <w:rsid w:val="00F840CA"/>
    <w:rsid w:val="00F907C9"/>
    <w:rsid w:val="00F91164"/>
    <w:rsid w:val="00F9182E"/>
    <w:rsid w:val="00F91AC7"/>
    <w:rsid w:val="00F92B0F"/>
    <w:rsid w:val="00F94C17"/>
    <w:rsid w:val="00F95CD7"/>
    <w:rsid w:val="00F95EE6"/>
    <w:rsid w:val="00FA0EFA"/>
    <w:rsid w:val="00FA1BCF"/>
    <w:rsid w:val="00FA2180"/>
    <w:rsid w:val="00FA3AEB"/>
    <w:rsid w:val="00FA414D"/>
    <w:rsid w:val="00FA4E31"/>
    <w:rsid w:val="00FA4EB4"/>
    <w:rsid w:val="00FA5580"/>
    <w:rsid w:val="00FA66E5"/>
    <w:rsid w:val="00FA6852"/>
    <w:rsid w:val="00FA6AAC"/>
    <w:rsid w:val="00FA6CBC"/>
    <w:rsid w:val="00FA6D48"/>
    <w:rsid w:val="00FA7305"/>
    <w:rsid w:val="00FA7EC0"/>
    <w:rsid w:val="00FB02DB"/>
    <w:rsid w:val="00FB06B1"/>
    <w:rsid w:val="00FB0FF7"/>
    <w:rsid w:val="00FB24D5"/>
    <w:rsid w:val="00FB3509"/>
    <w:rsid w:val="00FB439F"/>
    <w:rsid w:val="00FB57DF"/>
    <w:rsid w:val="00FB672F"/>
    <w:rsid w:val="00FB7A63"/>
    <w:rsid w:val="00FC072E"/>
    <w:rsid w:val="00FC201D"/>
    <w:rsid w:val="00FC2706"/>
    <w:rsid w:val="00FC2C4F"/>
    <w:rsid w:val="00FC2DD6"/>
    <w:rsid w:val="00FC4041"/>
    <w:rsid w:val="00FC551E"/>
    <w:rsid w:val="00FC56AF"/>
    <w:rsid w:val="00FC5790"/>
    <w:rsid w:val="00FC5BC1"/>
    <w:rsid w:val="00FC62E5"/>
    <w:rsid w:val="00FC7159"/>
    <w:rsid w:val="00FD039F"/>
    <w:rsid w:val="00FD12BF"/>
    <w:rsid w:val="00FD1989"/>
    <w:rsid w:val="00FD1995"/>
    <w:rsid w:val="00FD25E1"/>
    <w:rsid w:val="00FD2F5D"/>
    <w:rsid w:val="00FD3410"/>
    <w:rsid w:val="00FD36A4"/>
    <w:rsid w:val="00FD4DA2"/>
    <w:rsid w:val="00FD5B5D"/>
    <w:rsid w:val="00FD5E1C"/>
    <w:rsid w:val="00FD5F39"/>
    <w:rsid w:val="00FD68E8"/>
    <w:rsid w:val="00FD6F4F"/>
    <w:rsid w:val="00FE1165"/>
    <w:rsid w:val="00FE1880"/>
    <w:rsid w:val="00FE22D5"/>
    <w:rsid w:val="00FE2BDE"/>
    <w:rsid w:val="00FE2DD4"/>
    <w:rsid w:val="00FE386F"/>
    <w:rsid w:val="00FE3F8E"/>
    <w:rsid w:val="00FE4004"/>
    <w:rsid w:val="00FE460D"/>
    <w:rsid w:val="00FE4647"/>
    <w:rsid w:val="00FE47ED"/>
    <w:rsid w:val="00FE4EEF"/>
    <w:rsid w:val="00FE61DC"/>
    <w:rsid w:val="00FE6E79"/>
    <w:rsid w:val="00FF081E"/>
    <w:rsid w:val="00FF145C"/>
    <w:rsid w:val="00FF19A4"/>
    <w:rsid w:val="00FF26EE"/>
    <w:rsid w:val="00FF28E1"/>
    <w:rsid w:val="00FF47A3"/>
    <w:rsid w:val="00FF4EA9"/>
    <w:rsid w:val="00FF72D7"/>
    <w:rsid w:val="00FF7508"/>
    <w:rsid w:val="017340C6"/>
    <w:rsid w:val="01EC6E3D"/>
    <w:rsid w:val="01EC718F"/>
    <w:rsid w:val="020A77FD"/>
    <w:rsid w:val="02222C98"/>
    <w:rsid w:val="02805332"/>
    <w:rsid w:val="02A13AD9"/>
    <w:rsid w:val="02D509DE"/>
    <w:rsid w:val="030C4EB2"/>
    <w:rsid w:val="035B121E"/>
    <w:rsid w:val="03A91626"/>
    <w:rsid w:val="04325DDF"/>
    <w:rsid w:val="04C5452F"/>
    <w:rsid w:val="04E0340F"/>
    <w:rsid w:val="050E00BB"/>
    <w:rsid w:val="052466F7"/>
    <w:rsid w:val="06D8500E"/>
    <w:rsid w:val="075F0CE6"/>
    <w:rsid w:val="08B60169"/>
    <w:rsid w:val="09BB7B68"/>
    <w:rsid w:val="09FC3D1E"/>
    <w:rsid w:val="0A0B5D1C"/>
    <w:rsid w:val="0A57392E"/>
    <w:rsid w:val="0A755404"/>
    <w:rsid w:val="0A9D543E"/>
    <w:rsid w:val="0AA249DF"/>
    <w:rsid w:val="0AFF0F3A"/>
    <w:rsid w:val="0B0C59B6"/>
    <w:rsid w:val="0B0D30B7"/>
    <w:rsid w:val="0B251294"/>
    <w:rsid w:val="0C126E66"/>
    <w:rsid w:val="0CAE4F32"/>
    <w:rsid w:val="0CD2239F"/>
    <w:rsid w:val="0CE62330"/>
    <w:rsid w:val="0DD9182A"/>
    <w:rsid w:val="0DED7254"/>
    <w:rsid w:val="0E6F3512"/>
    <w:rsid w:val="0E9D7213"/>
    <w:rsid w:val="0EA41FF0"/>
    <w:rsid w:val="0F273A62"/>
    <w:rsid w:val="0F357F79"/>
    <w:rsid w:val="0FD351BA"/>
    <w:rsid w:val="1034772C"/>
    <w:rsid w:val="109A4323"/>
    <w:rsid w:val="10F37B65"/>
    <w:rsid w:val="11017C65"/>
    <w:rsid w:val="114C5A55"/>
    <w:rsid w:val="11BA36CB"/>
    <w:rsid w:val="12450EE2"/>
    <w:rsid w:val="12534D40"/>
    <w:rsid w:val="129B7B9C"/>
    <w:rsid w:val="12BD0D90"/>
    <w:rsid w:val="12F30AB7"/>
    <w:rsid w:val="1313539A"/>
    <w:rsid w:val="138A4A07"/>
    <w:rsid w:val="142E06DA"/>
    <w:rsid w:val="146F7429"/>
    <w:rsid w:val="147B3BC5"/>
    <w:rsid w:val="148E434D"/>
    <w:rsid w:val="1498665A"/>
    <w:rsid w:val="14B63CB5"/>
    <w:rsid w:val="14CF6EF5"/>
    <w:rsid w:val="15307C8F"/>
    <w:rsid w:val="15582070"/>
    <w:rsid w:val="15A12E2D"/>
    <w:rsid w:val="16BB69D2"/>
    <w:rsid w:val="183B2497"/>
    <w:rsid w:val="18A06AAB"/>
    <w:rsid w:val="19337334"/>
    <w:rsid w:val="1A36183A"/>
    <w:rsid w:val="1A934856"/>
    <w:rsid w:val="1AB236CF"/>
    <w:rsid w:val="1AC30B01"/>
    <w:rsid w:val="1BAD23D6"/>
    <w:rsid w:val="1D1A6398"/>
    <w:rsid w:val="1D672F08"/>
    <w:rsid w:val="1D9973D7"/>
    <w:rsid w:val="1DC63086"/>
    <w:rsid w:val="1EA304EC"/>
    <w:rsid w:val="1EBC50A3"/>
    <w:rsid w:val="1F0A014A"/>
    <w:rsid w:val="1F28556D"/>
    <w:rsid w:val="1F6178EC"/>
    <w:rsid w:val="1F7C524B"/>
    <w:rsid w:val="1FA72B2B"/>
    <w:rsid w:val="20075626"/>
    <w:rsid w:val="204608E4"/>
    <w:rsid w:val="20561081"/>
    <w:rsid w:val="20854D20"/>
    <w:rsid w:val="217E6031"/>
    <w:rsid w:val="221948F4"/>
    <w:rsid w:val="226A2D35"/>
    <w:rsid w:val="22BC5F2E"/>
    <w:rsid w:val="23B81C58"/>
    <w:rsid w:val="23DD466A"/>
    <w:rsid w:val="24564C49"/>
    <w:rsid w:val="247321DC"/>
    <w:rsid w:val="24A378CD"/>
    <w:rsid w:val="250A712C"/>
    <w:rsid w:val="25317B57"/>
    <w:rsid w:val="256A0966"/>
    <w:rsid w:val="258E292F"/>
    <w:rsid w:val="25B56E06"/>
    <w:rsid w:val="25DC7ABB"/>
    <w:rsid w:val="2602777D"/>
    <w:rsid w:val="26132909"/>
    <w:rsid w:val="26601AA8"/>
    <w:rsid w:val="26B7254D"/>
    <w:rsid w:val="26E455E0"/>
    <w:rsid w:val="273E110E"/>
    <w:rsid w:val="27D21965"/>
    <w:rsid w:val="28165B4F"/>
    <w:rsid w:val="288A082C"/>
    <w:rsid w:val="289F578D"/>
    <w:rsid w:val="29050252"/>
    <w:rsid w:val="295347DC"/>
    <w:rsid w:val="29B21648"/>
    <w:rsid w:val="2A833DD6"/>
    <w:rsid w:val="2AE568ED"/>
    <w:rsid w:val="2B751B93"/>
    <w:rsid w:val="2B795E66"/>
    <w:rsid w:val="2B8766FB"/>
    <w:rsid w:val="2BE4447B"/>
    <w:rsid w:val="2C213BCA"/>
    <w:rsid w:val="2C51711B"/>
    <w:rsid w:val="2CFC01C9"/>
    <w:rsid w:val="2D33589C"/>
    <w:rsid w:val="2F112905"/>
    <w:rsid w:val="2FBF039B"/>
    <w:rsid w:val="30381231"/>
    <w:rsid w:val="30DB6D4E"/>
    <w:rsid w:val="30F04840"/>
    <w:rsid w:val="31013DE1"/>
    <w:rsid w:val="321572AB"/>
    <w:rsid w:val="322F51E9"/>
    <w:rsid w:val="32C85450"/>
    <w:rsid w:val="33711B3C"/>
    <w:rsid w:val="33BE4392"/>
    <w:rsid w:val="340771D4"/>
    <w:rsid w:val="341F4B10"/>
    <w:rsid w:val="349C682D"/>
    <w:rsid w:val="355439A1"/>
    <w:rsid w:val="356D608D"/>
    <w:rsid w:val="35A92676"/>
    <w:rsid w:val="35F86D02"/>
    <w:rsid w:val="36037B66"/>
    <w:rsid w:val="363673FD"/>
    <w:rsid w:val="366D225D"/>
    <w:rsid w:val="367D3ED6"/>
    <w:rsid w:val="36BE0933"/>
    <w:rsid w:val="37037D6B"/>
    <w:rsid w:val="37067ABA"/>
    <w:rsid w:val="37147F38"/>
    <w:rsid w:val="37624D36"/>
    <w:rsid w:val="380140FB"/>
    <w:rsid w:val="38C2712E"/>
    <w:rsid w:val="38E35C4F"/>
    <w:rsid w:val="39662698"/>
    <w:rsid w:val="39F4309F"/>
    <w:rsid w:val="3A1F5EFF"/>
    <w:rsid w:val="3A2D693F"/>
    <w:rsid w:val="3AAB2E5D"/>
    <w:rsid w:val="3B3F1D27"/>
    <w:rsid w:val="3B4166CA"/>
    <w:rsid w:val="3B8C3DBC"/>
    <w:rsid w:val="3C7A4FD9"/>
    <w:rsid w:val="3CBA674C"/>
    <w:rsid w:val="3D7858AE"/>
    <w:rsid w:val="3DD3624A"/>
    <w:rsid w:val="3E0F1573"/>
    <w:rsid w:val="3E143C55"/>
    <w:rsid w:val="3EBE31DD"/>
    <w:rsid w:val="3FFF63F4"/>
    <w:rsid w:val="41487E00"/>
    <w:rsid w:val="41A05068"/>
    <w:rsid w:val="41C21036"/>
    <w:rsid w:val="41EE4AAE"/>
    <w:rsid w:val="4222226D"/>
    <w:rsid w:val="428957CA"/>
    <w:rsid w:val="42A605A8"/>
    <w:rsid w:val="431C51A2"/>
    <w:rsid w:val="44483721"/>
    <w:rsid w:val="44DA5C46"/>
    <w:rsid w:val="44E80B61"/>
    <w:rsid w:val="465410D6"/>
    <w:rsid w:val="47385AC7"/>
    <w:rsid w:val="475C7410"/>
    <w:rsid w:val="476619AF"/>
    <w:rsid w:val="476959A3"/>
    <w:rsid w:val="480F7403"/>
    <w:rsid w:val="481248F2"/>
    <w:rsid w:val="48345CA7"/>
    <w:rsid w:val="492B471A"/>
    <w:rsid w:val="493051B6"/>
    <w:rsid w:val="49B12382"/>
    <w:rsid w:val="49F219C9"/>
    <w:rsid w:val="4A5604EB"/>
    <w:rsid w:val="4B1410CA"/>
    <w:rsid w:val="4B711976"/>
    <w:rsid w:val="4BAE3273"/>
    <w:rsid w:val="4BEE5DFA"/>
    <w:rsid w:val="4C2F1D20"/>
    <w:rsid w:val="4CCF720B"/>
    <w:rsid w:val="4EEB14DA"/>
    <w:rsid w:val="50345752"/>
    <w:rsid w:val="50B73C79"/>
    <w:rsid w:val="510647A8"/>
    <w:rsid w:val="51304926"/>
    <w:rsid w:val="516F1041"/>
    <w:rsid w:val="517C45D5"/>
    <w:rsid w:val="520C7D4C"/>
    <w:rsid w:val="523A3618"/>
    <w:rsid w:val="52722DD0"/>
    <w:rsid w:val="527E5E6C"/>
    <w:rsid w:val="52881FE7"/>
    <w:rsid w:val="52C439A5"/>
    <w:rsid w:val="54BB6DA0"/>
    <w:rsid w:val="54C84D1D"/>
    <w:rsid w:val="54E43168"/>
    <w:rsid w:val="550D0882"/>
    <w:rsid w:val="558C2159"/>
    <w:rsid w:val="55BE68F6"/>
    <w:rsid w:val="563D6557"/>
    <w:rsid w:val="5652663E"/>
    <w:rsid w:val="565C1DB6"/>
    <w:rsid w:val="56877445"/>
    <w:rsid w:val="568B1979"/>
    <w:rsid w:val="56B87BAF"/>
    <w:rsid w:val="56C76DDE"/>
    <w:rsid w:val="56CA371D"/>
    <w:rsid w:val="56EE35DD"/>
    <w:rsid w:val="57276F7E"/>
    <w:rsid w:val="57506C80"/>
    <w:rsid w:val="57912473"/>
    <w:rsid w:val="580529F7"/>
    <w:rsid w:val="58F66C5C"/>
    <w:rsid w:val="590E6AED"/>
    <w:rsid w:val="597F0A4E"/>
    <w:rsid w:val="59B02744"/>
    <w:rsid w:val="59DD4C92"/>
    <w:rsid w:val="5A116E95"/>
    <w:rsid w:val="5A974794"/>
    <w:rsid w:val="5A9E6DC5"/>
    <w:rsid w:val="5AE4733D"/>
    <w:rsid w:val="5AF46D97"/>
    <w:rsid w:val="5BF030CD"/>
    <w:rsid w:val="5DA520A0"/>
    <w:rsid w:val="5DB5057A"/>
    <w:rsid w:val="5DE86F45"/>
    <w:rsid w:val="5F07654A"/>
    <w:rsid w:val="5F422E9E"/>
    <w:rsid w:val="5F5C0073"/>
    <w:rsid w:val="5F8A0ED9"/>
    <w:rsid w:val="5FBB27CD"/>
    <w:rsid w:val="60060ABA"/>
    <w:rsid w:val="600F658C"/>
    <w:rsid w:val="61417821"/>
    <w:rsid w:val="616C7460"/>
    <w:rsid w:val="6172510D"/>
    <w:rsid w:val="61B96958"/>
    <w:rsid w:val="62233DD5"/>
    <w:rsid w:val="64160A5D"/>
    <w:rsid w:val="642E0B55"/>
    <w:rsid w:val="64570EE2"/>
    <w:rsid w:val="64CC1FBA"/>
    <w:rsid w:val="64DA0075"/>
    <w:rsid w:val="6567254D"/>
    <w:rsid w:val="659C5560"/>
    <w:rsid w:val="65DC2DC7"/>
    <w:rsid w:val="664A523F"/>
    <w:rsid w:val="668947EA"/>
    <w:rsid w:val="66C819F0"/>
    <w:rsid w:val="6752224E"/>
    <w:rsid w:val="68713B2A"/>
    <w:rsid w:val="68B70FAF"/>
    <w:rsid w:val="692C5B08"/>
    <w:rsid w:val="698C7271"/>
    <w:rsid w:val="6A202E42"/>
    <w:rsid w:val="6A263F6E"/>
    <w:rsid w:val="6A6D215A"/>
    <w:rsid w:val="6C570F66"/>
    <w:rsid w:val="6CDB57A4"/>
    <w:rsid w:val="6DAE7B17"/>
    <w:rsid w:val="6DFC1CC6"/>
    <w:rsid w:val="6E021B42"/>
    <w:rsid w:val="6E0A7608"/>
    <w:rsid w:val="6E4018D4"/>
    <w:rsid w:val="6ECC0EDF"/>
    <w:rsid w:val="6ED01C80"/>
    <w:rsid w:val="6EDB5ABA"/>
    <w:rsid w:val="6F49731F"/>
    <w:rsid w:val="6F9F67FA"/>
    <w:rsid w:val="6FCC625A"/>
    <w:rsid w:val="70250E81"/>
    <w:rsid w:val="70296198"/>
    <w:rsid w:val="70AD06FE"/>
    <w:rsid w:val="71052FEB"/>
    <w:rsid w:val="729616D1"/>
    <w:rsid w:val="72AC7C32"/>
    <w:rsid w:val="72C93791"/>
    <w:rsid w:val="72F410BA"/>
    <w:rsid w:val="7310790A"/>
    <w:rsid w:val="736D58FF"/>
    <w:rsid w:val="739A75B0"/>
    <w:rsid w:val="73B552BA"/>
    <w:rsid w:val="74135C5A"/>
    <w:rsid w:val="75DA534F"/>
    <w:rsid w:val="773A50AE"/>
    <w:rsid w:val="775A37B9"/>
    <w:rsid w:val="78C979CC"/>
    <w:rsid w:val="792067B4"/>
    <w:rsid w:val="794679AA"/>
    <w:rsid w:val="795F77F7"/>
    <w:rsid w:val="799046D3"/>
    <w:rsid w:val="79F62CB6"/>
    <w:rsid w:val="7A2120CB"/>
    <w:rsid w:val="7A5107D7"/>
    <w:rsid w:val="7A845732"/>
    <w:rsid w:val="7AA6706F"/>
    <w:rsid w:val="7B09062B"/>
    <w:rsid w:val="7B7A62E5"/>
    <w:rsid w:val="7C80406D"/>
    <w:rsid w:val="7CB63946"/>
    <w:rsid w:val="7CE808D9"/>
    <w:rsid w:val="7D2C7C13"/>
    <w:rsid w:val="7D2F7F6C"/>
    <w:rsid w:val="7DCE48AA"/>
    <w:rsid w:val="7DDB59DB"/>
    <w:rsid w:val="7E8B0E67"/>
    <w:rsid w:val="7FA24341"/>
    <w:rsid w:val="7FB963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58"/>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280"/>
    <w:qFormat/>
    <w:uiPriority w:val="9"/>
    <w:pPr>
      <w:adjustRightInd w:val="0"/>
      <w:jc w:val="center"/>
      <w:textAlignment w:val="baseline"/>
      <w:outlineLvl w:val="1"/>
    </w:pPr>
    <w:rPr>
      <w:bCs/>
      <w:kern w:val="0"/>
      <w:sz w:val="24"/>
      <w:szCs w:val="20"/>
    </w:rPr>
  </w:style>
  <w:style w:type="paragraph" w:styleId="4">
    <w:name w:val="heading 3"/>
    <w:basedOn w:val="5"/>
    <w:next w:val="1"/>
    <w:link w:val="285"/>
    <w:qFormat/>
    <w:uiPriority w:val="0"/>
    <w:pPr>
      <w:spacing w:before="260" w:after="260" w:line="240" w:lineRule="auto"/>
      <w:outlineLvl w:val="2"/>
    </w:pPr>
    <w:rPr>
      <w:rFonts w:ascii="宋体" w:hAnsi="宋体" w:eastAsia="宋体"/>
      <w:szCs w:val="32"/>
    </w:rPr>
  </w:style>
  <w:style w:type="paragraph" w:styleId="5">
    <w:name w:val="heading 4"/>
    <w:basedOn w:val="1"/>
    <w:next w:val="1"/>
    <w:link w:val="2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semiHidden/>
    <w:qFormat/>
    <w:uiPriority w:val="0"/>
    <w:rPr>
      <w:rFonts w:ascii="Verdana" w:hAnsi="Verdana" w:eastAsia="仿宋_GB2312"/>
      <w:kern w:val="0"/>
      <w:sz w:val="24"/>
      <w:szCs w:val="20"/>
      <w:lang w:eastAsia="en-US"/>
    </w:rPr>
  </w:style>
  <w:style w:type="table" w:default="1" w:styleId="48">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79"/>
    <w:qFormat/>
    <w:uiPriority w:val="0"/>
    <w:pPr>
      <w:spacing w:line="360" w:lineRule="auto"/>
    </w:pPr>
    <w:rPr>
      <w:rFonts w:ascii="Verdana" w:hAnsi="Verdana" w:eastAsia="仿宋_GB2312"/>
      <w:b/>
      <w:bCs/>
      <w:sz w:val="24"/>
      <w:lang w:eastAsia="en-US"/>
    </w:rPr>
  </w:style>
  <w:style w:type="paragraph" w:styleId="8">
    <w:name w:val="Normal Indent"/>
    <w:basedOn w:val="1"/>
    <w:link w:val="265"/>
    <w:qFormat/>
    <w:uiPriority w:val="0"/>
    <w:pPr>
      <w:ind w:firstLine="420"/>
    </w:pPr>
    <w:rPr>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Cs w:val="21"/>
    </w:rPr>
  </w:style>
  <w:style w:type="paragraph" w:styleId="15">
    <w:name w:val="List Bullet"/>
    <w:basedOn w:val="1"/>
    <w:qFormat/>
    <w:uiPriority w:val="0"/>
    <w:pPr>
      <w:numPr>
        <w:ilvl w:val="0"/>
        <w:numId w:val="1"/>
      </w:numPr>
    </w:pPr>
    <w:rPr>
      <w:szCs w:val="20"/>
    </w:rPr>
  </w:style>
  <w:style w:type="paragraph" w:styleId="16">
    <w:name w:val="Document Map"/>
    <w:basedOn w:val="1"/>
    <w:link w:val="286"/>
    <w:qFormat/>
    <w:uiPriority w:val="0"/>
    <w:pPr>
      <w:shd w:val="clear" w:color="auto" w:fill="000080"/>
    </w:pPr>
  </w:style>
  <w:style w:type="paragraph" w:styleId="17">
    <w:name w:val="annotation text"/>
    <w:basedOn w:val="1"/>
    <w:link w:val="252"/>
    <w:qFormat/>
    <w:uiPriority w:val="0"/>
    <w:pPr>
      <w:autoSpaceDE w:val="0"/>
      <w:autoSpaceDN w:val="0"/>
      <w:adjustRightInd w:val="0"/>
      <w:jc w:val="left"/>
      <w:textAlignment w:val="baseline"/>
    </w:pPr>
    <w:rPr>
      <w:rFonts w:ascii="宋体" w:hAnsi="Verdana" w:eastAsia="仿宋_GB2312"/>
      <w:kern w:val="0"/>
      <w:sz w:val="34"/>
      <w:szCs w:val="20"/>
      <w:lang w:eastAsia="en-US"/>
    </w:rPr>
  </w:style>
  <w:style w:type="paragraph" w:styleId="18">
    <w:name w:val="Salutation"/>
    <w:basedOn w:val="1"/>
    <w:next w:val="1"/>
    <w:link w:val="247"/>
    <w:qFormat/>
    <w:uiPriority w:val="0"/>
    <w:rPr>
      <w:rFonts w:ascii="Verdana" w:hAnsi="Verdana" w:eastAsia="仿宋_GB2312"/>
      <w:sz w:val="24"/>
      <w:szCs w:val="20"/>
      <w:lang w:eastAsia="en-US"/>
    </w:rPr>
  </w:style>
  <w:style w:type="paragraph" w:styleId="19">
    <w:name w:val="Body Text 3"/>
    <w:basedOn w:val="1"/>
    <w:qFormat/>
    <w:uiPriority w:val="0"/>
    <w:pPr>
      <w:spacing w:after="120"/>
    </w:pPr>
    <w:rPr>
      <w:sz w:val="16"/>
      <w:szCs w:val="16"/>
    </w:rPr>
  </w:style>
  <w:style w:type="paragraph" w:styleId="20">
    <w:name w:val="Body Text Indent"/>
    <w:basedOn w:val="1"/>
    <w:link w:val="238"/>
    <w:qFormat/>
    <w:uiPriority w:val="0"/>
    <w:pPr>
      <w:spacing w:line="360" w:lineRule="auto"/>
      <w:ind w:firstLine="420" w:firstLineChars="200"/>
    </w:pPr>
  </w:style>
  <w:style w:type="paragraph" w:styleId="21">
    <w:name w:val="List 2"/>
    <w:basedOn w:val="1"/>
    <w:qFormat/>
    <w:uiPriority w:val="0"/>
    <w:pPr>
      <w:adjustRightInd w:val="0"/>
      <w:spacing w:line="360" w:lineRule="atLeast"/>
      <w:ind w:left="840" w:hanging="420"/>
      <w:jc w:val="left"/>
      <w:textAlignment w:val="baseline"/>
    </w:pPr>
    <w:rPr>
      <w:spacing w:val="10"/>
      <w:kern w:val="0"/>
      <w:sz w:val="24"/>
      <w:szCs w:val="20"/>
    </w:rPr>
  </w:style>
  <w:style w:type="paragraph" w:styleId="22">
    <w:name w:val="Block Text"/>
    <w:basedOn w:val="1"/>
    <w:qFormat/>
    <w:uiPriority w:val="0"/>
    <w:pPr>
      <w:spacing w:after="120"/>
      <w:ind w:left="1440" w:leftChars="700" w:right="1440" w:rightChars="700"/>
    </w:pPr>
  </w:style>
  <w:style w:type="paragraph" w:styleId="23">
    <w:name w:val="toc 5"/>
    <w:basedOn w:val="1"/>
    <w:next w:val="1"/>
    <w:qFormat/>
    <w:uiPriority w:val="0"/>
    <w:pPr>
      <w:ind w:left="840"/>
      <w:jc w:val="left"/>
    </w:pPr>
    <w:rPr>
      <w:szCs w:val="21"/>
    </w:rPr>
  </w:style>
  <w:style w:type="paragraph" w:styleId="24">
    <w:name w:val="toc 3"/>
    <w:basedOn w:val="1"/>
    <w:next w:val="1"/>
    <w:qFormat/>
    <w:uiPriority w:val="0"/>
    <w:pPr>
      <w:ind w:left="420"/>
      <w:jc w:val="left"/>
    </w:pPr>
    <w:rPr>
      <w:i/>
      <w:iCs/>
    </w:rPr>
  </w:style>
  <w:style w:type="paragraph" w:styleId="25">
    <w:name w:val="Plain Text"/>
    <w:basedOn w:val="1"/>
    <w:link w:val="241"/>
    <w:qFormat/>
    <w:uiPriority w:val="0"/>
    <w:rPr>
      <w:rFonts w:ascii="宋体" w:hAnsi="Courier New" w:eastAsia="仿宋_GB2312"/>
      <w:szCs w:val="20"/>
      <w:lang w:eastAsia="en-US"/>
    </w:rPr>
  </w:style>
  <w:style w:type="paragraph" w:styleId="26">
    <w:name w:val="toc 8"/>
    <w:basedOn w:val="1"/>
    <w:next w:val="1"/>
    <w:qFormat/>
    <w:uiPriority w:val="0"/>
    <w:pPr>
      <w:ind w:left="1470"/>
      <w:jc w:val="left"/>
    </w:pPr>
    <w:rPr>
      <w:szCs w:val="21"/>
    </w:rPr>
  </w:style>
  <w:style w:type="paragraph" w:styleId="27">
    <w:name w:val="Date"/>
    <w:basedOn w:val="1"/>
    <w:next w:val="1"/>
    <w:qFormat/>
    <w:uiPriority w:val="0"/>
    <w:rPr>
      <w:rFonts w:ascii="宋体" w:hAnsi="Courier New"/>
      <w:sz w:val="32"/>
      <w:szCs w:val="20"/>
    </w:rPr>
  </w:style>
  <w:style w:type="paragraph" w:styleId="28">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29">
    <w:name w:val="Balloon Text"/>
    <w:basedOn w:val="1"/>
    <w:link w:val="233"/>
    <w:qFormat/>
    <w:uiPriority w:val="0"/>
    <w:rPr>
      <w:rFonts w:ascii="Verdana" w:hAnsi="Verdana" w:eastAsia="仿宋_GB2312"/>
      <w:sz w:val="18"/>
      <w:szCs w:val="18"/>
      <w:lang w:eastAsia="en-US"/>
    </w:rPr>
  </w:style>
  <w:style w:type="paragraph" w:styleId="30">
    <w:name w:val="footer"/>
    <w:basedOn w:val="1"/>
    <w:link w:val="235"/>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rPr>
  </w:style>
  <w:style w:type="paragraph" w:styleId="33">
    <w:name w:val="toc 4"/>
    <w:basedOn w:val="1"/>
    <w:next w:val="1"/>
    <w:qFormat/>
    <w:uiPriority w:val="0"/>
    <w:pPr>
      <w:ind w:left="630"/>
      <w:jc w:val="left"/>
    </w:pPr>
    <w:rPr>
      <w:szCs w:val="21"/>
    </w:rPr>
  </w:style>
  <w:style w:type="paragraph" w:styleId="34">
    <w:name w:val="index heading"/>
    <w:basedOn w:val="1"/>
    <w:next w:val="35"/>
    <w:qFormat/>
    <w:uiPriority w:val="99"/>
  </w:style>
  <w:style w:type="paragraph" w:styleId="35">
    <w:name w:val="index 1"/>
    <w:basedOn w:val="1"/>
    <w:next w:val="1"/>
    <w:qFormat/>
    <w:uiPriority w:val="0"/>
  </w:style>
  <w:style w:type="paragraph" w:styleId="36">
    <w:name w:val="List"/>
    <w:basedOn w:val="1"/>
    <w:qFormat/>
    <w:uiPriority w:val="0"/>
    <w:pPr>
      <w:ind w:left="200" w:hanging="200" w:hangingChars="200"/>
    </w:pPr>
    <w:rPr>
      <w:szCs w:val="20"/>
    </w:rPr>
  </w:style>
  <w:style w:type="paragraph" w:styleId="37">
    <w:name w:val="toc 6"/>
    <w:basedOn w:val="1"/>
    <w:next w:val="1"/>
    <w:qFormat/>
    <w:uiPriority w:val="0"/>
    <w:pPr>
      <w:ind w:left="1050"/>
      <w:jc w:val="left"/>
    </w:pPr>
    <w:rPr>
      <w:szCs w:val="21"/>
    </w:rPr>
  </w:style>
  <w:style w:type="paragraph" w:styleId="38">
    <w:name w:val="Body Text Indent 3"/>
    <w:basedOn w:val="1"/>
    <w:qFormat/>
    <w:uiPriority w:val="0"/>
    <w:pPr>
      <w:spacing w:line="360" w:lineRule="auto"/>
      <w:ind w:firstLine="482" w:firstLineChars="200"/>
    </w:pPr>
    <w:rPr>
      <w:rFonts w:ascii="宋体"/>
      <w:b/>
      <w:bCs/>
      <w:sz w:val="24"/>
    </w:rPr>
  </w:style>
  <w:style w:type="paragraph" w:styleId="39">
    <w:name w:val="toc 2"/>
    <w:basedOn w:val="1"/>
    <w:next w:val="1"/>
    <w:qFormat/>
    <w:uiPriority w:val="0"/>
    <w:pPr>
      <w:tabs>
        <w:tab w:val="right" w:leader="dot" w:pos="8296"/>
      </w:tabs>
      <w:ind w:left="210"/>
      <w:jc w:val="left"/>
    </w:pPr>
    <w:rPr>
      <w:smallCaps/>
    </w:rPr>
  </w:style>
  <w:style w:type="paragraph" w:styleId="40">
    <w:name w:val="toc 9"/>
    <w:basedOn w:val="1"/>
    <w:next w:val="1"/>
    <w:qFormat/>
    <w:uiPriority w:val="0"/>
    <w:pPr>
      <w:ind w:left="1680"/>
      <w:jc w:val="left"/>
    </w:pPr>
    <w:rPr>
      <w:szCs w:val="21"/>
    </w:rPr>
  </w:style>
  <w:style w:type="paragraph" w:styleId="41">
    <w:name w:val="Body Text 2"/>
    <w:basedOn w:val="1"/>
    <w:qFormat/>
    <w:uiPriority w:val="0"/>
    <w:pPr>
      <w:spacing w:line="360" w:lineRule="auto"/>
    </w:pPr>
    <w:rPr>
      <w:sz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44">
    <w:name w:val="Title"/>
    <w:basedOn w:val="1"/>
    <w:qFormat/>
    <w:uiPriority w:val="0"/>
    <w:pPr>
      <w:spacing w:before="240" w:after="60"/>
      <w:jc w:val="center"/>
      <w:outlineLvl w:val="0"/>
    </w:pPr>
    <w:rPr>
      <w:rFonts w:ascii="Arial" w:hAnsi="Arial" w:eastAsia="隶书" w:cs="Arial"/>
      <w:b/>
      <w:bCs/>
      <w:sz w:val="32"/>
      <w:szCs w:val="32"/>
    </w:rPr>
  </w:style>
  <w:style w:type="paragraph" w:styleId="45">
    <w:name w:val="annotation subject"/>
    <w:basedOn w:val="17"/>
    <w:next w:val="17"/>
    <w:link w:val="227"/>
    <w:qFormat/>
    <w:uiPriority w:val="0"/>
    <w:pPr>
      <w:autoSpaceDE/>
      <w:autoSpaceDN/>
      <w:adjustRightInd/>
      <w:textAlignment w:val="auto"/>
    </w:pPr>
    <w:rPr>
      <w:b/>
      <w:bCs/>
      <w:kern w:val="2"/>
      <w:sz w:val="21"/>
      <w:szCs w:val="24"/>
    </w:rPr>
  </w:style>
  <w:style w:type="paragraph" w:styleId="46">
    <w:name w:val="Body Text First Indent"/>
    <w:basedOn w:val="2"/>
    <w:link w:val="274"/>
    <w:qFormat/>
    <w:uiPriority w:val="0"/>
    <w:pPr>
      <w:spacing w:after="120" w:line="240" w:lineRule="auto"/>
      <w:ind w:firstLine="420" w:firstLineChars="100"/>
    </w:pPr>
    <w:rPr>
      <w:b w:val="0"/>
      <w:bCs w:val="0"/>
      <w:sz w:val="21"/>
    </w:rPr>
  </w:style>
  <w:style w:type="paragraph" w:styleId="47">
    <w:name w:val="Body Text First Indent 2"/>
    <w:basedOn w:val="20"/>
    <w:link w:val="284"/>
    <w:qFormat/>
    <w:uiPriority w:val="0"/>
    <w:pPr>
      <w:numPr>
        <w:ilvl w:val="0"/>
        <w:numId w:val="2"/>
      </w:numPr>
      <w:tabs>
        <w:tab w:val="left" w:pos="1050"/>
      </w:tabs>
      <w:spacing w:after="120" w:line="240" w:lineRule="auto"/>
      <w:ind w:left="420" w:leftChars="200" w:firstLine="420"/>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rFonts w:hint="eastAsia" w:ascii="宋体" w:hAnsi="宋体" w:eastAsia="宋体" w:cs="宋体"/>
      <w:color w:val="0031C1"/>
      <w:sz w:val="18"/>
      <w:szCs w:val="18"/>
      <w:u w:val="none"/>
    </w:rPr>
  </w:style>
  <w:style w:type="character" w:styleId="54">
    <w:name w:val="Emphasis"/>
    <w:qFormat/>
    <w:uiPriority w:val="0"/>
  </w:style>
  <w:style w:type="character" w:styleId="55">
    <w:name w:val="HTML Typewriter"/>
    <w:qFormat/>
    <w:uiPriority w:val="0"/>
    <w:rPr>
      <w:rFonts w:ascii="宋体" w:hAnsi="宋体" w:eastAsia="宋体" w:cs="宋体"/>
      <w:sz w:val="24"/>
      <w:szCs w:val="24"/>
    </w:rPr>
  </w:style>
  <w:style w:type="character" w:styleId="56">
    <w:name w:val="Hyperlink"/>
    <w:qFormat/>
    <w:uiPriority w:val="99"/>
    <w:rPr>
      <w:rFonts w:hint="eastAsia" w:ascii="宋体" w:hAnsi="宋体" w:eastAsia="宋体" w:cs="宋体"/>
      <w:color w:val="0031C1"/>
      <w:sz w:val="18"/>
      <w:szCs w:val="18"/>
      <w:u w:val="none"/>
    </w:rPr>
  </w:style>
  <w:style w:type="character" w:styleId="57">
    <w:name w:val="annotation reference"/>
    <w:qFormat/>
    <w:uiPriority w:val="0"/>
    <w:rPr>
      <w:rFonts w:ascii="Verdana" w:hAnsi="Verdana" w:eastAsia="仿宋_GB2312"/>
      <w:kern w:val="0"/>
      <w:sz w:val="21"/>
      <w:szCs w:val="21"/>
      <w:lang w:eastAsia="en-US"/>
    </w:rPr>
  </w:style>
  <w:style w:type="character" w:styleId="58">
    <w:name w:val="HTML Cite"/>
    <w:qFormat/>
    <w:uiPriority w:val="0"/>
    <w:rPr>
      <w:vanish/>
      <w:color w:val="008000"/>
    </w:rPr>
  </w:style>
  <w:style w:type="paragraph" w:customStyle="1" w:styleId="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63">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64">
    <w:name w:val="xl79"/>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5">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说明文字"/>
    <w:qFormat/>
    <w:uiPriority w:val="0"/>
    <w:pPr>
      <w:widowControl w:val="0"/>
      <w:autoSpaceDE w:val="0"/>
      <w:autoSpaceDN w:val="0"/>
      <w:adjustRightInd w:val="0"/>
      <w:spacing w:line="400" w:lineRule="atLeast"/>
      <w:ind w:firstLine="425"/>
      <w:jc w:val="both"/>
    </w:pPr>
    <w:rPr>
      <w:rFonts w:ascii="文鼎CS楷体" w:hAnsi="Times New Roman" w:eastAsia="文鼎CS楷体" w:cs="Times New Roman"/>
      <w:color w:val="000000"/>
      <w:sz w:val="22"/>
      <w:szCs w:val="22"/>
      <w:lang w:val="en-US" w:eastAsia="zh-CN" w:bidi="ar-SA"/>
    </w:rPr>
  </w:style>
  <w:style w:type="paragraph" w:customStyle="1" w:styleId="67">
    <w:name w:val="二级标题"/>
    <w:qFormat/>
    <w:uiPriority w:val="0"/>
    <w:pPr>
      <w:widowControl w:val="0"/>
      <w:autoSpaceDE w:val="0"/>
      <w:autoSpaceDN w:val="0"/>
      <w:adjustRightInd w:val="0"/>
      <w:spacing w:before="113" w:after="113" w:line="420" w:lineRule="atLeast"/>
      <w:jc w:val="both"/>
    </w:pPr>
    <w:rPr>
      <w:rFonts w:ascii="文鼎CS大隶书" w:hAnsi="Times New Roman" w:eastAsia="文鼎CS大隶书" w:cs="Times New Roman"/>
      <w:sz w:val="28"/>
      <w:szCs w:val="28"/>
      <w:lang w:val="en-US" w:eastAsia="zh-CN" w:bidi="ar-SA"/>
    </w:rPr>
  </w:style>
  <w:style w:type="paragraph" w:customStyle="1" w:styleId="68">
    <w:name w:val="xl66"/>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69">
    <w:name w:val="xl62"/>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70">
    <w:name w:val="xl5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7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_Style 1"/>
    <w:basedOn w:val="1"/>
    <w:qFormat/>
    <w:uiPriority w:val="34"/>
    <w:pPr>
      <w:ind w:firstLine="420" w:firstLineChars="200"/>
    </w:pPr>
  </w:style>
  <w:style w:type="paragraph" w:customStyle="1" w:styleId="73">
    <w:name w:val="列出段落4"/>
    <w:basedOn w:val="1"/>
    <w:qFormat/>
    <w:uiPriority w:val="99"/>
    <w:pPr>
      <w:ind w:firstLine="420" w:firstLineChars="200"/>
    </w:pPr>
    <w:rPr>
      <w:rFonts w:ascii="Calibri" w:hAnsi="Calibri"/>
      <w:szCs w:val="22"/>
    </w:rPr>
  </w:style>
  <w:style w:type="paragraph" w:customStyle="1" w:styleId="74">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75">
    <w:name w:val="2册标题3"/>
    <w:basedOn w:val="1"/>
    <w:next w:val="1"/>
    <w:qFormat/>
    <w:uiPriority w:val="0"/>
    <w:pPr>
      <w:spacing w:before="156" w:beforeLines="50" w:after="156" w:afterLines="50" w:line="300" w:lineRule="auto"/>
      <w:ind w:left="210" w:leftChars="100"/>
      <w:jc w:val="center"/>
      <w:outlineLvl w:val="2"/>
    </w:pPr>
    <w:rPr>
      <w:rFonts w:ascii="宋体" w:hAnsi="宋体" w:cs="Arial"/>
      <w:b/>
      <w:bCs/>
      <w:sz w:val="30"/>
      <w:szCs w:val="28"/>
    </w:rPr>
  </w:style>
  <w:style w:type="paragraph" w:customStyle="1" w:styleId="76">
    <w:name w:val="Default"/>
    <w:link w:val="24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60"/>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79">
    <w:name w:val="案例标题"/>
    <w:qFormat/>
    <w:uiPriority w:val="0"/>
    <w:pPr>
      <w:widowControl w:val="0"/>
      <w:autoSpaceDE w:val="0"/>
      <w:autoSpaceDN w:val="0"/>
      <w:adjustRightInd w:val="0"/>
      <w:spacing w:before="57" w:after="57" w:line="400" w:lineRule="atLeast"/>
      <w:jc w:val="center"/>
    </w:pPr>
    <w:rPr>
      <w:rFonts w:ascii="文鼎CS中宋" w:hAnsi="Times New Roman" w:eastAsia="文鼎CS中宋" w:cs="Times New Roman"/>
      <w:szCs w:val="24"/>
      <w:lang w:val="en-US" w:eastAsia="zh-CN" w:bidi="ar-SA"/>
    </w:rPr>
  </w:style>
  <w:style w:type="paragraph" w:customStyle="1" w:styleId="80">
    <w:name w:val="回信地址"/>
    <w:basedOn w:val="1"/>
    <w:qFormat/>
    <w:uiPriority w:val="0"/>
    <w:pPr>
      <w:keepLines/>
      <w:widowControl/>
      <w:spacing w:line="200" w:lineRule="atLeast"/>
      <w:ind w:right="-120"/>
      <w:jc w:val="left"/>
    </w:pPr>
    <w:rPr>
      <w:kern w:val="0"/>
      <w:sz w:val="16"/>
      <w:szCs w:val="16"/>
    </w:rPr>
  </w:style>
  <w:style w:type="paragraph" w:customStyle="1" w:styleId="81">
    <w:name w:val="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8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Arial Unicode MS" w:cs="Arial"/>
      <w:kern w:val="0"/>
      <w:sz w:val="20"/>
      <w:szCs w:val="20"/>
    </w:rPr>
  </w:style>
  <w:style w:type="paragraph" w:customStyle="1" w:styleId="8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eastAsia="Arial Unicode MS" w:cs="Arial"/>
      <w:kern w:val="0"/>
      <w:sz w:val="20"/>
      <w:szCs w:val="20"/>
    </w:rPr>
  </w:style>
  <w:style w:type="paragraph" w:customStyle="1" w:styleId="86">
    <w:name w:val="Char Char Char"/>
    <w:basedOn w:val="1"/>
    <w:qFormat/>
    <w:uiPriority w:val="0"/>
    <w:pPr>
      <w:spacing w:line="360" w:lineRule="auto"/>
      <w:ind w:firstLine="560" w:firstLineChars="200"/>
    </w:pPr>
    <w:rPr>
      <w:rFonts w:ascii="Calibri" w:hAnsi="Calibri"/>
      <w:szCs w:val="20"/>
    </w:rPr>
  </w:style>
  <w:style w:type="paragraph" w:customStyle="1" w:styleId="87">
    <w:name w:val="小标题 2"/>
    <w:basedOn w:val="88"/>
    <w:qFormat/>
    <w:uiPriority w:val="0"/>
    <w:pPr>
      <w:spacing w:before="57" w:after="57" w:line="400" w:lineRule="atLeast"/>
      <w:ind w:firstLine="539"/>
      <w:jc w:val="left"/>
    </w:pPr>
    <w:rPr>
      <w:rFonts w:ascii="文鼎CS中宋" w:eastAsia="文鼎CS中宋"/>
      <w:sz w:val="20"/>
      <w:szCs w:val="24"/>
    </w:rPr>
  </w:style>
  <w:style w:type="paragraph" w:customStyle="1" w:styleId="8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9">
    <w:name w:val="列出段落11"/>
    <w:basedOn w:val="1"/>
    <w:qFormat/>
    <w:uiPriority w:val="99"/>
    <w:pPr>
      <w:ind w:firstLine="420" w:firstLineChars="200"/>
    </w:pPr>
    <w:rPr>
      <w:szCs w:val="21"/>
    </w:rPr>
  </w:style>
  <w:style w:type="paragraph" w:customStyle="1" w:styleId="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2">
    <w:name w:val=" Char Char Char Char"/>
    <w:basedOn w:val="1"/>
    <w:link w:val="263"/>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4"/>
    <w:basedOn w:val="1"/>
    <w:qFormat/>
    <w:uiPriority w:val="0"/>
    <w:pPr>
      <w:numPr>
        <w:ilvl w:val="3"/>
        <w:numId w:val="2"/>
      </w:numPr>
      <w:tabs>
        <w:tab w:val="left" w:pos="757"/>
        <w:tab w:val="left" w:pos="2040"/>
      </w:tabs>
      <w:spacing w:before="120" w:after="120" w:line="360" w:lineRule="auto"/>
      <w:ind w:firstLine="397"/>
    </w:pPr>
    <w:rPr>
      <w:b/>
      <w:sz w:val="28"/>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Arial Unicode MS"/>
      <w:kern w:val="0"/>
      <w:sz w:val="20"/>
      <w:szCs w:val="20"/>
    </w:rPr>
  </w:style>
  <w:style w:type="paragraph" w:customStyle="1" w:styleId="95">
    <w:name w:val="样式 宋体 小四 行距: 1.5 倍行距"/>
    <w:basedOn w:val="5"/>
    <w:qFormat/>
    <w:uiPriority w:val="0"/>
    <w:pPr>
      <w:spacing w:after="78" w:afterLines="25" w:line="360" w:lineRule="auto"/>
    </w:pPr>
    <w:rPr>
      <w:rFonts w:ascii="宋体" w:hAnsi="宋体" w:eastAsia="宋体"/>
      <w:b w:val="0"/>
      <w:sz w:val="24"/>
      <w:szCs w:val="20"/>
    </w:rPr>
  </w:style>
  <w:style w:type="paragraph" w:customStyle="1" w:styleId="96">
    <w:name w:val="样式 标题 + (中文) 黑体 五号 非加粗 段前: 6 磅 段后: 6 磅"/>
    <w:basedOn w:val="44"/>
    <w:qFormat/>
    <w:uiPriority w:val="0"/>
    <w:pPr>
      <w:adjustRightInd w:val="0"/>
      <w:snapToGrid w:val="0"/>
      <w:spacing w:before="0" w:after="0" w:line="600" w:lineRule="exact"/>
      <w:outlineLvl w:val="9"/>
    </w:pPr>
    <w:rPr>
      <w:rFonts w:ascii="黑体" w:hAnsi="Times New Roman" w:eastAsia="黑体" w:cs="Times New Roman"/>
      <w:b w:val="0"/>
      <w:bCs w:val="0"/>
      <w:szCs w:val="20"/>
    </w:rPr>
  </w:style>
  <w:style w:type="paragraph" w:customStyle="1" w:styleId="97">
    <w:name w:val="默认段落字体 Para Char Char Char Char"/>
    <w:basedOn w:val="1"/>
    <w:qFormat/>
    <w:uiPriority w:val="0"/>
  </w:style>
  <w:style w:type="paragraph" w:customStyle="1" w:styleId="98">
    <w:name w:val="xl75"/>
    <w:basedOn w:val="1"/>
    <w:qFormat/>
    <w:uiPriority w:val="0"/>
    <w:pPr>
      <w:widowControl/>
      <w:pBdr>
        <w:top w:val="single" w:color="auto" w:sz="4"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100">
    <w:name w:val=" Char Char Char Char Char"/>
    <w:basedOn w:val="1"/>
    <w:qFormat/>
    <w:uiPriority w:val="0"/>
    <w:rPr>
      <w:rFonts w:ascii="Tahoma" w:hAnsi="Tahoma"/>
      <w:sz w:val="24"/>
      <w:szCs w:val="20"/>
    </w:rPr>
  </w:style>
  <w:style w:type="paragraph" w:customStyle="1" w:styleId="101">
    <w:name w:val="xl77"/>
    <w:basedOn w:val="1"/>
    <w:qFormat/>
    <w:uiPriority w:val="0"/>
    <w:pPr>
      <w:widowControl/>
      <w:pBdr>
        <w:top w:val="single" w:color="auto" w:sz="4" w:space="0"/>
        <w:bottom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02">
    <w:name w:val="小标题"/>
    <w:basedOn w:val="1"/>
    <w:qFormat/>
    <w:uiPriority w:val="0"/>
    <w:pPr>
      <w:tabs>
        <w:tab w:val="left" w:pos="720"/>
      </w:tabs>
      <w:spacing w:before="120" w:after="120"/>
      <w:ind w:left="720" w:firstLine="454"/>
    </w:pPr>
    <w:rPr>
      <w:b/>
      <w:sz w:val="24"/>
      <w:szCs w:val="20"/>
    </w:rPr>
  </w:style>
  <w:style w:type="paragraph" w:customStyle="1" w:styleId="103">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04">
    <w:name w:val="楷体"/>
    <w:basedOn w:val="1"/>
    <w:next w:val="1"/>
    <w:qFormat/>
    <w:uiPriority w:val="0"/>
    <w:pPr>
      <w:autoSpaceDE w:val="0"/>
      <w:autoSpaceDN w:val="0"/>
      <w:adjustRightInd w:val="0"/>
      <w:spacing w:line="420" w:lineRule="atLeast"/>
    </w:pPr>
    <w:rPr>
      <w:rFonts w:ascii="文鼎CS楷体" w:eastAsia="文鼎CS楷体"/>
      <w:spacing w:val="200"/>
      <w:kern w:val="0"/>
      <w:szCs w:val="21"/>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Char Char Char Char1"/>
    <w:basedOn w:val="1"/>
    <w:qFormat/>
    <w:uiPriority w:val="0"/>
    <w:pPr>
      <w:widowControl/>
      <w:spacing w:afterLines="25" w:line="240" w:lineRule="exact"/>
      <w:jc w:val="left"/>
    </w:pPr>
    <w:rPr>
      <w:rFonts w:ascii="Verdana" w:hAnsi="Verdana" w:eastAsia="仿宋_GB2312"/>
      <w:kern w:val="0"/>
      <w:sz w:val="24"/>
      <w:szCs w:val="20"/>
      <w:lang w:eastAsia="en-US"/>
    </w:rPr>
  </w:style>
  <w:style w:type="paragraph" w:customStyle="1" w:styleId="107">
    <w:name w:val="样式1"/>
    <w:basedOn w:val="44"/>
    <w:qFormat/>
    <w:uiPriority w:val="0"/>
    <w:pPr>
      <w:spacing w:before="120" w:after="120"/>
    </w:pPr>
    <w:rPr>
      <w:rFonts w:eastAsia="黑体"/>
      <w:b w:val="0"/>
      <w:sz w:val="30"/>
      <w:szCs w:val="21"/>
    </w:rPr>
  </w:style>
  <w:style w:type="paragraph" w:customStyle="1" w:styleId="108">
    <w:name w:val="xl63"/>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109">
    <w:name w:val="xl45"/>
    <w:basedOn w:val="1"/>
    <w:qFormat/>
    <w:uiPriority w:val="0"/>
    <w:pPr>
      <w:widowControl/>
      <w:pBdr>
        <w:top w:val="single" w:color="auto" w:sz="8" w:space="0"/>
        <w:left w:val="single" w:color="auto" w:sz="8"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110">
    <w:name w:val=" Char Char"/>
    <w:basedOn w:val="1"/>
    <w:qFormat/>
    <w:uiPriority w:val="0"/>
    <w:rPr>
      <w:rFonts w:ascii="Tahoma" w:hAnsi="Tahoma"/>
      <w:sz w:val="24"/>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Unicode MS" w:cs="Arial"/>
      <w:kern w:val="0"/>
      <w:sz w:val="20"/>
      <w:szCs w:val="20"/>
    </w:rPr>
  </w:style>
  <w:style w:type="paragraph" w:customStyle="1" w:styleId="11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13">
    <w:name w:val="一级"/>
    <w:basedOn w:val="1"/>
    <w:qFormat/>
    <w:uiPriority w:val="0"/>
    <w:pPr>
      <w:numPr>
        <w:ilvl w:val="0"/>
        <w:numId w:val="3"/>
      </w:numPr>
    </w:pPr>
    <w:rPr>
      <w:b/>
    </w:rPr>
  </w:style>
  <w:style w:type="paragraph" w:customStyle="1" w:styleId="114">
    <w:name w:val="表头"/>
    <w:qFormat/>
    <w:uiPriority w:val="0"/>
    <w:pPr>
      <w:widowControl w:val="0"/>
      <w:autoSpaceDE w:val="0"/>
      <w:autoSpaceDN w:val="0"/>
      <w:adjustRightInd w:val="0"/>
      <w:jc w:val="center"/>
    </w:pPr>
    <w:rPr>
      <w:rFonts w:ascii="文鼎CS中黑" w:hAnsi="Times New Roman" w:eastAsia="文鼎CS中黑" w:cs="Times New Roman"/>
      <w:sz w:val="22"/>
      <w:szCs w:val="22"/>
      <w:lang w:val="en-US" w:eastAsia="zh-CN" w:bidi="ar-SA"/>
    </w:rPr>
  </w:style>
  <w:style w:type="paragraph" w:customStyle="1" w:styleId="115">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116">
    <w:name w:val="样式5"/>
    <w:basedOn w:val="1"/>
    <w:qFormat/>
    <w:uiPriority w:val="0"/>
    <w:pPr>
      <w:numPr>
        <w:ilvl w:val="4"/>
        <w:numId w:val="1"/>
      </w:numPr>
      <w:tabs>
        <w:tab w:val="left" w:pos="360"/>
        <w:tab w:val="left" w:pos="980"/>
      </w:tabs>
      <w:spacing w:line="360" w:lineRule="auto"/>
    </w:pPr>
    <w:rPr>
      <w:sz w:val="24"/>
      <w:szCs w:val="20"/>
    </w:rPr>
  </w:style>
  <w:style w:type="paragraph" w:customStyle="1" w:styleId="117">
    <w:name w:val="样式1 Char Char"/>
    <w:basedOn w:val="1"/>
    <w:next w:val="25"/>
    <w:qFormat/>
    <w:uiPriority w:val="0"/>
    <w:pPr>
      <w:spacing w:line="360" w:lineRule="auto"/>
      <w:ind w:firstLine="516" w:firstLineChars="215"/>
    </w:pPr>
    <w:rPr>
      <w:sz w:val="24"/>
      <w:szCs w:val="20"/>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19">
    <w:name w:val="xl50"/>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1册标题3"/>
    <w:basedOn w:val="1"/>
    <w:next w:val="1"/>
    <w:qFormat/>
    <w:uiPriority w:val="0"/>
    <w:pPr>
      <w:keepNext/>
      <w:keepLines/>
      <w:adjustRightInd w:val="0"/>
      <w:spacing w:before="156" w:beforeLines="50" w:after="156" w:afterLines="50" w:line="300" w:lineRule="auto"/>
      <w:textAlignment w:val="baseline"/>
      <w:outlineLvl w:val="2"/>
    </w:pPr>
    <w:rPr>
      <w:rFonts w:ascii="Arial" w:hAnsi="Arial" w:eastAsia="黑体"/>
      <w:kern w:val="0"/>
      <w:sz w:val="30"/>
      <w:szCs w:val="20"/>
    </w:rPr>
  </w:style>
  <w:style w:type="paragraph" w:customStyle="1" w:styleId="122">
    <w:name w:val="列表项目"/>
    <w:basedOn w:val="1"/>
    <w:qFormat/>
    <w:uiPriority w:val="0"/>
    <w:pPr>
      <w:numPr>
        <w:ilvl w:val="0"/>
        <w:numId w:val="4"/>
      </w:numPr>
      <w:spacing w:line="288" w:lineRule="auto"/>
      <w:ind w:left="355" w:leftChars="200" w:hanging="155" w:hangingChars="155"/>
    </w:pPr>
    <w:rPr>
      <w:sz w:val="24"/>
      <w:szCs w:val="20"/>
    </w:rPr>
  </w:style>
  <w:style w:type="paragraph" w:customStyle="1" w:styleId="123">
    <w:name w:val="标题5"/>
    <w:basedOn w:val="5"/>
    <w:qFormat/>
    <w:uiPriority w:val="0"/>
    <w:pPr>
      <w:spacing w:before="156" w:after="156" w:line="180" w:lineRule="atLeast"/>
    </w:pPr>
    <w:rPr>
      <w:rFonts w:ascii="Times New Roman" w:hAnsi="Times New Roman" w:eastAsia="宋体"/>
      <w:b w:val="0"/>
      <w:bCs w:val="0"/>
      <w:sz w:val="24"/>
      <w:szCs w:val="20"/>
    </w:rPr>
  </w:style>
  <w:style w:type="paragraph" w:customStyle="1" w:styleId="124">
    <w:name w:val="xl88"/>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right"/>
      <w:textAlignment w:val="bottom"/>
    </w:pPr>
    <w:rPr>
      <w:rFonts w:hint="eastAsia" w:ascii="黑体" w:hAnsi="Arial Unicode MS" w:eastAsia="黑体" w:cs="Arial Unicode MS"/>
      <w:b/>
      <w:bCs/>
      <w:kern w:val="0"/>
      <w:sz w:val="24"/>
    </w:rPr>
  </w:style>
  <w:style w:type="paragraph" w:customStyle="1" w:styleId="125">
    <w:name w:val="xl55"/>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2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27">
    <w:name w:val="表格内文字"/>
    <w:basedOn w:val="1"/>
    <w:qFormat/>
    <w:uiPriority w:val="0"/>
    <w:rPr>
      <w:sz w:val="24"/>
      <w:szCs w:val="20"/>
    </w:rPr>
  </w:style>
  <w:style w:type="paragraph" w:customStyle="1" w:styleId="128">
    <w:name w:val="p9"/>
    <w:basedOn w:val="1"/>
    <w:qFormat/>
    <w:uiPriority w:val="0"/>
    <w:pPr>
      <w:widowControl/>
      <w:spacing w:before="100" w:beforeAutospacing="1" w:after="100" w:afterAutospacing="1"/>
      <w:jc w:val="left"/>
    </w:pPr>
    <w:rPr>
      <w:rFonts w:ascii="_x000B__x000C_" w:hAnsi="_x000B__x000C_" w:eastAsia="Arial Unicode MS"/>
      <w:color w:val="000000"/>
      <w:kern w:val="0"/>
      <w:sz w:val="18"/>
      <w:szCs w:val="18"/>
    </w:rPr>
  </w:style>
  <w:style w:type="paragraph" w:customStyle="1" w:styleId="129">
    <w:name w:val="正文（不缩进）"/>
    <w:basedOn w:val="1"/>
    <w:qFormat/>
    <w:uiPriority w:val="0"/>
    <w:pPr>
      <w:tabs>
        <w:tab w:val="left" w:pos="420"/>
      </w:tabs>
      <w:spacing w:line="360" w:lineRule="auto"/>
    </w:pPr>
    <w:rPr>
      <w:sz w:val="24"/>
      <w:szCs w:val="20"/>
    </w:rPr>
  </w:style>
  <w:style w:type="paragraph" w:customStyle="1" w:styleId="130">
    <w:name w:val="xl49"/>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31">
    <w:name w:val="三级"/>
    <w:basedOn w:val="132"/>
    <w:qFormat/>
    <w:uiPriority w:val="0"/>
  </w:style>
  <w:style w:type="paragraph" w:customStyle="1" w:styleId="132">
    <w:name w:val="二级"/>
    <w:basedOn w:val="1"/>
    <w:qFormat/>
    <w:uiPriority w:val="0"/>
    <w:rPr>
      <w:rFonts w:ascii="宋体" w:hAnsi="宋体"/>
      <w:szCs w:val="21"/>
    </w:rPr>
  </w:style>
  <w:style w:type="paragraph" w:customStyle="1" w:styleId="133">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34">
    <w:name w:val="样式41"/>
    <w:basedOn w:val="1"/>
    <w:qFormat/>
    <w:uiPriority w:val="0"/>
    <w:pPr>
      <w:numPr>
        <w:ilvl w:val="0"/>
        <w:numId w:val="2"/>
      </w:numPr>
      <w:tabs>
        <w:tab w:val="left" w:pos="945"/>
        <w:tab w:val="clear" w:pos="2040"/>
      </w:tabs>
      <w:spacing w:line="360" w:lineRule="auto"/>
    </w:pPr>
    <w:rPr>
      <w:b/>
      <w:color w:val="000000"/>
      <w:sz w:val="24"/>
      <w:szCs w:val="20"/>
    </w:rPr>
  </w:style>
  <w:style w:type="paragraph" w:customStyle="1" w:styleId="135">
    <w:name w:val="小标题3"/>
    <w:basedOn w:val="1"/>
    <w:qFormat/>
    <w:uiPriority w:val="0"/>
    <w:pPr>
      <w:autoSpaceDE w:val="0"/>
      <w:autoSpaceDN w:val="0"/>
      <w:adjustRightInd w:val="0"/>
      <w:spacing w:line="400" w:lineRule="atLeast"/>
      <w:ind w:firstLine="510"/>
    </w:pPr>
    <w:rPr>
      <w:rFonts w:ascii="文鼎CS楷体" w:eastAsia="文鼎CS楷体"/>
      <w:kern w:val="0"/>
      <w:sz w:val="22"/>
      <w:szCs w:val="22"/>
    </w:rPr>
  </w:style>
  <w:style w:type="paragraph" w:customStyle="1" w:styleId="136">
    <w:name w:val="正文BIAO"/>
    <w:basedOn w:val="1"/>
    <w:qFormat/>
    <w:uiPriority w:val="0"/>
    <w:pPr>
      <w:numPr>
        <w:ilvl w:val="0"/>
        <w:numId w:val="5"/>
      </w:numPr>
      <w:tabs>
        <w:tab w:val="left" w:pos="360"/>
      </w:tabs>
      <w:spacing w:before="156" w:beforeLines="50" w:after="156" w:afterLines="50" w:line="360" w:lineRule="auto"/>
    </w:pPr>
    <w:rPr>
      <w:rFonts w:eastAsia="黑体"/>
      <w:sz w:val="24"/>
    </w:rPr>
  </w:style>
  <w:style w:type="paragraph" w:customStyle="1" w:styleId="137">
    <w:name w:val="系统正文"/>
    <w:basedOn w:val="1"/>
    <w:qFormat/>
    <w:uiPriority w:val="0"/>
    <w:pPr>
      <w:spacing w:line="420" w:lineRule="exact"/>
      <w:ind w:firstLine="420" w:firstLineChars="200"/>
    </w:pPr>
    <w:rPr>
      <w:rFonts w:ascii="宋体" w:hAnsi="宋体"/>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139">
    <w:name w:val="标题6"/>
    <w:basedOn w:val="1"/>
    <w:qFormat/>
    <w:uiPriority w:val="0"/>
    <w:pPr>
      <w:numPr>
        <w:ilvl w:val="0"/>
        <w:numId w:val="4"/>
      </w:numPr>
      <w:spacing w:line="480" w:lineRule="atLeast"/>
      <w:jc w:val="left"/>
    </w:pPr>
    <w:rPr>
      <w:rFonts w:eastAsia="仿宋_GB2312"/>
      <w:spacing w:val="10"/>
      <w:sz w:val="30"/>
      <w:szCs w:val="20"/>
    </w:rPr>
  </w:style>
  <w:style w:type="paragraph" w:customStyle="1" w:styleId="140">
    <w:name w:val="修订1"/>
    <w:unhideWhenUsed/>
    <w:qFormat/>
    <w:uiPriority w:val="99"/>
    <w:rPr>
      <w:rFonts w:ascii="Calibri" w:hAnsi="Calibri" w:eastAsia="宋体" w:cs="Times New Roman"/>
      <w:kern w:val="2"/>
      <w:sz w:val="21"/>
      <w:szCs w:val="22"/>
      <w:lang w:val="en-US" w:eastAsia="zh-CN" w:bidi="ar-SA"/>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142">
    <w:name w:val="font8"/>
    <w:basedOn w:val="1"/>
    <w:qFormat/>
    <w:uiPriority w:val="0"/>
    <w:pPr>
      <w:widowControl/>
      <w:spacing w:before="100" w:beforeAutospacing="1" w:after="100" w:afterAutospacing="1"/>
      <w:jc w:val="left"/>
    </w:pPr>
    <w:rPr>
      <w:rFonts w:eastAsia="Arial Unicode MS"/>
      <w:kern w:val="0"/>
      <w:sz w:val="24"/>
    </w:rPr>
  </w:style>
  <w:style w:type="paragraph" w:customStyle="1" w:styleId="143">
    <w:name w:val="12册标题"/>
    <w:basedOn w:val="1"/>
    <w:next w:val="1"/>
    <w:qFormat/>
    <w:uiPriority w:val="0"/>
    <w:pPr>
      <w:spacing w:before="156" w:beforeLines="50" w:after="156" w:afterLines="50" w:line="300" w:lineRule="auto"/>
      <w:jc w:val="center"/>
      <w:outlineLvl w:val="0"/>
    </w:pPr>
    <w:rPr>
      <w:rFonts w:ascii="Arial" w:hAnsi="Arial" w:eastAsia="黑体"/>
      <w:sz w:val="44"/>
      <w:szCs w:val="20"/>
    </w:rPr>
  </w:style>
  <w:style w:type="paragraph" w:customStyle="1" w:styleId="144">
    <w:name w:val="系统一级标题"/>
    <w:basedOn w:val="137"/>
    <w:qFormat/>
    <w:uiPriority w:val="0"/>
    <w:pPr>
      <w:spacing w:line="480" w:lineRule="auto"/>
      <w:ind w:firstLine="0" w:firstLineChars="0"/>
    </w:pPr>
    <w:rPr>
      <w:rFonts w:ascii="隶书" w:eastAsia="隶书"/>
      <w:sz w:val="28"/>
    </w:rPr>
  </w:style>
  <w:style w:type="paragraph" w:customStyle="1" w:styleId="145">
    <w:name w:val="xl61"/>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46">
    <w:name w:val="List Paragraph1"/>
    <w:basedOn w:val="1"/>
    <w:qFormat/>
    <w:uiPriority w:val="34"/>
    <w:pPr>
      <w:ind w:firstLine="420" w:firstLineChars="200"/>
    </w:pPr>
    <w:rPr>
      <w:rFonts w:ascii="Calibri" w:hAnsi="Calibri"/>
    </w:rPr>
  </w:style>
  <w:style w:type="paragraph" w:customStyle="1" w:styleId="147">
    <w:name w:val="xl51"/>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0"/>
      <w:szCs w:val="20"/>
    </w:rPr>
  </w:style>
  <w:style w:type="paragraph" w:customStyle="1" w:styleId="149">
    <w:name w:val="编号1"/>
    <w:basedOn w:val="1"/>
    <w:qFormat/>
    <w:uiPriority w:val="0"/>
    <w:pPr>
      <w:numPr>
        <w:ilvl w:val="0"/>
        <w:numId w:val="5"/>
      </w:numPr>
      <w:tabs>
        <w:tab w:val="left" w:pos="425"/>
      </w:tabs>
      <w:adjustRightInd w:val="0"/>
      <w:spacing w:line="300" w:lineRule="auto"/>
      <w:ind w:right="210"/>
      <w:textAlignment w:val="center"/>
    </w:pPr>
    <w:rPr>
      <w:rFonts w:ascii="宋体" w:hAnsi="宋体"/>
      <w:snapToGrid w:val="0"/>
      <w:spacing w:val="10"/>
      <w:kern w:val="24"/>
      <w:szCs w:val="20"/>
    </w:rPr>
  </w:style>
  <w:style w:type="paragraph" w:customStyle="1" w:styleId="150">
    <w:name w:val="List Bulleted Item 2"/>
    <w:basedOn w:val="1"/>
    <w:qFormat/>
    <w:uiPriority w:val="0"/>
    <w:pPr>
      <w:widowControl/>
      <w:numPr>
        <w:ilvl w:val="0"/>
        <w:numId w:val="3"/>
      </w:numPr>
      <w:tabs>
        <w:tab w:val="left" w:pos="1410"/>
      </w:tabs>
      <w:spacing w:before="40" w:after="80" w:line="240" w:lineRule="exact"/>
      <w:ind w:left="1410"/>
      <w:jc w:val="left"/>
    </w:pPr>
    <w:rPr>
      <w:rFonts w:ascii="Arial" w:hAnsi="Arial"/>
      <w:kern w:val="0"/>
      <w:sz w:val="20"/>
      <w:szCs w:val="20"/>
      <w:lang w:eastAsia="en-US"/>
    </w:rPr>
  </w:style>
  <w:style w:type="paragraph" w:customStyle="1" w:styleId="151">
    <w:name w:val="大标题"/>
    <w:qFormat/>
    <w:uiPriority w:val="0"/>
    <w:pPr>
      <w:widowControl w:val="0"/>
      <w:autoSpaceDE w:val="0"/>
      <w:autoSpaceDN w:val="0"/>
      <w:adjustRightInd w:val="0"/>
      <w:jc w:val="center"/>
    </w:pPr>
    <w:rPr>
      <w:rFonts w:ascii="文鼎CS中黑" w:hAnsi="Times New Roman" w:eastAsia="文鼎CS中黑" w:cs="Times New Roman"/>
      <w:sz w:val="36"/>
      <w:szCs w:val="36"/>
      <w:lang w:val="en-US" w:eastAsia="zh-CN" w:bidi="ar-SA"/>
    </w:rPr>
  </w:style>
  <w:style w:type="paragraph" w:customStyle="1" w:styleId="152">
    <w:name w:val="xl67"/>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3">
    <w:name w:val="xl78"/>
    <w:basedOn w:val="1"/>
    <w:qFormat/>
    <w:uiPriority w:val="0"/>
    <w:pPr>
      <w:widowControl/>
      <w:pBdr>
        <w:top w:val="single" w:color="auto" w:sz="4" w:space="0"/>
        <w:bottom w:val="single" w:color="auto" w:sz="4" w:space="0"/>
      </w:pBdr>
      <w:shd w:val="clear" w:color="auto" w:fill="CCFFCC"/>
      <w:spacing w:before="100" w:beforeAutospacing="1" w:after="100" w:afterAutospacing="1"/>
      <w:textAlignment w:val="top"/>
    </w:pPr>
    <w:rPr>
      <w:rFonts w:ascii="Arial" w:hAnsi="Arial" w:eastAsia="Arial Unicode MS" w:cs="Arial"/>
      <w:kern w:val="0"/>
      <w:sz w:val="20"/>
      <w:szCs w:val="20"/>
    </w:rPr>
  </w:style>
  <w:style w:type="paragraph" w:customStyle="1" w:styleId="15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op_mapdots_left"/>
    <w:basedOn w:val="1"/>
    <w:qFormat/>
    <w:uiPriority w:val="0"/>
    <w:pPr>
      <w:jc w:val="left"/>
    </w:pPr>
    <w:rPr>
      <w:rFonts w:ascii="Calibri" w:hAnsi="Calibri"/>
      <w:kern w:val="0"/>
    </w:rPr>
  </w:style>
  <w:style w:type="paragraph" w:customStyle="1" w:styleId="156">
    <w:name w:val="xl65"/>
    <w:basedOn w:val="1"/>
    <w:qFormat/>
    <w:uiPriority w:val="0"/>
    <w:pPr>
      <w:widowControl/>
      <w:pBdr>
        <w:bottom w:val="single" w:color="auto" w:sz="8" w:space="0"/>
      </w:pBdr>
      <w:spacing w:before="100" w:beforeAutospacing="1" w:after="100" w:afterAutospacing="1"/>
      <w:jc w:val="center"/>
    </w:pPr>
    <w:rPr>
      <w:rFonts w:hint="eastAsia" w:ascii="华文新魏" w:hAnsi="Arial Unicode MS" w:eastAsia="华文新魏" w:cs="Arial Unicode MS"/>
      <w:kern w:val="0"/>
      <w:sz w:val="32"/>
      <w:szCs w:val="32"/>
    </w:rPr>
  </w:style>
  <w:style w:type="paragraph" w:customStyle="1" w:styleId="157">
    <w:name w:val="xl80"/>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Arial" w:hAnsi="Arial" w:eastAsia="Arial Unicode MS" w:cs="Arial"/>
      <w:kern w:val="0"/>
      <w:sz w:val="20"/>
      <w:szCs w:val="20"/>
    </w:rPr>
  </w:style>
  <w:style w:type="paragraph" w:customStyle="1" w:styleId="158">
    <w:name w:val="xl6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0">
    <w:name w:val="列出段落1"/>
    <w:basedOn w:val="1"/>
    <w:qFormat/>
    <w:uiPriority w:val="99"/>
    <w:pPr>
      <w:ind w:firstLine="420" w:firstLineChars="200"/>
    </w:pPr>
    <w:rPr>
      <w:rFonts w:ascii="Cambria" w:hAnsi="Cambria" w:eastAsia="宋体" w:cs="Times New Roman"/>
      <w:sz w:val="24"/>
    </w:rPr>
  </w:style>
  <w:style w:type="paragraph" w:customStyle="1" w:styleId="161">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xl90"/>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Arial Unicode MS" w:hAnsi="Arial Unicode MS" w:eastAsia="Arial Unicode MS" w:cs="Arial Unicode MS"/>
      <w:b/>
      <w:bCs/>
      <w:color w:val="000080"/>
      <w:kern w:val="0"/>
      <w:sz w:val="20"/>
      <w:szCs w:val="20"/>
    </w:rPr>
  </w:style>
  <w:style w:type="paragraph" w:customStyle="1" w:styleId="164">
    <w:name w:val="小标题1"/>
    <w:basedOn w:val="151"/>
    <w:qFormat/>
    <w:uiPriority w:val="0"/>
    <w:pPr>
      <w:ind w:left="556" w:hanging="556"/>
      <w:jc w:val="both"/>
    </w:pPr>
    <w:rPr>
      <w:rFonts w:ascii="文鼎CS楷体" w:eastAsia="文鼎CS楷体"/>
      <w:sz w:val="26"/>
      <w:szCs w:val="26"/>
    </w:rPr>
  </w:style>
  <w:style w:type="paragraph" w:customStyle="1" w:styleId="165">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7">
    <w:name w:val="content"/>
    <w:basedOn w:val="1"/>
    <w:qFormat/>
    <w:uiPriority w:val="0"/>
    <w:pPr>
      <w:widowControl/>
      <w:spacing w:before="192" w:after="192" w:line="240" w:lineRule="atLeast"/>
      <w:ind w:left="192" w:right="192"/>
      <w:jc w:val="left"/>
    </w:pPr>
    <w:rPr>
      <w:rFonts w:ascii="Arial" w:hAnsi="Arial" w:eastAsia="Arial Unicode MS" w:cs="Arial"/>
      <w:color w:val="153B63"/>
      <w:kern w:val="0"/>
      <w:sz w:val="19"/>
      <w:szCs w:val="19"/>
    </w:rPr>
  </w:style>
  <w:style w:type="paragraph" w:customStyle="1" w:styleId="168">
    <w:name w:val="xl87"/>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Arial Unicode MS" w:cs="Arial"/>
      <w:kern w:val="0"/>
      <w:sz w:val="20"/>
      <w:szCs w:val="20"/>
    </w:rPr>
  </w:style>
  <w:style w:type="paragraph" w:customStyle="1" w:styleId="171">
    <w:name w:val="--规划正文"/>
    <w:basedOn w:val="1"/>
    <w:qFormat/>
    <w:uiPriority w:val="99"/>
    <w:pPr>
      <w:spacing w:line="360" w:lineRule="auto"/>
      <w:ind w:firstLine="200" w:firstLineChars="200"/>
    </w:pPr>
    <w:rPr>
      <w:szCs w:val="20"/>
    </w:rPr>
  </w:style>
  <w:style w:type="paragraph" w:customStyle="1" w:styleId="172">
    <w:name w:val="2册标题1"/>
    <w:basedOn w:val="1"/>
    <w:next w:val="1"/>
    <w:qFormat/>
    <w:uiPriority w:val="0"/>
    <w:pPr>
      <w:spacing w:before="156" w:beforeLines="50" w:after="156" w:afterLines="50" w:line="300" w:lineRule="auto"/>
      <w:jc w:val="center"/>
      <w:outlineLvl w:val="0"/>
    </w:pPr>
    <w:rPr>
      <w:rFonts w:ascii="Arial" w:hAnsi="Arial" w:eastAsia="黑体"/>
      <w:sz w:val="32"/>
      <w:szCs w:val="32"/>
    </w:rPr>
  </w:style>
  <w:style w:type="paragraph" w:customStyle="1" w:styleId="173">
    <w:name w:val="font9"/>
    <w:basedOn w:val="1"/>
    <w:qFormat/>
    <w:uiPriority w:val="0"/>
    <w:pPr>
      <w:widowControl/>
      <w:spacing w:before="100" w:beforeAutospacing="1" w:after="100" w:afterAutospacing="1"/>
      <w:jc w:val="left"/>
    </w:pPr>
    <w:rPr>
      <w:rFonts w:hint="eastAsia" w:ascii="黑体" w:hAnsi="Arial Unicode MS" w:eastAsia="黑体" w:cs="Arial Unicode MS"/>
      <w:b/>
      <w:bCs/>
      <w:color w:val="333399"/>
      <w:kern w:val="0"/>
      <w:sz w:val="24"/>
    </w:rPr>
  </w:style>
  <w:style w:type="paragraph" w:customStyle="1" w:styleId="1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1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17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77">
    <w:name w:val="xl64"/>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eastAsia="Arial Unicode MS"/>
      <w:b/>
      <w:bCs/>
      <w:color w:val="333399"/>
      <w:kern w:val="0"/>
      <w:sz w:val="24"/>
    </w:rPr>
  </w:style>
  <w:style w:type="paragraph" w:customStyle="1" w:styleId="178">
    <w:name w:val="*正文"/>
    <w:basedOn w:val="1"/>
    <w:link w:val="272"/>
    <w:qFormat/>
    <w:uiPriority w:val="0"/>
    <w:pPr>
      <w:widowControl/>
      <w:spacing w:line="360" w:lineRule="auto"/>
      <w:ind w:firstLine="200" w:firstLineChars="200"/>
      <w:jc w:val="left"/>
    </w:pPr>
    <w:rPr>
      <w:rFonts w:ascii="仿宋_GB2312"/>
      <w:kern w:val="0"/>
      <w:sz w:val="24"/>
      <w:szCs w:val="28"/>
    </w:rPr>
  </w:style>
  <w:style w:type="paragraph" w:customStyle="1" w:styleId="179">
    <w:name w:val="段落"/>
    <w:basedOn w:val="1"/>
    <w:qFormat/>
    <w:uiPriority w:val="0"/>
    <w:pPr>
      <w:spacing w:before="120" w:after="120" w:line="0" w:lineRule="atLeast"/>
      <w:ind w:firstLine="567"/>
    </w:pPr>
    <w:rPr>
      <w:sz w:val="28"/>
      <w:szCs w:val="20"/>
    </w:rPr>
  </w:style>
  <w:style w:type="paragraph" w:customStyle="1" w:styleId="18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81">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182">
    <w:name w:val="案例一级标题"/>
    <w:qFormat/>
    <w:uiPriority w:val="0"/>
    <w:pPr>
      <w:widowControl w:val="0"/>
      <w:autoSpaceDE w:val="0"/>
      <w:autoSpaceDN w:val="0"/>
      <w:adjustRightInd w:val="0"/>
      <w:spacing w:line="400" w:lineRule="atLeast"/>
      <w:ind w:firstLine="425"/>
      <w:jc w:val="both"/>
    </w:pPr>
    <w:rPr>
      <w:rFonts w:ascii="文鼎CS中黑" w:hAnsi="Times New Roman" w:eastAsia="文鼎CS中黑" w:cs="Times New Roman"/>
      <w:szCs w:val="24"/>
      <w:lang w:val="en-US" w:eastAsia="zh-CN" w:bidi="ar-SA"/>
    </w:rPr>
  </w:style>
  <w:style w:type="paragraph" w:customStyle="1" w:styleId="183">
    <w:name w:val="1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184">
    <w:name w:val="abo_p"/>
    <w:basedOn w:val="1"/>
    <w:qFormat/>
    <w:uiPriority w:val="0"/>
    <w:pPr>
      <w:widowControl/>
      <w:spacing w:line="375" w:lineRule="atLeast"/>
      <w:jc w:val="left"/>
    </w:pPr>
    <w:rPr>
      <w:rFonts w:ascii="宋体" w:hAnsi="宋体" w:cs="宋体"/>
      <w:color w:val="333333"/>
      <w:kern w:val="0"/>
      <w:szCs w:val="21"/>
    </w:rPr>
  </w:style>
  <w:style w:type="paragraph" w:customStyle="1" w:styleId="185">
    <w:name w:val=" 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6">
    <w:name w:val="xl89"/>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000080"/>
      <w:kern w:val="0"/>
      <w:sz w:val="28"/>
      <w:szCs w:val="2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Arial Unicode MS"/>
      <w:kern w:val="0"/>
      <w:sz w:val="20"/>
      <w:szCs w:val="20"/>
    </w:rPr>
  </w:style>
  <w:style w:type="paragraph" w:styleId="188">
    <w:name w:val="List Paragraph"/>
    <w:basedOn w:val="1"/>
    <w:qFormat/>
    <w:uiPriority w:val="99"/>
    <w:pPr>
      <w:ind w:firstLine="420" w:firstLineChars="200"/>
    </w:pPr>
    <w:rPr>
      <w:rFonts w:ascii="Calibri" w:hAnsi="Calibri" w:eastAsia="宋体" w:cs="Times New Roman"/>
      <w:szCs w:val="22"/>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90">
    <w:name w:val="规范"/>
    <w:basedOn w:val="1"/>
    <w:next w:val="1"/>
    <w:qFormat/>
    <w:uiPriority w:val="0"/>
    <w:pPr>
      <w:numPr>
        <w:ilvl w:val="0"/>
        <w:numId w:val="6"/>
      </w:numPr>
      <w:tabs>
        <w:tab w:val="left" w:pos="420"/>
      </w:tabs>
      <w:spacing w:line="288" w:lineRule="auto"/>
      <w:ind w:left="420" w:hanging="420"/>
      <w:jc w:val="left"/>
    </w:pPr>
    <w:rPr>
      <w:sz w:val="24"/>
    </w:rPr>
  </w:style>
  <w:style w:type="paragraph" w:customStyle="1" w:styleId="191">
    <w:name w:val="xl84"/>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8"/>
      <w:szCs w:val="28"/>
    </w:rPr>
  </w:style>
  <w:style w:type="paragraph" w:customStyle="1" w:styleId="192">
    <w:name w:val="xl58"/>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3">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94">
    <w:name w:val="xl82"/>
    <w:basedOn w:val="1"/>
    <w:qFormat/>
    <w:uiPriority w:val="0"/>
    <w:pPr>
      <w:widowControl/>
      <w:pBdr>
        <w:top w:val="single" w:color="auto" w:sz="4" w:space="0"/>
        <w:left w:val="single" w:color="auto" w:sz="8" w:space="0"/>
        <w:bottom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5">
    <w:name w:val="大大标题"/>
    <w:basedOn w:val="1"/>
    <w:qFormat/>
    <w:uiPriority w:val="0"/>
    <w:pPr>
      <w:autoSpaceDE w:val="0"/>
      <w:autoSpaceDN w:val="0"/>
      <w:adjustRightInd w:val="0"/>
      <w:jc w:val="center"/>
    </w:pPr>
    <w:rPr>
      <w:rFonts w:ascii="黑体" w:eastAsia="黑体"/>
      <w:kern w:val="0"/>
      <w:sz w:val="32"/>
      <w:szCs w:val="36"/>
    </w:rPr>
  </w:style>
  <w:style w:type="paragraph" w:customStyle="1" w:styleId="196">
    <w:name w:val="电子编码"/>
    <w:basedOn w:val="1"/>
    <w:qFormat/>
    <w:uiPriority w:val="0"/>
    <w:pPr>
      <w:autoSpaceDE w:val="0"/>
      <w:autoSpaceDN w:val="0"/>
      <w:adjustRightInd w:val="0"/>
      <w:spacing w:before="170" w:after="170" w:line="360" w:lineRule="auto"/>
    </w:pPr>
    <w:rPr>
      <w:rFonts w:ascii="幼圆" w:eastAsia="幼圆"/>
      <w:b/>
      <w:bCs/>
      <w:color w:val="000000"/>
      <w:kern w:val="0"/>
      <w:sz w:val="22"/>
      <w:szCs w:val="20"/>
    </w:rPr>
  </w:style>
  <w:style w:type="paragraph" w:customStyle="1" w:styleId="197">
    <w:name w:val="样式2"/>
    <w:basedOn w:val="1"/>
    <w:qFormat/>
    <w:uiPriority w:val="0"/>
    <w:pPr>
      <w:numPr>
        <w:ilvl w:val="1"/>
        <w:numId w:val="1"/>
      </w:numPr>
      <w:tabs>
        <w:tab w:val="left" w:pos="360"/>
      </w:tabs>
      <w:spacing w:before="200" w:after="200" w:line="360" w:lineRule="auto"/>
    </w:pPr>
    <w:rPr>
      <w:b/>
      <w:sz w:val="32"/>
      <w:szCs w:val="20"/>
    </w:rPr>
  </w:style>
  <w:style w:type="paragraph" w:customStyle="1" w:styleId="198">
    <w:name w:val=" Char1 Char Char Char Char Char Char"/>
    <w:basedOn w:val="1"/>
    <w:qFormat/>
    <w:uiPriority w:val="0"/>
    <w:pPr>
      <w:widowControl/>
      <w:spacing w:after="160" w:line="240" w:lineRule="exact"/>
      <w:jc w:val="left"/>
    </w:pPr>
    <w:rPr>
      <w:szCs w:val="20"/>
    </w:rPr>
  </w:style>
  <w:style w:type="paragraph" w:customStyle="1" w:styleId="199">
    <w:name w:val="xl35"/>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00">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201">
    <w:name w:val="系统表格字体"/>
    <w:basedOn w:val="137"/>
    <w:qFormat/>
    <w:uiPriority w:val="0"/>
    <w:pPr>
      <w:ind w:firstLine="0" w:firstLineChars="0"/>
      <w:jc w:val="center"/>
    </w:pPr>
    <w:rPr>
      <w:rFonts w:ascii="楷体_GB2312" w:eastAsia="楷体_GB2312"/>
      <w:sz w:val="20"/>
    </w:rPr>
  </w:style>
  <w:style w:type="paragraph" w:customStyle="1" w:styleId="202">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04">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5">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206">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paragraph" w:customStyle="1" w:styleId="207">
    <w:name w:val="一般正文"/>
    <w:basedOn w:val="1"/>
    <w:qFormat/>
    <w:uiPriority w:val="0"/>
    <w:pPr>
      <w:spacing w:before="120" w:after="120" w:line="0" w:lineRule="atLeast"/>
    </w:pPr>
    <w:rPr>
      <w:sz w:val="28"/>
      <w:szCs w:val="20"/>
    </w:rPr>
  </w:style>
  <w:style w:type="paragraph" w:customStyle="1" w:styleId="208">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9">
    <w:name w:val="xl74"/>
    <w:basedOn w:val="1"/>
    <w:qFormat/>
    <w:uiPriority w:val="0"/>
    <w:pPr>
      <w:widowControl/>
      <w:pBdr>
        <w:top w:val="single" w:color="auto" w:sz="4" w:space="0"/>
        <w:left w:val="single" w:color="auto" w:sz="8"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10">
    <w:name w:val="自定义正文"/>
    <w:basedOn w:val="1"/>
    <w:qFormat/>
    <w:uiPriority w:val="0"/>
    <w:pPr>
      <w:spacing w:after="50" w:afterLines="50"/>
      <w:ind w:left="600" w:leftChars="600"/>
    </w:pPr>
  </w:style>
  <w:style w:type="paragraph" w:customStyle="1" w:styleId="2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 w:val="20"/>
      <w:szCs w:val="20"/>
    </w:rPr>
  </w:style>
  <w:style w:type="paragraph" w:customStyle="1" w:styleId="2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color w:val="000000"/>
      <w:kern w:val="0"/>
      <w:sz w:val="20"/>
      <w:szCs w:val="20"/>
    </w:rPr>
  </w:style>
  <w:style w:type="paragraph" w:customStyle="1" w:styleId="213">
    <w:name w:val="_Style 212"/>
    <w:unhideWhenUsed/>
    <w:qFormat/>
    <w:uiPriority w:val="99"/>
    <w:rPr>
      <w:rFonts w:ascii="Times New Roman" w:hAnsi="Times New Roman" w:eastAsia="宋体" w:cs="Times New Roman"/>
      <w:kern w:val="2"/>
      <w:sz w:val="21"/>
      <w:szCs w:val="24"/>
      <w:lang w:val="en-US" w:eastAsia="zh-CN" w:bidi="ar-SA"/>
    </w:rPr>
  </w:style>
  <w:style w:type="paragraph" w:customStyle="1" w:styleId="214">
    <w:name w:val="样式6"/>
    <w:basedOn w:val="1"/>
    <w:qFormat/>
    <w:uiPriority w:val="0"/>
    <w:pPr>
      <w:numPr>
        <w:ilvl w:val="0"/>
        <w:numId w:val="1"/>
      </w:numPr>
      <w:tabs>
        <w:tab w:val="left" w:pos="1077"/>
      </w:tabs>
      <w:spacing w:line="360" w:lineRule="auto"/>
      <w:ind w:left="1077" w:hanging="397"/>
    </w:pPr>
    <w:rPr>
      <w:sz w:val="24"/>
      <w:szCs w:val="20"/>
    </w:rPr>
  </w:style>
  <w:style w:type="paragraph" w:customStyle="1" w:styleId="215">
    <w:name w:val="_Style 72"/>
    <w:basedOn w:val="1"/>
    <w:qFormat/>
    <w:uiPriority w:val="99"/>
    <w:pPr>
      <w:ind w:firstLine="420" w:firstLineChars="200"/>
    </w:pPr>
    <w:rPr>
      <w:rFonts w:ascii="Calibri" w:hAnsi="Calibri"/>
      <w:sz w:val="22"/>
      <w:szCs w:val="20"/>
    </w:rPr>
  </w:style>
  <w:style w:type="paragraph" w:customStyle="1" w:styleId="216">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21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18">
    <w:name w:val="图表文字"/>
    <w:basedOn w:val="1"/>
    <w:qFormat/>
    <w:uiPriority w:val="0"/>
    <w:rPr>
      <w:szCs w:val="20"/>
    </w:rPr>
  </w:style>
  <w:style w:type="paragraph" w:customStyle="1" w:styleId="219">
    <w:name w:val="xl46"/>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20">
    <w:name w:val="Date"/>
    <w:basedOn w:val="1"/>
    <w:next w:val="1"/>
    <w:qFormat/>
    <w:uiPriority w:val="0"/>
    <w:pPr>
      <w:adjustRightInd w:val="0"/>
      <w:spacing w:line="360" w:lineRule="auto"/>
      <w:textAlignment w:val="baseline"/>
    </w:pPr>
    <w:rPr>
      <w:rFonts w:ascii="宋体"/>
      <w:spacing w:val="2"/>
      <w:sz w:val="24"/>
      <w:szCs w:val="20"/>
    </w:rPr>
  </w:style>
  <w:style w:type="paragraph" w:customStyle="1" w:styleId="221">
    <w:name w:val="font11"/>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222">
    <w:name w:val="0级"/>
    <w:basedOn w:val="1"/>
    <w:link w:val="283"/>
    <w:qFormat/>
    <w:uiPriority w:val="0"/>
    <w:pPr>
      <w:ind w:left="420" w:hanging="420"/>
    </w:pPr>
    <w:rPr>
      <w:rFonts w:ascii="宋体" w:hAnsi="宋体"/>
      <w:color w:val="000000"/>
      <w:szCs w:val="21"/>
    </w:rPr>
  </w:style>
  <w:style w:type="paragraph" w:customStyle="1" w:styleId="22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5">
    <w:name w:val="xl76"/>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6">
    <w:name w:val="样式3"/>
    <w:basedOn w:val="1"/>
    <w:qFormat/>
    <w:uiPriority w:val="0"/>
    <w:pPr>
      <w:numPr>
        <w:ilvl w:val="2"/>
        <w:numId w:val="1"/>
      </w:numPr>
      <w:tabs>
        <w:tab w:val="left" w:pos="360"/>
        <w:tab w:val="left" w:pos="1080"/>
      </w:tabs>
      <w:spacing w:before="160" w:after="160" w:line="360" w:lineRule="auto"/>
    </w:pPr>
    <w:rPr>
      <w:b/>
      <w:sz w:val="30"/>
      <w:szCs w:val="20"/>
    </w:rPr>
  </w:style>
  <w:style w:type="character" w:customStyle="1" w:styleId="227">
    <w:name w:val="批注主题 Char"/>
    <w:link w:val="45"/>
    <w:qFormat/>
    <w:uiPriority w:val="0"/>
    <w:rPr>
      <w:rFonts w:ascii="宋体" w:hAnsi="Verdana" w:eastAsia="仿宋_GB2312"/>
      <w:b/>
      <w:bCs/>
      <w:kern w:val="2"/>
      <w:sz w:val="21"/>
      <w:szCs w:val="24"/>
      <w:lang w:eastAsia="en-US"/>
    </w:rPr>
  </w:style>
  <w:style w:type="character" w:customStyle="1" w:styleId="228">
    <w:name w:val="hilite5"/>
    <w:qFormat/>
    <w:uiPriority w:val="0"/>
    <w:rPr>
      <w:color w:val="000000"/>
    </w:rPr>
  </w:style>
  <w:style w:type="character" w:customStyle="1" w:styleId="229">
    <w:name w:val="正文缩进 Char"/>
    <w:qFormat/>
    <w:uiPriority w:val="0"/>
    <w:rPr>
      <w:rFonts w:eastAsia="宋体"/>
    </w:rPr>
  </w:style>
  <w:style w:type="character" w:customStyle="1" w:styleId="230">
    <w:name w:val="bodycopy1"/>
    <w:qFormat/>
    <w:uiPriority w:val="0"/>
    <w:rPr>
      <w:rFonts w:hint="default" w:ascii="Arial" w:hAnsi="Arial"/>
      <w:color w:val="000000"/>
      <w:sz w:val="18"/>
      <w:u w:val="none"/>
    </w:rPr>
  </w:style>
  <w:style w:type="character" w:customStyle="1" w:styleId="231">
    <w:name w:val="标题 2 Char1"/>
    <w:qFormat/>
    <w:uiPriority w:val="9"/>
    <w:rPr>
      <w:bCs/>
      <w:sz w:val="24"/>
    </w:rPr>
  </w:style>
  <w:style w:type="character" w:customStyle="1" w:styleId="232">
    <w:name w:val="标题 3 Char1"/>
    <w:qFormat/>
    <w:uiPriority w:val="0"/>
    <w:rPr>
      <w:rFonts w:ascii="宋体" w:hAnsi="宋体" w:eastAsia="宋体" w:cs="Times New Roman"/>
      <w:b/>
      <w:bCs/>
      <w:sz w:val="28"/>
      <w:szCs w:val="32"/>
    </w:rPr>
  </w:style>
  <w:style w:type="character" w:customStyle="1" w:styleId="233">
    <w:name w:val="批注框文本 Char1"/>
    <w:link w:val="29"/>
    <w:qFormat/>
    <w:uiPriority w:val="0"/>
    <w:rPr>
      <w:rFonts w:ascii="Verdana" w:hAnsi="Verdana" w:eastAsia="仿宋_GB2312"/>
      <w:kern w:val="2"/>
      <w:sz w:val="18"/>
      <w:szCs w:val="18"/>
      <w:lang w:eastAsia="en-US"/>
    </w:rPr>
  </w:style>
  <w:style w:type="character" w:customStyle="1" w:styleId="234">
    <w:name w:val="font21"/>
    <w:qFormat/>
    <w:uiPriority w:val="0"/>
    <w:rPr>
      <w:rFonts w:hint="eastAsia" w:ascii="宋体" w:hAnsi="宋体" w:eastAsia="宋体" w:cs="宋体"/>
      <w:b/>
      <w:color w:val="FF0000"/>
      <w:sz w:val="20"/>
      <w:szCs w:val="20"/>
      <w:u w:val="none"/>
    </w:rPr>
  </w:style>
  <w:style w:type="character" w:customStyle="1" w:styleId="235">
    <w:name w:val="页脚 Char2"/>
    <w:link w:val="30"/>
    <w:qFormat/>
    <w:uiPriority w:val="0"/>
    <w:rPr>
      <w:kern w:val="2"/>
      <w:sz w:val="18"/>
      <w:szCs w:val="18"/>
    </w:rPr>
  </w:style>
  <w:style w:type="character" w:customStyle="1" w:styleId="236">
    <w:name w:val="标题 4 Char"/>
    <w:qFormat/>
    <w:uiPriority w:val="0"/>
    <w:rPr>
      <w:rFonts w:ascii="Arial" w:hAnsi="Arial" w:eastAsia="黑体"/>
      <w:b/>
      <w:bCs/>
      <w:kern w:val="2"/>
      <w:sz w:val="28"/>
      <w:szCs w:val="28"/>
      <w:lang w:val="en-US" w:eastAsia="zh-CN" w:bidi="ar-SA"/>
    </w:rPr>
  </w:style>
  <w:style w:type="character" w:customStyle="1" w:styleId="237">
    <w:name w:val="v91"/>
    <w:qFormat/>
    <w:uiPriority w:val="0"/>
    <w:rPr>
      <w:sz w:val="18"/>
      <w:szCs w:val="18"/>
    </w:rPr>
  </w:style>
  <w:style w:type="character" w:customStyle="1" w:styleId="238">
    <w:name w:val="正文文本缩进 Char"/>
    <w:link w:val="20"/>
    <w:qFormat/>
    <w:uiPriority w:val="0"/>
    <w:rPr>
      <w:kern w:val="2"/>
      <w:sz w:val="21"/>
      <w:szCs w:val="24"/>
    </w:rPr>
  </w:style>
  <w:style w:type="character" w:customStyle="1" w:styleId="239">
    <w:name w:val="页脚 Char"/>
    <w:qFormat/>
    <w:uiPriority w:val="99"/>
    <w:rPr>
      <w:rFonts w:ascii="Arial" w:hAnsi="Arial" w:eastAsia="楷体_GB2312"/>
      <w:sz w:val="18"/>
      <w:szCs w:val="18"/>
      <w:lang w:val="en-US" w:eastAsia="zh-CN" w:bidi="ar-SA"/>
    </w:rPr>
  </w:style>
  <w:style w:type="character" w:customStyle="1" w:styleId="240">
    <w:name w:val="active4"/>
    <w:qFormat/>
    <w:uiPriority w:val="0"/>
    <w:rPr>
      <w:color w:val="FFFFFF"/>
    </w:rPr>
  </w:style>
  <w:style w:type="character" w:customStyle="1" w:styleId="241">
    <w:name w:val="纯文本 Char"/>
    <w:link w:val="25"/>
    <w:qFormat/>
    <w:uiPriority w:val="0"/>
    <w:rPr>
      <w:rFonts w:ascii="宋体" w:hAnsi="Courier New" w:eastAsia="仿宋_GB2312"/>
      <w:kern w:val="2"/>
      <w:sz w:val="21"/>
      <w:szCs w:val="20"/>
      <w:lang w:eastAsia="en-US"/>
    </w:rPr>
  </w:style>
  <w:style w:type="character" w:customStyle="1" w:styleId="242">
    <w:name w:val="font71"/>
    <w:qFormat/>
    <w:uiPriority w:val="0"/>
    <w:rPr>
      <w:rFonts w:hint="eastAsia" w:ascii="宋体" w:hAnsi="宋体" w:eastAsia="宋体" w:cs="宋体"/>
      <w:color w:val="000000"/>
      <w:sz w:val="16"/>
      <w:szCs w:val="16"/>
      <w:u w:val="none"/>
    </w:rPr>
  </w:style>
  <w:style w:type="character" w:customStyle="1" w:styleId="243">
    <w:name w:val="标题 2 Char2"/>
    <w:qFormat/>
    <w:uiPriority w:val="0"/>
    <w:rPr>
      <w:rFonts w:ascii="Times New Roman" w:hAnsi="Times New Roman" w:eastAsia="宋体" w:cs="Times New Roman"/>
      <w:bCs/>
      <w:kern w:val="0"/>
      <w:sz w:val="24"/>
      <w:szCs w:val="20"/>
    </w:rPr>
  </w:style>
  <w:style w:type="character" w:customStyle="1" w:styleId="244">
    <w:name w:val="标题 2 Char"/>
    <w:qFormat/>
    <w:uiPriority w:val="0"/>
    <w:rPr>
      <w:rFonts w:ascii="Arial" w:hAnsi="Arial" w:eastAsia="黑体"/>
      <w:b/>
      <w:bCs/>
      <w:kern w:val="2"/>
      <w:sz w:val="32"/>
      <w:szCs w:val="32"/>
      <w:lang w:val="en-US" w:eastAsia="zh-CN" w:bidi="ar-SA"/>
    </w:rPr>
  </w:style>
  <w:style w:type="character" w:customStyle="1" w:styleId="245">
    <w:name w:val="apple-style-span"/>
    <w:basedOn w:val="50"/>
    <w:qFormat/>
    <w:uiPriority w:val="0"/>
  </w:style>
  <w:style w:type="character" w:customStyle="1" w:styleId="246">
    <w:name w:val="Default Char"/>
    <w:link w:val="76"/>
    <w:qFormat/>
    <w:uiPriority w:val="0"/>
    <w:rPr>
      <w:rFonts w:ascii="宋体" w:hAnsi="宋体" w:cs="宋体"/>
      <w:color w:val="000000"/>
      <w:sz w:val="24"/>
      <w:szCs w:val="24"/>
      <w:lang w:val="en-US" w:eastAsia="zh-CN" w:bidi="ar-SA"/>
    </w:rPr>
  </w:style>
  <w:style w:type="character" w:customStyle="1" w:styleId="247">
    <w:name w:val="称呼 Char"/>
    <w:link w:val="18"/>
    <w:qFormat/>
    <w:uiPriority w:val="0"/>
    <w:rPr>
      <w:rFonts w:ascii="Verdana" w:hAnsi="Verdana" w:eastAsia="仿宋_GB2312"/>
      <w:kern w:val="2"/>
      <w:sz w:val="24"/>
      <w:szCs w:val="20"/>
      <w:lang w:eastAsia="en-US"/>
    </w:rPr>
  </w:style>
  <w:style w:type="character" w:customStyle="1" w:styleId="248">
    <w:name w:val="消息标题号"/>
    <w:qFormat/>
    <w:uiPriority w:val="0"/>
    <w:rPr>
      <w:rFonts w:ascii="Arial" w:hAnsi="Arial" w:eastAsia="楷体_GB2312"/>
      <w:b/>
      <w:bCs/>
      <w:spacing w:val="-4"/>
      <w:sz w:val="18"/>
      <w:szCs w:val="18"/>
      <w:lang w:eastAsia="zh-CN"/>
    </w:rPr>
  </w:style>
  <w:style w:type="character" w:customStyle="1" w:styleId="249">
    <w:name w:val="文档结构图 Char"/>
    <w:qFormat/>
    <w:uiPriority w:val="0"/>
    <w:rPr>
      <w:rFonts w:ascii="宋体" w:hAnsi="Verdana" w:eastAsia="宋体"/>
      <w:kern w:val="2"/>
      <w:sz w:val="18"/>
      <w:szCs w:val="18"/>
      <w:lang w:eastAsia="en-US"/>
    </w:rPr>
  </w:style>
  <w:style w:type="character" w:customStyle="1" w:styleId="250">
    <w:name w:val="标题 3 Char"/>
    <w:qFormat/>
    <w:uiPriority w:val="0"/>
    <w:rPr>
      <w:rFonts w:ascii="黑体" w:eastAsia="黑体"/>
      <w:bCs/>
      <w:sz w:val="30"/>
    </w:rPr>
  </w:style>
  <w:style w:type="character" w:customStyle="1" w:styleId="251">
    <w:name w:val="fielderror"/>
    <w:qFormat/>
    <w:uiPriority w:val="0"/>
    <w:rPr>
      <w:color w:val="800000"/>
    </w:rPr>
  </w:style>
  <w:style w:type="character" w:customStyle="1" w:styleId="252">
    <w:name w:val="批注文字 Char1"/>
    <w:link w:val="17"/>
    <w:qFormat/>
    <w:uiPriority w:val="0"/>
    <w:rPr>
      <w:rFonts w:ascii="宋体" w:hAnsi="Verdana" w:eastAsia="仿宋_GB2312"/>
      <w:kern w:val="0"/>
      <w:sz w:val="34"/>
      <w:szCs w:val="20"/>
      <w:lang w:eastAsia="en-US"/>
    </w:rPr>
  </w:style>
  <w:style w:type="character" w:customStyle="1" w:styleId="253">
    <w:name w:val="font41"/>
    <w:qFormat/>
    <w:uiPriority w:val="0"/>
    <w:rPr>
      <w:rFonts w:hint="eastAsia" w:ascii="宋体" w:hAnsi="宋体" w:eastAsia="宋体" w:cs="宋体"/>
      <w:color w:val="000000"/>
      <w:sz w:val="20"/>
      <w:szCs w:val="20"/>
      <w:u w:val="none"/>
    </w:rPr>
  </w:style>
  <w:style w:type="character" w:customStyle="1" w:styleId="254">
    <w:name w:val="active"/>
    <w:qFormat/>
    <w:uiPriority w:val="0"/>
    <w:rPr>
      <w:color w:val="FFFFFF"/>
    </w:rPr>
  </w:style>
  <w:style w:type="character" w:customStyle="1" w:styleId="255">
    <w:name w:val="main1"/>
    <w:qFormat/>
    <w:uiPriority w:val="0"/>
    <w:rPr>
      <w:color w:val="333333"/>
      <w:sz w:val="24"/>
      <w:szCs w:val="24"/>
    </w:rPr>
  </w:style>
  <w:style w:type="character" w:customStyle="1" w:styleId="256">
    <w:name w:val="active6"/>
    <w:qFormat/>
    <w:uiPriority w:val="0"/>
    <w:rPr>
      <w:color w:val="FFFFFF"/>
    </w:rPr>
  </w:style>
  <w:style w:type="character" w:customStyle="1" w:styleId="257">
    <w:name w:val="标题 4 Char1"/>
    <w:link w:val="5"/>
    <w:qFormat/>
    <w:uiPriority w:val="0"/>
    <w:rPr>
      <w:rFonts w:ascii="Arial" w:hAnsi="Arial" w:eastAsia="黑体"/>
      <w:b/>
      <w:bCs/>
      <w:kern w:val="2"/>
      <w:sz w:val="28"/>
      <w:szCs w:val="28"/>
      <w:lang w:val="en-US" w:eastAsia="zh-CN" w:bidi="ar-SA"/>
    </w:rPr>
  </w:style>
  <w:style w:type="character" w:customStyle="1" w:styleId="258">
    <w:name w:val="标题 1 Char"/>
    <w:link w:val="3"/>
    <w:qFormat/>
    <w:uiPriority w:val="0"/>
    <w:rPr>
      <w:rFonts w:ascii="宋体" w:hAnsi="宋体" w:eastAsia="黑体"/>
      <w:b/>
      <w:bCs/>
      <w:kern w:val="44"/>
      <w:sz w:val="28"/>
      <w:szCs w:val="44"/>
      <w:lang w:val="en-US" w:eastAsia="zh-CN" w:bidi="ar-SA"/>
    </w:rPr>
  </w:style>
  <w:style w:type="character" w:customStyle="1" w:styleId="259">
    <w:name w:val="content1"/>
    <w:qFormat/>
    <w:uiPriority w:val="0"/>
    <w:rPr>
      <w:rFonts w:hint="default" w:ascii="ˎ̥" w:hAnsi="ˎ̥"/>
      <w:color w:val="000000"/>
      <w:sz w:val="22"/>
      <w:u w:val="none"/>
    </w:rPr>
  </w:style>
  <w:style w:type="character" w:customStyle="1" w:styleId="260">
    <w:name w:val="hilite"/>
    <w:qFormat/>
    <w:uiPriority w:val="0"/>
    <w:rPr>
      <w:color w:val="000000"/>
    </w:rPr>
  </w:style>
  <w:style w:type="character" w:customStyle="1" w:styleId="261">
    <w:name w:val="font01"/>
    <w:qFormat/>
    <w:uiPriority w:val="0"/>
    <w:rPr>
      <w:rFonts w:hint="eastAsia" w:ascii="宋体" w:hAnsi="宋体" w:eastAsia="宋体" w:cs="宋体"/>
      <w:b/>
      <w:color w:val="FF0000"/>
      <w:sz w:val="22"/>
      <w:szCs w:val="22"/>
      <w:u w:val="none"/>
    </w:rPr>
  </w:style>
  <w:style w:type="character" w:customStyle="1" w:styleId="262">
    <w:name w:val="正文文本 Char"/>
    <w:semiHidden/>
    <w:qFormat/>
    <w:uiPriority w:val="99"/>
    <w:rPr>
      <w:rFonts w:ascii="Times New Roman" w:hAnsi="Times New Roman" w:eastAsia="宋体" w:cs="Times New Roman"/>
      <w:kern w:val="0"/>
      <w:sz w:val="24"/>
      <w:szCs w:val="24"/>
      <w:lang w:eastAsia="en-US"/>
    </w:rPr>
  </w:style>
  <w:style w:type="character" w:customStyle="1" w:styleId="263">
    <w:name w:val=" Char Char Char Char Char Char"/>
    <w:link w:val="92"/>
    <w:qFormat/>
    <w:uiPriority w:val="0"/>
    <w:rPr>
      <w:rFonts w:ascii="Verdana" w:hAnsi="Verdana" w:eastAsia="仿宋_GB2312"/>
      <w:sz w:val="24"/>
      <w:lang w:eastAsia="en-US"/>
    </w:rPr>
  </w:style>
  <w:style w:type="character" w:customStyle="1" w:styleId="264">
    <w:name w:val="批注框文本 字符"/>
    <w:qFormat/>
    <w:uiPriority w:val="0"/>
    <w:rPr>
      <w:rFonts w:eastAsia="宋体"/>
      <w:kern w:val="2"/>
      <w:sz w:val="18"/>
      <w:szCs w:val="18"/>
      <w:lang w:val="en-US" w:eastAsia="zh-CN" w:bidi="ar-SA"/>
    </w:rPr>
  </w:style>
  <w:style w:type="character" w:customStyle="1" w:styleId="265">
    <w:name w:val="正文缩进 Char2"/>
    <w:link w:val="8"/>
    <w:qFormat/>
    <w:uiPriority w:val="0"/>
    <w:rPr>
      <w:rFonts w:eastAsia="宋体"/>
      <w:kern w:val="2"/>
      <w:sz w:val="21"/>
      <w:lang w:val="en-US" w:eastAsia="zh-CN" w:bidi="ar-SA"/>
    </w:rPr>
  </w:style>
  <w:style w:type="character" w:customStyle="1" w:styleId="266">
    <w:name w:val="p12"/>
    <w:basedOn w:val="50"/>
    <w:qFormat/>
    <w:uiPriority w:val="0"/>
  </w:style>
  <w:style w:type="character" w:customStyle="1" w:styleId="267">
    <w:name w:val="headline-content2"/>
    <w:basedOn w:val="50"/>
    <w:qFormat/>
    <w:uiPriority w:val="0"/>
  </w:style>
  <w:style w:type="character" w:customStyle="1" w:styleId="268">
    <w:name w:val="正文缩进 Char1"/>
    <w:qFormat/>
    <w:uiPriority w:val="0"/>
    <w:rPr>
      <w:rFonts w:eastAsia="宋体"/>
      <w:kern w:val="2"/>
      <w:sz w:val="21"/>
      <w:lang w:val="en-US" w:eastAsia="zh-CN" w:bidi="ar-SA"/>
    </w:rPr>
  </w:style>
  <w:style w:type="character" w:customStyle="1" w:styleId="269">
    <w:name w:val="font31"/>
    <w:qFormat/>
    <w:uiPriority w:val="0"/>
    <w:rPr>
      <w:rFonts w:hint="eastAsia" w:ascii="宋体" w:hAnsi="宋体" w:eastAsia="宋体" w:cs="宋体"/>
      <w:color w:val="000000"/>
      <w:sz w:val="20"/>
      <w:szCs w:val="20"/>
      <w:u w:val="none"/>
    </w:rPr>
  </w:style>
  <w:style w:type="character" w:customStyle="1" w:styleId="270">
    <w:name w:val="正文缩进 字符"/>
    <w:qFormat/>
    <w:uiPriority w:val="0"/>
    <w:rPr>
      <w:rFonts w:ascii="Arial" w:hAnsi="Arial" w:eastAsia="宋体"/>
      <w:kern w:val="2"/>
      <w:sz w:val="21"/>
      <w:szCs w:val="24"/>
      <w:lang w:val="en-US" w:eastAsia="zh-CN" w:bidi="ar-SA"/>
    </w:rPr>
  </w:style>
  <w:style w:type="character" w:customStyle="1" w:styleId="271">
    <w:name w:val="标题 2 Char Char"/>
    <w:qFormat/>
    <w:uiPriority w:val="0"/>
    <w:rPr>
      <w:rFonts w:ascii="Arial" w:hAnsi="Arial" w:eastAsia="黑体"/>
      <w:bCs/>
      <w:kern w:val="2"/>
      <w:sz w:val="28"/>
      <w:szCs w:val="32"/>
      <w:lang w:val="en-US" w:eastAsia="zh-CN" w:bidi="ar-SA"/>
    </w:rPr>
  </w:style>
  <w:style w:type="character" w:customStyle="1" w:styleId="272">
    <w:name w:val="*正文 Char"/>
    <w:link w:val="178"/>
    <w:qFormat/>
    <w:uiPriority w:val="0"/>
    <w:rPr>
      <w:rFonts w:ascii="仿宋_GB2312"/>
      <w:sz w:val="24"/>
      <w:szCs w:val="28"/>
    </w:rPr>
  </w:style>
  <w:style w:type="character" w:customStyle="1" w:styleId="273">
    <w:name w:val="页脚 Char1"/>
    <w:qFormat/>
    <w:uiPriority w:val="0"/>
    <w:rPr>
      <w:kern w:val="2"/>
      <w:sz w:val="18"/>
      <w:szCs w:val="18"/>
    </w:rPr>
  </w:style>
  <w:style w:type="character" w:customStyle="1" w:styleId="274">
    <w:name w:val="正文首行缩进 Char"/>
    <w:link w:val="46"/>
    <w:qFormat/>
    <w:uiPriority w:val="0"/>
    <w:rPr>
      <w:rFonts w:ascii="Verdana" w:hAnsi="Verdana" w:eastAsia="仿宋_GB2312"/>
      <w:kern w:val="2"/>
      <w:sz w:val="21"/>
      <w:szCs w:val="24"/>
      <w:lang w:eastAsia="en-US"/>
    </w:rPr>
  </w:style>
  <w:style w:type="character" w:customStyle="1" w:styleId="275">
    <w:name w:val="font51"/>
    <w:qFormat/>
    <w:uiPriority w:val="0"/>
    <w:rPr>
      <w:rFonts w:hint="eastAsia" w:ascii="宋体" w:hAnsi="宋体" w:eastAsia="宋体" w:cs="宋体"/>
      <w:color w:val="000000"/>
      <w:sz w:val="18"/>
      <w:szCs w:val="18"/>
      <w:u w:val="none"/>
    </w:rPr>
  </w:style>
  <w:style w:type="character" w:customStyle="1" w:styleId="276">
    <w:name w:val="hilite6"/>
    <w:qFormat/>
    <w:uiPriority w:val="0"/>
    <w:rPr>
      <w:color w:val="000000"/>
    </w:rPr>
  </w:style>
  <w:style w:type="character" w:customStyle="1" w:styleId="277">
    <w:name w:val="text_edit editable-title"/>
    <w:basedOn w:val="50"/>
    <w:qFormat/>
    <w:uiPriority w:val="0"/>
  </w:style>
  <w:style w:type="character" w:customStyle="1" w:styleId="278">
    <w:name w:val="font61"/>
    <w:qFormat/>
    <w:uiPriority w:val="0"/>
    <w:rPr>
      <w:rFonts w:hint="eastAsia" w:ascii="宋体" w:hAnsi="宋体" w:eastAsia="宋体" w:cs="宋体"/>
      <w:color w:val="000000"/>
      <w:sz w:val="18"/>
      <w:szCs w:val="18"/>
      <w:u w:val="none"/>
    </w:rPr>
  </w:style>
  <w:style w:type="character" w:customStyle="1" w:styleId="279">
    <w:name w:val="正文文本 Char1"/>
    <w:link w:val="2"/>
    <w:qFormat/>
    <w:uiPriority w:val="0"/>
    <w:rPr>
      <w:rFonts w:ascii="Verdana" w:hAnsi="Verdana" w:eastAsia="仿宋_GB2312"/>
      <w:b/>
      <w:bCs/>
      <w:kern w:val="2"/>
      <w:sz w:val="24"/>
      <w:szCs w:val="24"/>
      <w:lang w:eastAsia="en-US"/>
    </w:rPr>
  </w:style>
  <w:style w:type="character" w:customStyle="1" w:styleId="280">
    <w:name w:val="标题 2 Char3"/>
    <w:link w:val="6"/>
    <w:qFormat/>
    <w:uiPriority w:val="9"/>
    <w:rPr>
      <w:bCs/>
      <w:sz w:val="24"/>
    </w:rPr>
  </w:style>
  <w:style w:type="character" w:customStyle="1" w:styleId="281">
    <w:name w:val="hilite4"/>
    <w:qFormat/>
    <w:uiPriority w:val="0"/>
    <w:rPr>
      <w:color w:val="000000"/>
    </w:rPr>
  </w:style>
  <w:style w:type="character" w:customStyle="1" w:styleId="282">
    <w:name w:val="批注文字 Char"/>
    <w:semiHidden/>
    <w:qFormat/>
    <w:uiPriority w:val="0"/>
    <w:rPr>
      <w:rFonts w:ascii="Verdana" w:hAnsi="Verdana" w:eastAsia="仿宋_GB2312"/>
      <w:kern w:val="2"/>
      <w:sz w:val="21"/>
      <w:szCs w:val="22"/>
      <w:lang w:eastAsia="en-US"/>
    </w:rPr>
  </w:style>
  <w:style w:type="character" w:customStyle="1" w:styleId="283">
    <w:name w:val="0级 Char"/>
    <w:link w:val="222"/>
    <w:qFormat/>
    <w:uiPriority w:val="0"/>
    <w:rPr>
      <w:rFonts w:ascii="宋体" w:hAnsi="宋体"/>
      <w:color w:val="000000"/>
      <w:kern w:val="2"/>
      <w:sz w:val="21"/>
      <w:szCs w:val="21"/>
    </w:rPr>
  </w:style>
  <w:style w:type="character" w:customStyle="1" w:styleId="284">
    <w:name w:val="正文首行缩进 2 Char"/>
    <w:basedOn w:val="238"/>
    <w:link w:val="47"/>
    <w:qFormat/>
    <w:uiPriority w:val="0"/>
  </w:style>
  <w:style w:type="character" w:customStyle="1" w:styleId="285">
    <w:name w:val="标题 3 Char2"/>
    <w:link w:val="4"/>
    <w:qFormat/>
    <w:uiPriority w:val="0"/>
    <w:rPr>
      <w:rFonts w:ascii="宋体" w:hAnsi="宋体" w:eastAsia="宋体"/>
      <w:b/>
      <w:bCs/>
      <w:kern w:val="2"/>
      <w:sz w:val="28"/>
      <w:szCs w:val="32"/>
      <w:lang w:val="en-US" w:eastAsia="zh-CN" w:bidi="ar-SA"/>
    </w:rPr>
  </w:style>
  <w:style w:type="character" w:customStyle="1" w:styleId="286">
    <w:name w:val="文档结构图 Char1"/>
    <w:link w:val="16"/>
    <w:qFormat/>
    <w:uiPriority w:val="0"/>
    <w:rPr>
      <w:kern w:val="2"/>
      <w:sz w:val="21"/>
      <w:szCs w:val="24"/>
      <w:shd w:val="clear" w:color="auto" w:fill="000080"/>
    </w:rPr>
  </w:style>
  <w:style w:type="character" w:customStyle="1" w:styleId="287">
    <w:name w:val="批注框文本 Char"/>
    <w:qFormat/>
    <w:uiPriority w:val="0"/>
    <w:rPr>
      <w:rFonts w:ascii="Verdana" w:hAnsi="Verdana" w:eastAsia="仿宋_GB2312"/>
      <w:kern w:val="2"/>
      <w:sz w:val="18"/>
      <w:szCs w:val="18"/>
      <w:lang w:eastAsia="en-US"/>
    </w:rPr>
  </w:style>
  <w:style w:type="character" w:customStyle="1" w:styleId="288">
    <w:name w:val="inline-help"/>
    <w:basedOn w:val="50"/>
    <w:qFormat/>
    <w:uiPriority w:val="0"/>
  </w:style>
  <w:style w:type="table" w:customStyle="1" w:styleId="289">
    <w:name w:val="TableGri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6319</Words>
  <Characters>36019</Characters>
  <Lines>300</Lines>
  <Paragraphs>84</Paragraphs>
  <TotalTime>0</TotalTime>
  <ScaleCrop>false</ScaleCrop>
  <LinksUpToDate>false</LinksUpToDate>
  <CharactersWithSpaces>42254</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2019-08-02T00:15:00Z</dcterms:created>
  <dc:creator>thsware</dc:creator>
  <cp:lastModifiedBy>hetianyi</cp:lastModifiedBy>
  <cp:lastPrinted>2019-01-16T10:53:00Z</cp:lastPrinted>
  <dcterms:modified xsi:type="dcterms:W3CDTF">2024-11-08T11:29:46Z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6024BFE304AD440FAA852D6765AB2ED5</vt:lpwstr>
  </property>
</Properties>
</file>