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pageBreakBefore w:val="0"/>
        <w:kinsoku/>
        <w:wordWrap/>
        <w:overflowPunct/>
        <w:bidi w:val="0"/>
        <w:spacing w:line="560" w:lineRule="exact"/>
        <w:ind w:firstLine="108" w:firstLineChars="34"/>
        <w:jc w:val="right"/>
        <w:textAlignment w:val="auto"/>
        <w:outlineLvl w:val="1"/>
        <w:rPr>
          <w:rFonts w:eastAsia="黑体"/>
          <w:color w:val="auto"/>
          <w:sz w:val="32"/>
          <w:szCs w:val="32"/>
        </w:rPr>
      </w:pPr>
      <w:bookmarkStart w:id="0" w:name="_Hlk532654511"/>
    </w:p>
    <w:p>
      <w:pPr>
        <w:pStyle w:val="31"/>
        <w:pageBreakBefore w:val="0"/>
        <w:kinsoku/>
        <w:wordWrap/>
        <w:overflowPunct/>
        <w:bidi w:val="0"/>
        <w:spacing w:line="560" w:lineRule="exact"/>
        <w:ind w:firstLine="108" w:firstLineChars="34"/>
        <w:jc w:val="right"/>
        <w:textAlignment w:val="auto"/>
        <w:outlineLvl w:val="1"/>
        <w:rPr>
          <w:rFonts w:eastAsia="黑体"/>
          <w:color w:val="auto"/>
          <w:sz w:val="32"/>
          <w:szCs w:val="32"/>
        </w:rPr>
      </w:pPr>
    </w:p>
    <w:p>
      <w:pPr>
        <w:pStyle w:val="31"/>
        <w:pageBreakBefore w:val="0"/>
        <w:kinsoku/>
        <w:wordWrap/>
        <w:overflowPunct/>
        <w:bidi w:val="0"/>
        <w:spacing w:line="560" w:lineRule="exact"/>
        <w:ind w:firstLine="108" w:firstLineChars="34"/>
        <w:jc w:val="right"/>
        <w:textAlignment w:val="auto"/>
        <w:outlineLvl w:val="1"/>
        <w:rPr>
          <w:rFonts w:eastAsia="黑体"/>
          <w:color w:val="auto"/>
          <w:sz w:val="32"/>
          <w:szCs w:val="32"/>
        </w:rPr>
      </w:pPr>
    </w:p>
    <w:p>
      <w:pPr>
        <w:pageBreakBefore w:val="0"/>
        <w:widowControl w:val="0"/>
        <w:kinsoku/>
        <w:wordWrap/>
        <w:overflowPunct/>
        <w:topLinePunct/>
        <w:bidi w:val="0"/>
        <w:adjustRightInd w:val="0"/>
        <w:snapToGrid w:val="0"/>
        <w:spacing w:line="560" w:lineRule="exact"/>
        <w:ind w:firstLine="176" w:firstLineChars="34"/>
        <w:jc w:val="both"/>
        <w:textAlignment w:val="auto"/>
        <w:outlineLvl w:val="1"/>
        <w:rPr>
          <w:rFonts w:ascii="Times New Roman" w:hAnsi="Times New Roman" w:eastAsia="华文中宋"/>
          <w:b/>
          <w:bCs/>
          <w:color w:val="auto"/>
          <w:sz w:val="52"/>
          <w:szCs w:val="52"/>
        </w:rPr>
      </w:pPr>
    </w:p>
    <w:p>
      <w:pPr>
        <w:pStyle w:val="31"/>
        <w:pageBreakBefore w:val="0"/>
        <w:kinsoku/>
        <w:wordWrap/>
        <w:overflowPunct/>
        <w:bidi w:val="0"/>
        <w:spacing w:line="560" w:lineRule="exact"/>
        <w:ind w:firstLine="81" w:firstLineChars="34"/>
        <w:textAlignment w:val="auto"/>
        <w:outlineLvl w:val="1"/>
        <w:rPr>
          <w:color w:val="auto"/>
        </w:rPr>
      </w:pPr>
    </w:p>
    <w:p>
      <w:pPr>
        <w:pStyle w:val="31"/>
        <w:pageBreakBefore w:val="0"/>
        <w:kinsoku/>
        <w:wordWrap/>
        <w:overflowPunct/>
        <w:bidi w:val="0"/>
        <w:spacing w:line="560" w:lineRule="exact"/>
        <w:ind w:firstLine="81" w:firstLineChars="34"/>
        <w:textAlignment w:val="auto"/>
        <w:outlineLvl w:val="1"/>
        <w:rPr>
          <w:color w:val="auto"/>
        </w:rPr>
      </w:pPr>
    </w:p>
    <w:p>
      <w:pPr>
        <w:pStyle w:val="31"/>
        <w:pageBreakBefore w:val="0"/>
        <w:kinsoku/>
        <w:wordWrap/>
        <w:overflowPunct/>
        <w:bidi w:val="0"/>
        <w:spacing w:line="560" w:lineRule="exact"/>
        <w:ind w:firstLine="81" w:firstLineChars="34"/>
        <w:textAlignment w:val="auto"/>
        <w:outlineLvl w:val="1"/>
        <w:rPr>
          <w:color w:val="auto"/>
        </w:rPr>
      </w:pPr>
    </w:p>
    <w:p>
      <w:pPr>
        <w:pageBreakBefore w:val="0"/>
        <w:widowControl w:val="0"/>
        <w:kinsoku/>
        <w:wordWrap/>
        <w:overflowPunct/>
        <w:topLinePunct/>
        <w:bidi w:val="0"/>
        <w:adjustRightInd w:val="0"/>
        <w:snapToGrid w:val="0"/>
        <w:spacing w:line="560" w:lineRule="exact"/>
        <w:ind w:firstLine="177" w:firstLineChars="34"/>
        <w:jc w:val="center"/>
        <w:textAlignment w:val="auto"/>
        <w:outlineLvl w:val="1"/>
        <w:rPr>
          <w:rFonts w:hint="eastAsia" w:ascii="Times New Roman" w:hAnsi="Times New Roman" w:eastAsiaTheme="majorEastAsia"/>
          <w:b/>
          <w:bCs/>
          <w:color w:val="auto"/>
          <w:sz w:val="52"/>
          <w:szCs w:val="52"/>
          <w:lang w:val="en-US" w:eastAsia="zh-CN"/>
        </w:rPr>
      </w:pPr>
      <w:bookmarkStart w:id="1" w:name="_Toc16810"/>
      <w:r>
        <w:rPr>
          <w:rFonts w:hint="eastAsia" w:ascii="Times New Roman" w:hAnsi="Times New Roman" w:eastAsiaTheme="majorEastAsia"/>
          <w:b/>
          <w:bCs/>
          <w:color w:val="auto"/>
          <w:sz w:val="52"/>
          <w:szCs w:val="52"/>
        </w:rPr>
        <w:t>深圳市光明区</w:t>
      </w:r>
      <w:r>
        <w:rPr>
          <w:rFonts w:hint="eastAsia" w:ascii="Times New Roman" w:hAnsi="Times New Roman" w:eastAsiaTheme="majorEastAsia"/>
          <w:b/>
          <w:bCs/>
          <w:color w:val="auto"/>
          <w:sz w:val="52"/>
          <w:szCs w:val="52"/>
          <w:lang w:eastAsia="zh-CN"/>
        </w:rPr>
        <w:t>卫生健康</w:t>
      </w:r>
      <w:bookmarkEnd w:id="1"/>
      <w:r>
        <w:rPr>
          <w:rFonts w:hint="eastAsia" w:eastAsiaTheme="majorEastAsia"/>
          <w:b/>
          <w:bCs/>
          <w:color w:val="auto"/>
          <w:sz w:val="52"/>
          <w:szCs w:val="52"/>
          <w:lang w:eastAsia="zh-CN"/>
        </w:rPr>
        <w:t>事业发展</w:t>
      </w:r>
    </w:p>
    <w:p>
      <w:pPr>
        <w:pageBreakBefore w:val="0"/>
        <w:widowControl w:val="0"/>
        <w:kinsoku/>
        <w:wordWrap/>
        <w:overflowPunct/>
        <w:topLinePunct/>
        <w:bidi w:val="0"/>
        <w:adjustRightInd w:val="0"/>
        <w:snapToGrid w:val="0"/>
        <w:spacing w:line="560" w:lineRule="exact"/>
        <w:ind w:firstLine="177" w:firstLineChars="34"/>
        <w:jc w:val="center"/>
        <w:textAlignment w:val="auto"/>
        <w:outlineLvl w:val="1"/>
        <w:rPr>
          <w:rFonts w:ascii="Times New Roman" w:hAnsi="Times New Roman" w:eastAsiaTheme="majorEastAsia"/>
          <w:b/>
          <w:bCs/>
          <w:color w:val="auto"/>
          <w:sz w:val="52"/>
          <w:szCs w:val="52"/>
        </w:rPr>
      </w:pPr>
      <w:bookmarkStart w:id="2" w:name="_Toc28177"/>
      <w:r>
        <w:rPr>
          <w:rFonts w:hint="eastAsia" w:ascii="Times New Roman" w:hAnsi="Times New Roman" w:eastAsiaTheme="majorEastAsia"/>
          <w:b/>
          <w:bCs/>
          <w:color w:val="auto"/>
          <w:sz w:val="52"/>
          <w:szCs w:val="52"/>
          <w:lang w:eastAsia="zh-CN"/>
        </w:rPr>
        <w:t>“十四五”</w:t>
      </w:r>
      <w:r>
        <w:rPr>
          <w:rFonts w:hint="eastAsia" w:ascii="Times New Roman" w:hAnsi="Times New Roman" w:eastAsiaTheme="majorEastAsia"/>
          <w:b/>
          <w:bCs/>
          <w:color w:val="auto"/>
          <w:sz w:val="52"/>
          <w:szCs w:val="52"/>
        </w:rPr>
        <w:t>规划</w:t>
      </w:r>
      <w:bookmarkEnd w:id="2"/>
    </w:p>
    <w:p>
      <w:pPr>
        <w:pageBreakBefore w:val="0"/>
        <w:widowControl w:val="0"/>
        <w:kinsoku/>
        <w:wordWrap/>
        <w:overflowPunct/>
        <w:topLinePunct/>
        <w:bidi w:val="0"/>
        <w:adjustRightInd w:val="0"/>
        <w:snapToGrid w:val="0"/>
        <w:spacing w:line="560" w:lineRule="exact"/>
        <w:ind w:firstLine="149" w:firstLineChars="34"/>
        <w:jc w:val="center"/>
        <w:textAlignment w:val="auto"/>
        <w:outlineLvl w:val="1"/>
        <w:rPr>
          <w:rFonts w:ascii="Times New Roman" w:hAnsi="Times New Roman" w:eastAsia="楷体_GB2312"/>
          <w:bCs/>
          <w:color w:val="auto"/>
          <w:sz w:val="44"/>
          <w:szCs w:val="52"/>
        </w:rPr>
      </w:pPr>
      <w:bookmarkStart w:id="3" w:name="_Toc20182"/>
      <w:r>
        <w:rPr>
          <w:rFonts w:hint="eastAsia" w:ascii="Times New Roman" w:hAnsi="Times New Roman" w:eastAsia="楷体_GB2312"/>
          <w:bCs/>
          <w:color w:val="auto"/>
          <w:sz w:val="44"/>
          <w:szCs w:val="52"/>
        </w:rPr>
        <w:t>（</w:t>
      </w:r>
      <w:r>
        <w:rPr>
          <w:rFonts w:hint="eastAsia" w:eastAsia="楷体_GB2312"/>
          <w:bCs/>
          <w:color w:val="auto"/>
          <w:sz w:val="44"/>
          <w:szCs w:val="52"/>
          <w:lang w:eastAsia="zh-CN"/>
        </w:rPr>
        <w:t>征求意见</w:t>
      </w:r>
      <w:r>
        <w:rPr>
          <w:rFonts w:hint="eastAsia" w:ascii="Times New Roman" w:hAnsi="Times New Roman" w:eastAsia="楷体_GB2312"/>
          <w:bCs/>
          <w:color w:val="auto"/>
          <w:sz w:val="44"/>
          <w:szCs w:val="52"/>
        </w:rPr>
        <w:t>稿）</w:t>
      </w:r>
      <w:bookmarkEnd w:id="3"/>
    </w:p>
    <w:bookmarkEnd w:id="0"/>
    <w:p>
      <w:pPr>
        <w:pageBreakBefore w:val="0"/>
        <w:widowControl w:val="0"/>
        <w:kinsoku/>
        <w:wordWrap/>
        <w:overflowPunct/>
        <w:topLinePunct/>
        <w:bidi w:val="0"/>
        <w:adjustRightInd w:val="0"/>
        <w:snapToGrid w:val="0"/>
        <w:spacing w:line="560" w:lineRule="exact"/>
        <w:ind w:firstLine="176" w:firstLineChars="34"/>
        <w:jc w:val="center"/>
        <w:textAlignment w:val="auto"/>
        <w:outlineLvl w:val="1"/>
        <w:rPr>
          <w:rFonts w:ascii="Times New Roman" w:hAnsi="Times New Roman" w:eastAsia="华文中宋"/>
          <w:b/>
          <w:bCs/>
          <w:color w:val="auto"/>
          <w:sz w:val="52"/>
          <w:szCs w:val="52"/>
        </w:rPr>
      </w:pPr>
      <w:bookmarkStart w:id="4" w:name="_Toc303081771"/>
      <w:bookmarkEnd w:id="4"/>
      <w:bookmarkStart w:id="5" w:name="_Toc302598471"/>
      <w:bookmarkStart w:id="6" w:name="_Toc302599807"/>
      <w:bookmarkStart w:id="7" w:name="_Toc302599806"/>
      <w:bookmarkStart w:id="8" w:name="_Toc302598470"/>
    </w:p>
    <w:p>
      <w:pPr>
        <w:pageBreakBefore w:val="0"/>
        <w:widowControl w:val="0"/>
        <w:kinsoku/>
        <w:wordWrap/>
        <w:overflowPunct/>
        <w:topLinePunct/>
        <w:bidi w:val="0"/>
        <w:adjustRightInd w:val="0"/>
        <w:snapToGrid w:val="0"/>
        <w:spacing w:line="560" w:lineRule="exact"/>
        <w:ind w:firstLine="176" w:firstLineChars="34"/>
        <w:jc w:val="center"/>
        <w:textAlignment w:val="auto"/>
        <w:outlineLvl w:val="1"/>
        <w:rPr>
          <w:rFonts w:ascii="Times New Roman" w:hAnsi="Times New Roman" w:eastAsia="华文中宋"/>
          <w:b/>
          <w:bCs/>
          <w:color w:val="auto"/>
          <w:sz w:val="52"/>
          <w:szCs w:val="52"/>
        </w:rPr>
      </w:pPr>
    </w:p>
    <w:p>
      <w:pPr>
        <w:pageBreakBefore w:val="0"/>
        <w:widowControl w:val="0"/>
        <w:kinsoku/>
        <w:wordWrap/>
        <w:overflowPunct/>
        <w:topLinePunct/>
        <w:bidi w:val="0"/>
        <w:adjustRightInd w:val="0"/>
        <w:snapToGrid w:val="0"/>
        <w:spacing w:line="560" w:lineRule="exact"/>
        <w:ind w:firstLine="176" w:firstLineChars="34"/>
        <w:jc w:val="center"/>
        <w:textAlignment w:val="auto"/>
        <w:outlineLvl w:val="1"/>
        <w:rPr>
          <w:rFonts w:ascii="Times New Roman" w:hAnsi="Times New Roman" w:eastAsia="华文中宋"/>
          <w:b/>
          <w:bCs/>
          <w:color w:val="auto"/>
          <w:sz w:val="52"/>
          <w:szCs w:val="52"/>
        </w:rPr>
      </w:pPr>
    </w:p>
    <w:p>
      <w:pPr>
        <w:pageBreakBefore w:val="0"/>
        <w:widowControl w:val="0"/>
        <w:kinsoku/>
        <w:wordWrap/>
        <w:overflowPunct/>
        <w:topLinePunct/>
        <w:bidi w:val="0"/>
        <w:adjustRightInd w:val="0"/>
        <w:snapToGrid w:val="0"/>
        <w:spacing w:line="560" w:lineRule="exact"/>
        <w:ind w:firstLine="176" w:firstLineChars="34"/>
        <w:jc w:val="center"/>
        <w:textAlignment w:val="auto"/>
        <w:outlineLvl w:val="1"/>
        <w:rPr>
          <w:rFonts w:ascii="Times New Roman" w:hAnsi="Times New Roman" w:eastAsia="华文中宋"/>
          <w:b/>
          <w:bCs/>
          <w:color w:val="auto"/>
          <w:sz w:val="52"/>
          <w:szCs w:val="52"/>
        </w:rPr>
      </w:pPr>
    </w:p>
    <w:p>
      <w:pPr>
        <w:pageBreakBefore w:val="0"/>
        <w:widowControl w:val="0"/>
        <w:kinsoku/>
        <w:wordWrap/>
        <w:overflowPunct/>
        <w:topLinePunct/>
        <w:bidi w:val="0"/>
        <w:adjustRightInd w:val="0"/>
        <w:snapToGrid w:val="0"/>
        <w:spacing w:line="560" w:lineRule="exact"/>
        <w:ind w:firstLine="176" w:firstLineChars="34"/>
        <w:jc w:val="center"/>
        <w:textAlignment w:val="auto"/>
        <w:outlineLvl w:val="1"/>
        <w:rPr>
          <w:rFonts w:ascii="Times New Roman" w:hAnsi="Times New Roman" w:eastAsia="华文中宋"/>
          <w:b/>
          <w:bCs/>
          <w:color w:val="auto"/>
          <w:sz w:val="52"/>
          <w:szCs w:val="52"/>
        </w:rPr>
      </w:pPr>
    </w:p>
    <w:p>
      <w:pPr>
        <w:pageBreakBefore w:val="0"/>
        <w:widowControl w:val="0"/>
        <w:kinsoku/>
        <w:wordWrap/>
        <w:overflowPunct/>
        <w:topLinePunct/>
        <w:bidi w:val="0"/>
        <w:adjustRightInd w:val="0"/>
        <w:snapToGrid w:val="0"/>
        <w:spacing w:line="560" w:lineRule="exact"/>
        <w:ind w:firstLine="176" w:firstLineChars="34"/>
        <w:jc w:val="center"/>
        <w:textAlignment w:val="auto"/>
        <w:outlineLvl w:val="1"/>
        <w:rPr>
          <w:rFonts w:ascii="Times New Roman" w:hAnsi="Times New Roman" w:eastAsia="华文中宋"/>
          <w:b/>
          <w:bCs/>
          <w:color w:val="auto"/>
          <w:sz w:val="52"/>
          <w:szCs w:val="52"/>
        </w:rPr>
      </w:pPr>
    </w:p>
    <w:p>
      <w:pPr>
        <w:pageBreakBefore w:val="0"/>
        <w:widowControl w:val="0"/>
        <w:kinsoku/>
        <w:wordWrap/>
        <w:overflowPunct/>
        <w:topLinePunct/>
        <w:bidi w:val="0"/>
        <w:adjustRightInd w:val="0"/>
        <w:snapToGrid w:val="0"/>
        <w:spacing w:line="560" w:lineRule="exact"/>
        <w:ind w:firstLine="176" w:firstLineChars="34"/>
        <w:jc w:val="center"/>
        <w:textAlignment w:val="auto"/>
        <w:outlineLvl w:val="1"/>
        <w:rPr>
          <w:rFonts w:ascii="Times New Roman" w:hAnsi="Times New Roman" w:eastAsia="华文中宋"/>
          <w:b/>
          <w:bCs/>
          <w:color w:val="auto"/>
          <w:sz w:val="52"/>
          <w:szCs w:val="52"/>
        </w:rPr>
      </w:pPr>
    </w:p>
    <w:p>
      <w:pPr>
        <w:pageBreakBefore w:val="0"/>
        <w:widowControl w:val="0"/>
        <w:kinsoku/>
        <w:wordWrap/>
        <w:overflowPunct/>
        <w:topLinePunct/>
        <w:bidi w:val="0"/>
        <w:adjustRightInd w:val="0"/>
        <w:snapToGrid w:val="0"/>
        <w:spacing w:line="560" w:lineRule="exact"/>
        <w:ind w:firstLine="176" w:firstLineChars="34"/>
        <w:jc w:val="center"/>
        <w:textAlignment w:val="auto"/>
        <w:outlineLvl w:val="1"/>
        <w:rPr>
          <w:rFonts w:ascii="Times New Roman" w:hAnsi="Times New Roman" w:eastAsia="华文中宋"/>
          <w:b/>
          <w:bCs/>
          <w:color w:val="auto"/>
          <w:sz w:val="52"/>
          <w:szCs w:val="52"/>
        </w:rPr>
      </w:pPr>
    </w:p>
    <w:p>
      <w:pPr>
        <w:pageBreakBefore w:val="0"/>
        <w:widowControl w:val="0"/>
        <w:kinsoku/>
        <w:wordWrap/>
        <w:overflowPunct/>
        <w:topLinePunct/>
        <w:bidi w:val="0"/>
        <w:adjustRightInd w:val="0"/>
        <w:snapToGrid w:val="0"/>
        <w:spacing w:line="560" w:lineRule="exact"/>
        <w:ind w:firstLine="71" w:firstLineChars="34"/>
        <w:jc w:val="center"/>
        <w:textAlignment w:val="auto"/>
        <w:outlineLvl w:val="1"/>
        <w:rPr>
          <w:rFonts w:ascii="Times New Roman" w:hAnsi="Times New Roman"/>
          <w:color w:val="auto"/>
        </w:rPr>
      </w:pPr>
    </w:p>
    <w:p>
      <w:pPr>
        <w:pageBreakBefore w:val="0"/>
        <w:widowControl w:val="0"/>
        <w:kinsoku/>
        <w:wordWrap/>
        <w:overflowPunct/>
        <w:topLinePunct/>
        <w:bidi w:val="0"/>
        <w:adjustRightInd w:val="0"/>
        <w:snapToGrid w:val="0"/>
        <w:spacing w:line="560" w:lineRule="exact"/>
        <w:ind w:firstLine="108" w:firstLineChars="34"/>
        <w:jc w:val="center"/>
        <w:textAlignment w:val="auto"/>
        <w:outlineLvl w:val="1"/>
        <w:rPr>
          <w:rFonts w:hint="eastAsia" w:ascii="Times New Roman" w:hAnsi="Times New Roman" w:eastAsia="黑体"/>
          <w:color w:val="auto"/>
          <w:sz w:val="32"/>
          <w:szCs w:val="36"/>
          <w:lang w:eastAsia="zh-CN"/>
        </w:rPr>
      </w:pPr>
      <w:bookmarkStart w:id="9" w:name="_Toc22541"/>
      <w:r>
        <w:rPr>
          <w:rFonts w:hint="eastAsia" w:ascii="Times New Roman" w:hAnsi="Times New Roman" w:eastAsia="黑体"/>
          <w:color w:val="auto"/>
          <w:sz w:val="32"/>
          <w:szCs w:val="36"/>
        </w:rPr>
        <w:t>深圳市光明区</w:t>
      </w:r>
      <w:r>
        <w:rPr>
          <w:rFonts w:hint="eastAsia" w:ascii="Times New Roman" w:hAnsi="Times New Roman" w:eastAsia="黑体"/>
          <w:color w:val="auto"/>
          <w:sz w:val="32"/>
          <w:szCs w:val="36"/>
          <w:lang w:eastAsia="zh-CN"/>
        </w:rPr>
        <w:t>卫生健康局</w:t>
      </w:r>
      <w:bookmarkEnd w:id="9"/>
    </w:p>
    <w:bookmarkEnd w:id="5"/>
    <w:bookmarkEnd w:id="6"/>
    <w:bookmarkEnd w:id="7"/>
    <w:bookmarkEnd w:id="8"/>
    <w:p>
      <w:pPr>
        <w:pageBreakBefore w:val="0"/>
        <w:widowControl w:val="0"/>
        <w:kinsoku/>
        <w:wordWrap/>
        <w:overflowPunct/>
        <w:bidi w:val="0"/>
        <w:spacing w:line="560" w:lineRule="exact"/>
        <w:ind w:firstLine="108" w:firstLineChars="34"/>
        <w:jc w:val="center"/>
        <w:textAlignment w:val="auto"/>
        <w:outlineLvl w:val="1"/>
        <w:rPr>
          <w:rFonts w:ascii="Times New Roman" w:hAnsi="Times New Roman" w:eastAsia="楷体_GB2312"/>
          <w:color w:val="auto"/>
          <w:sz w:val="32"/>
          <w:szCs w:val="32"/>
        </w:rPr>
      </w:pPr>
      <w:bookmarkStart w:id="10" w:name="_Toc24965"/>
      <w:r>
        <w:rPr>
          <w:rFonts w:hint="eastAsia" w:ascii="Times New Roman" w:hAnsi="Times New Roman" w:eastAsia="楷体_GB2312"/>
          <w:color w:val="auto"/>
          <w:sz w:val="32"/>
          <w:szCs w:val="32"/>
        </w:rPr>
        <w:t>二</w:t>
      </w:r>
      <w:r>
        <w:rPr>
          <w:rFonts w:ascii="Times New Roman" w:hAnsi="Times New Roman" w:eastAsia="微软雅黑" w:cs="微软雅黑"/>
          <w:color w:val="auto"/>
          <w:sz w:val="32"/>
          <w:szCs w:val="32"/>
        </w:rPr>
        <w:t>〇</w:t>
      </w:r>
      <w:r>
        <w:rPr>
          <w:rFonts w:hint="eastAsia" w:ascii="Times New Roman" w:hAnsi="Times New Roman" w:eastAsia="楷体_GB2312"/>
          <w:color w:val="auto"/>
          <w:sz w:val="32"/>
          <w:szCs w:val="32"/>
        </w:rPr>
        <w:t>二</w:t>
      </w:r>
      <w:r>
        <w:rPr>
          <w:rFonts w:hint="eastAsia" w:eastAsia="楷体_GB2312"/>
          <w:color w:val="auto"/>
          <w:sz w:val="32"/>
          <w:szCs w:val="32"/>
          <w:lang w:eastAsia="zh-CN"/>
        </w:rPr>
        <w:t>二</w:t>
      </w:r>
      <w:r>
        <w:rPr>
          <w:rFonts w:hint="eastAsia" w:ascii="Times New Roman" w:hAnsi="Times New Roman" w:eastAsia="楷体_GB2312"/>
          <w:color w:val="auto"/>
          <w:sz w:val="32"/>
          <w:szCs w:val="32"/>
        </w:rPr>
        <w:t>年</w:t>
      </w:r>
      <w:r>
        <w:rPr>
          <w:rFonts w:hint="eastAsia" w:eastAsia="楷体_GB2312"/>
          <w:color w:val="auto"/>
          <w:sz w:val="32"/>
          <w:szCs w:val="32"/>
          <w:lang w:eastAsia="zh-CN"/>
        </w:rPr>
        <w:t>四</w:t>
      </w:r>
      <w:r>
        <w:rPr>
          <w:rFonts w:hint="eastAsia" w:ascii="Times New Roman" w:hAnsi="Times New Roman" w:eastAsia="楷体_GB2312"/>
          <w:color w:val="auto"/>
          <w:sz w:val="32"/>
          <w:szCs w:val="32"/>
        </w:rPr>
        <w:t>月</w:t>
      </w:r>
      <w:bookmarkEnd w:id="10"/>
    </w:p>
    <w:p>
      <w:pPr>
        <w:pageBreakBefore w:val="0"/>
        <w:kinsoku/>
        <w:wordWrap/>
        <w:overflowPunct/>
        <w:bidi w:val="0"/>
        <w:adjustRightInd w:val="0"/>
        <w:snapToGrid w:val="0"/>
        <w:spacing w:line="560" w:lineRule="exact"/>
        <w:ind w:firstLine="122" w:firstLineChars="34"/>
        <w:jc w:val="center"/>
        <w:textAlignment w:val="auto"/>
        <w:outlineLvl w:val="1"/>
        <w:rPr>
          <w:rFonts w:hint="eastAsia" w:ascii="楷体_GB2312" w:hAnsi="楷体_GB2312" w:eastAsia="楷体_GB2312" w:cs="楷体_GB2312"/>
          <w:color w:val="auto"/>
          <w:sz w:val="36"/>
          <w:szCs w:val="36"/>
        </w:rPr>
      </w:pPr>
    </w:p>
    <w:p>
      <w:pPr>
        <w:pageBreakBefore w:val="0"/>
        <w:kinsoku/>
        <w:wordWrap/>
        <w:overflowPunct/>
        <w:bidi w:val="0"/>
        <w:adjustRightInd w:val="0"/>
        <w:snapToGrid w:val="0"/>
        <w:spacing w:line="560" w:lineRule="exact"/>
        <w:ind w:firstLine="122" w:firstLineChars="34"/>
        <w:jc w:val="center"/>
        <w:textAlignment w:val="auto"/>
        <w:outlineLvl w:val="1"/>
        <w:rPr>
          <w:rFonts w:hint="eastAsia" w:ascii="方正小标宋_GBK" w:eastAsia="方正小标宋_GBK"/>
          <w:color w:val="auto"/>
          <w:sz w:val="36"/>
          <w:szCs w:val="36"/>
        </w:rPr>
      </w:pPr>
    </w:p>
    <w:p>
      <w:pPr>
        <w:pageBreakBefore w:val="0"/>
        <w:kinsoku/>
        <w:wordWrap/>
        <w:overflowPunct/>
        <w:bidi w:val="0"/>
        <w:adjustRightInd w:val="0"/>
        <w:snapToGrid w:val="0"/>
        <w:spacing w:line="560" w:lineRule="exact"/>
        <w:ind w:firstLine="122" w:firstLineChars="34"/>
        <w:jc w:val="center"/>
        <w:textAlignment w:val="auto"/>
        <w:outlineLvl w:val="1"/>
        <w:rPr>
          <w:rFonts w:hint="eastAsia" w:ascii="方正小标宋_GBK" w:eastAsia="方正小标宋_GBK"/>
          <w:color w:val="auto"/>
          <w:sz w:val="36"/>
          <w:szCs w:val="36"/>
        </w:rPr>
      </w:pPr>
    </w:p>
    <w:p>
      <w:pPr>
        <w:pageBreakBefore w:val="0"/>
        <w:kinsoku/>
        <w:wordWrap/>
        <w:overflowPunct/>
        <w:bidi w:val="0"/>
        <w:adjustRightInd w:val="0"/>
        <w:snapToGrid w:val="0"/>
        <w:spacing w:line="560" w:lineRule="exact"/>
        <w:ind w:firstLine="122" w:firstLineChars="34"/>
        <w:jc w:val="center"/>
        <w:textAlignment w:val="auto"/>
        <w:outlineLvl w:val="1"/>
        <w:rPr>
          <w:rFonts w:hint="eastAsia" w:ascii="方正小标宋_GBK" w:eastAsia="方正小标宋_GBK"/>
          <w:color w:val="auto"/>
          <w:sz w:val="36"/>
          <w:szCs w:val="36"/>
        </w:rPr>
      </w:pPr>
    </w:p>
    <w:p>
      <w:pPr>
        <w:pageBreakBefore w:val="0"/>
        <w:kinsoku/>
        <w:wordWrap/>
        <w:overflowPunct/>
        <w:bidi w:val="0"/>
        <w:adjustRightInd w:val="0"/>
        <w:snapToGrid w:val="0"/>
        <w:spacing w:line="560" w:lineRule="exact"/>
        <w:ind w:firstLine="122" w:firstLineChars="34"/>
        <w:jc w:val="center"/>
        <w:textAlignment w:val="auto"/>
        <w:outlineLvl w:val="1"/>
        <w:rPr>
          <w:rFonts w:hint="eastAsia" w:ascii="方正小标宋_GBK" w:eastAsia="方正小标宋_GBK"/>
          <w:color w:val="auto"/>
          <w:sz w:val="36"/>
          <w:szCs w:val="36"/>
        </w:rPr>
      </w:pPr>
    </w:p>
    <w:p>
      <w:pPr>
        <w:pageBreakBefore w:val="0"/>
        <w:kinsoku/>
        <w:wordWrap/>
        <w:overflowPunct/>
        <w:bidi w:val="0"/>
        <w:adjustRightInd w:val="0"/>
        <w:snapToGrid w:val="0"/>
        <w:spacing w:line="560" w:lineRule="exact"/>
        <w:ind w:firstLine="122" w:firstLineChars="34"/>
        <w:jc w:val="center"/>
        <w:textAlignment w:val="auto"/>
        <w:outlineLvl w:val="1"/>
        <w:rPr>
          <w:rFonts w:hint="eastAsia" w:ascii="方正小标宋_GBK" w:eastAsia="方正小标宋_GBK"/>
          <w:color w:val="auto"/>
          <w:sz w:val="36"/>
          <w:szCs w:val="36"/>
        </w:rPr>
      </w:pPr>
    </w:p>
    <w:p>
      <w:pPr>
        <w:pageBreakBefore w:val="0"/>
        <w:kinsoku/>
        <w:wordWrap/>
        <w:overflowPunct/>
        <w:bidi w:val="0"/>
        <w:adjustRightInd w:val="0"/>
        <w:snapToGrid w:val="0"/>
        <w:spacing w:line="560" w:lineRule="exact"/>
        <w:ind w:firstLine="122" w:firstLineChars="34"/>
        <w:jc w:val="center"/>
        <w:textAlignment w:val="auto"/>
        <w:outlineLvl w:val="1"/>
        <w:rPr>
          <w:rFonts w:hint="eastAsia" w:ascii="方正小标宋_GBK" w:eastAsia="方正小标宋_GBK"/>
          <w:color w:val="auto"/>
          <w:sz w:val="36"/>
          <w:szCs w:val="36"/>
        </w:rPr>
      </w:pPr>
    </w:p>
    <w:p>
      <w:pPr>
        <w:pageBreakBefore w:val="0"/>
        <w:kinsoku/>
        <w:wordWrap/>
        <w:overflowPunct/>
        <w:bidi w:val="0"/>
        <w:adjustRightInd w:val="0"/>
        <w:snapToGrid w:val="0"/>
        <w:spacing w:line="560" w:lineRule="exact"/>
        <w:ind w:firstLine="122" w:firstLineChars="34"/>
        <w:jc w:val="center"/>
        <w:textAlignment w:val="auto"/>
        <w:outlineLvl w:val="1"/>
        <w:rPr>
          <w:rFonts w:hint="eastAsia" w:ascii="方正小标宋_GBK" w:eastAsia="方正小标宋_GBK"/>
          <w:color w:val="auto"/>
          <w:sz w:val="36"/>
          <w:szCs w:val="36"/>
        </w:rPr>
      </w:pPr>
    </w:p>
    <w:p>
      <w:pPr>
        <w:pageBreakBefore w:val="0"/>
        <w:kinsoku/>
        <w:wordWrap/>
        <w:overflowPunct/>
        <w:bidi w:val="0"/>
        <w:adjustRightInd w:val="0"/>
        <w:snapToGrid w:val="0"/>
        <w:spacing w:line="560" w:lineRule="exact"/>
        <w:ind w:firstLine="122" w:firstLineChars="34"/>
        <w:jc w:val="center"/>
        <w:textAlignment w:val="auto"/>
        <w:outlineLvl w:val="1"/>
        <w:rPr>
          <w:rFonts w:hint="eastAsia" w:ascii="方正小标宋_GBK" w:eastAsia="方正小标宋_GBK"/>
          <w:color w:val="auto"/>
          <w:sz w:val="36"/>
          <w:szCs w:val="36"/>
        </w:rPr>
      </w:pPr>
    </w:p>
    <w:p>
      <w:pPr>
        <w:pageBreakBefore w:val="0"/>
        <w:kinsoku/>
        <w:wordWrap/>
        <w:overflowPunct/>
        <w:bidi w:val="0"/>
        <w:adjustRightInd w:val="0"/>
        <w:snapToGrid w:val="0"/>
        <w:spacing w:line="560" w:lineRule="exact"/>
        <w:ind w:firstLine="122" w:firstLineChars="34"/>
        <w:jc w:val="center"/>
        <w:textAlignment w:val="auto"/>
        <w:outlineLvl w:val="1"/>
        <w:rPr>
          <w:rFonts w:hint="eastAsia" w:ascii="方正小标宋_GBK" w:eastAsia="方正小标宋_GBK"/>
          <w:color w:val="auto"/>
          <w:sz w:val="36"/>
          <w:szCs w:val="36"/>
        </w:rPr>
      </w:pPr>
    </w:p>
    <w:p>
      <w:pPr>
        <w:pageBreakBefore w:val="0"/>
        <w:kinsoku/>
        <w:wordWrap/>
        <w:overflowPunct/>
        <w:bidi w:val="0"/>
        <w:adjustRightInd w:val="0"/>
        <w:snapToGrid w:val="0"/>
        <w:spacing w:line="560" w:lineRule="exact"/>
        <w:ind w:firstLine="122" w:firstLineChars="34"/>
        <w:jc w:val="center"/>
        <w:textAlignment w:val="auto"/>
        <w:outlineLvl w:val="1"/>
        <w:rPr>
          <w:rFonts w:hint="eastAsia" w:ascii="方正小标宋_GBK" w:eastAsia="方正小标宋_GBK"/>
          <w:color w:val="auto"/>
          <w:sz w:val="36"/>
          <w:szCs w:val="36"/>
        </w:rPr>
      </w:pPr>
    </w:p>
    <w:p>
      <w:pPr>
        <w:pageBreakBefore w:val="0"/>
        <w:kinsoku/>
        <w:wordWrap/>
        <w:overflowPunct/>
        <w:bidi w:val="0"/>
        <w:adjustRightInd w:val="0"/>
        <w:snapToGrid w:val="0"/>
        <w:spacing w:line="560" w:lineRule="exact"/>
        <w:ind w:firstLine="122" w:firstLineChars="34"/>
        <w:jc w:val="center"/>
        <w:textAlignment w:val="auto"/>
        <w:outlineLvl w:val="1"/>
        <w:rPr>
          <w:rFonts w:hint="eastAsia" w:ascii="方正小标宋_GBK" w:eastAsia="方正小标宋_GBK"/>
          <w:color w:val="auto"/>
          <w:sz w:val="36"/>
          <w:szCs w:val="36"/>
        </w:rPr>
      </w:pPr>
    </w:p>
    <w:p>
      <w:pPr>
        <w:pageBreakBefore w:val="0"/>
        <w:kinsoku/>
        <w:wordWrap/>
        <w:overflowPunct/>
        <w:bidi w:val="0"/>
        <w:adjustRightInd w:val="0"/>
        <w:snapToGrid w:val="0"/>
        <w:spacing w:line="560" w:lineRule="exact"/>
        <w:ind w:firstLine="122" w:firstLineChars="34"/>
        <w:jc w:val="center"/>
        <w:textAlignment w:val="auto"/>
        <w:outlineLvl w:val="1"/>
        <w:rPr>
          <w:rFonts w:hint="eastAsia" w:ascii="方正小标宋_GBK" w:eastAsia="方正小标宋_GBK"/>
          <w:color w:val="auto"/>
          <w:sz w:val="36"/>
          <w:szCs w:val="36"/>
        </w:rPr>
      </w:pPr>
    </w:p>
    <w:p>
      <w:pPr>
        <w:pageBreakBefore w:val="0"/>
        <w:kinsoku/>
        <w:wordWrap/>
        <w:overflowPunct/>
        <w:bidi w:val="0"/>
        <w:adjustRightInd w:val="0"/>
        <w:snapToGrid w:val="0"/>
        <w:spacing w:line="560" w:lineRule="exact"/>
        <w:ind w:firstLine="122" w:firstLineChars="34"/>
        <w:jc w:val="center"/>
        <w:textAlignment w:val="auto"/>
        <w:outlineLvl w:val="1"/>
        <w:rPr>
          <w:rFonts w:hint="eastAsia" w:ascii="方正小标宋_GBK" w:eastAsia="方正小标宋_GBK"/>
          <w:color w:val="auto"/>
          <w:sz w:val="36"/>
          <w:szCs w:val="36"/>
        </w:rPr>
      </w:pPr>
    </w:p>
    <w:p>
      <w:pPr>
        <w:pageBreakBefore w:val="0"/>
        <w:kinsoku/>
        <w:wordWrap/>
        <w:overflowPunct/>
        <w:bidi w:val="0"/>
        <w:adjustRightInd w:val="0"/>
        <w:snapToGrid w:val="0"/>
        <w:spacing w:line="560" w:lineRule="exact"/>
        <w:ind w:firstLine="122" w:firstLineChars="34"/>
        <w:jc w:val="center"/>
        <w:textAlignment w:val="auto"/>
        <w:outlineLvl w:val="1"/>
        <w:rPr>
          <w:rFonts w:hint="eastAsia" w:ascii="方正小标宋_GBK" w:eastAsia="方正小标宋_GBK"/>
          <w:color w:val="auto"/>
          <w:sz w:val="36"/>
          <w:szCs w:val="36"/>
        </w:rPr>
      </w:pPr>
    </w:p>
    <w:p>
      <w:pPr>
        <w:pageBreakBefore w:val="0"/>
        <w:kinsoku/>
        <w:wordWrap/>
        <w:overflowPunct/>
        <w:bidi w:val="0"/>
        <w:adjustRightInd w:val="0"/>
        <w:snapToGrid w:val="0"/>
        <w:spacing w:line="560" w:lineRule="exact"/>
        <w:ind w:firstLine="122" w:firstLineChars="34"/>
        <w:jc w:val="center"/>
        <w:textAlignment w:val="auto"/>
        <w:outlineLvl w:val="1"/>
        <w:rPr>
          <w:rFonts w:hint="eastAsia" w:ascii="方正小标宋_GBK" w:eastAsia="方正小标宋_GBK"/>
          <w:color w:val="auto"/>
          <w:sz w:val="36"/>
          <w:szCs w:val="36"/>
        </w:rPr>
      </w:pPr>
    </w:p>
    <w:p>
      <w:pPr>
        <w:pageBreakBefore w:val="0"/>
        <w:kinsoku/>
        <w:wordWrap/>
        <w:overflowPunct/>
        <w:bidi w:val="0"/>
        <w:adjustRightInd w:val="0"/>
        <w:snapToGrid w:val="0"/>
        <w:spacing w:line="560" w:lineRule="exact"/>
        <w:ind w:firstLine="122" w:firstLineChars="34"/>
        <w:jc w:val="center"/>
        <w:textAlignment w:val="auto"/>
        <w:outlineLvl w:val="1"/>
        <w:rPr>
          <w:rFonts w:hint="eastAsia" w:ascii="方正小标宋_GBK" w:eastAsia="方正小标宋_GBK"/>
          <w:color w:val="auto"/>
          <w:sz w:val="36"/>
          <w:szCs w:val="36"/>
        </w:rPr>
      </w:pPr>
    </w:p>
    <w:p>
      <w:pPr>
        <w:pageBreakBefore w:val="0"/>
        <w:kinsoku/>
        <w:wordWrap/>
        <w:overflowPunct/>
        <w:bidi w:val="0"/>
        <w:adjustRightInd w:val="0"/>
        <w:snapToGrid w:val="0"/>
        <w:spacing w:line="560" w:lineRule="exact"/>
        <w:ind w:firstLine="122" w:firstLineChars="34"/>
        <w:jc w:val="center"/>
        <w:textAlignment w:val="auto"/>
        <w:outlineLvl w:val="1"/>
        <w:rPr>
          <w:rFonts w:hint="eastAsia" w:ascii="方正小标宋_GBK" w:eastAsia="方正小标宋_GBK"/>
          <w:color w:val="auto"/>
          <w:sz w:val="36"/>
          <w:szCs w:val="36"/>
        </w:rPr>
      </w:pPr>
    </w:p>
    <w:p>
      <w:pPr>
        <w:pageBreakBefore w:val="0"/>
        <w:kinsoku/>
        <w:wordWrap/>
        <w:overflowPunct/>
        <w:bidi w:val="0"/>
        <w:adjustRightInd w:val="0"/>
        <w:snapToGrid w:val="0"/>
        <w:spacing w:line="560" w:lineRule="exact"/>
        <w:ind w:firstLine="122" w:firstLineChars="34"/>
        <w:jc w:val="center"/>
        <w:textAlignment w:val="auto"/>
        <w:outlineLvl w:val="1"/>
        <w:rPr>
          <w:rFonts w:hint="eastAsia" w:ascii="方正小标宋_GBK" w:eastAsia="方正小标宋_GBK"/>
          <w:color w:val="auto"/>
          <w:sz w:val="36"/>
          <w:szCs w:val="36"/>
        </w:rPr>
      </w:pPr>
    </w:p>
    <w:p>
      <w:pPr>
        <w:pageBreakBefore w:val="0"/>
        <w:kinsoku/>
        <w:wordWrap/>
        <w:overflowPunct/>
        <w:bidi w:val="0"/>
        <w:adjustRightInd w:val="0"/>
        <w:snapToGrid w:val="0"/>
        <w:spacing w:line="560" w:lineRule="exact"/>
        <w:ind w:firstLine="122" w:firstLineChars="34"/>
        <w:jc w:val="center"/>
        <w:textAlignment w:val="auto"/>
        <w:outlineLvl w:val="1"/>
        <w:rPr>
          <w:rFonts w:hint="eastAsia" w:ascii="方正小标宋_GBK" w:eastAsia="方正小标宋_GBK"/>
          <w:color w:val="auto"/>
          <w:sz w:val="36"/>
          <w:szCs w:val="36"/>
        </w:rPr>
      </w:pPr>
    </w:p>
    <w:p>
      <w:pPr>
        <w:pStyle w:val="31"/>
        <w:rPr>
          <w:rFonts w:hint="eastAsia" w:ascii="方正小标宋_GBK" w:eastAsia="方正小标宋_GBK"/>
          <w:color w:val="auto"/>
          <w:sz w:val="36"/>
          <w:szCs w:val="36"/>
        </w:rPr>
      </w:pPr>
    </w:p>
    <w:p>
      <w:pPr>
        <w:pStyle w:val="31"/>
        <w:rPr>
          <w:rFonts w:hint="eastAsia" w:ascii="方正小标宋_GBK" w:eastAsia="方正小标宋_GBK"/>
          <w:color w:val="auto"/>
          <w:sz w:val="36"/>
          <w:szCs w:val="36"/>
        </w:rPr>
      </w:pPr>
    </w:p>
    <w:p>
      <w:pPr>
        <w:pageBreakBefore w:val="0"/>
        <w:kinsoku/>
        <w:wordWrap/>
        <w:overflowPunct/>
        <w:bidi w:val="0"/>
        <w:adjustRightInd w:val="0"/>
        <w:snapToGrid w:val="0"/>
        <w:spacing w:line="560" w:lineRule="exact"/>
        <w:ind w:firstLine="122" w:firstLineChars="34"/>
        <w:jc w:val="center"/>
        <w:textAlignment w:val="auto"/>
        <w:outlineLvl w:val="1"/>
        <w:rPr>
          <w:rFonts w:hint="eastAsia" w:ascii="方正小标宋_GBK" w:eastAsia="方正小标宋_GBK"/>
          <w:color w:val="auto"/>
          <w:sz w:val="36"/>
          <w:szCs w:val="36"/>
        </w:rPr>
      </w:pPr>
    </w:p>
    <w:p>
      <w:pPr>
        <w:keepNext w:val="0"/>
        <w:keepLines w:val="0"/>
        <w:pageBreakBefore w:val="0"/>
        <w:widowControl/>
        <w:kinsoku/>
        <w:wordWrap/>
        <w:overflowPunct/>
        <w:topLinePunct w:val="0"/>
        <w:autoSpaceDE/>
        <w:autoSpaceDN/>
        <w:bidi w:val="0"/>
        <w:adjustRightInd/>
        <w:snapToGrid/>
        <w:spacing w:line="560" w:lineRule="exact"/>
        <w:ind w:firstLine="149" w:firstLineChars="34"/>
        <w:jc w:val="center"/>
        <w:textAlignment w:val="auto"/>
        <w:outlineLvl w:val="1"/>
        <w:rPr>
          <w:rFonts w:hint="eastAsia" w:ascii="黑体" w:hAnsi="黑体" w:eastAsia="黑体" w:cstheme="majorEastAsia"/>
          <w:bCs/>
          <w:color w:val="auto"/>
          <w:sz w:val="44"/>
          <w:szCs w:val="44"/>
        </w:rPr>
      </w:pPr>
      <w:bookmarkStart w:id="11" w:name="_Toc7862"/>
    </w:p>
    <w:p>
      <w:pPr>
        <w:keepNext w:val="0"/>
        <w:keepLines w:val="0"/>
        <w:pageBreakBefore w:val="0"/>
        <w:widowControl/>
        <w:kinsoku/>
        <w:wordWrap/>
        <w:overflowPunct/>
        <w:topLinePunct w:val="0"/>
        <w:autoSpaceDE/>
        <w:autoSpaceDN/>
        <w:bidi w:val="0"/>
        <w:adjustRightInd/>
        <w:snapToGrid/>
        <w:spacing w:line="560" w:lineRule="exact"/>
        <w:ind w:firstLine="149" w:firstLineChars="34"/>
        <w:jc w:val="center"/>
        <w:textAlignment w:val="auto"/>
        <w:outlineLvl w:val="1"/>
        <w:rPr>
          <w:rFonts w:hint="eastAsia" w:ascii="黑体" w:hAnsi="黑体" w:eastAsia="黑体" w:cstheme="majorEastAsia"/>
          <w:bCs/>
          <w:color w:val="auto"/>
          <w:sz w:val="44"/>
          <w:szCs w:val="44"/>
        </w:rPr>
      </w:pPr>
    </w:p>
    <w:p>
      <w:pPr>
        <w:keepNext w:val="0"/>
        <w:keepLines w:val="0"/>
        <w:pageBreakBefore w:val="0"/>
        <w:widowControl/>
        <w:kinsoku/>
        <w:wordWrap/>
        <w:overflowPunct/>
        <w:topLinePunct w:val="0"/>
        <w:autoSpaceDE/>
        <w:autoSpaceDN/>
        <w:bidi w:val="0"/>
        <w:adjustRightInd/>
        <w:snapToGrid/>
        <w:spacing w:line="560" w:lineRule="exact"/>
        <w:ind w:firstLine="149" w:firstLineChars="34"/>
        <w:jc w:val="center"/>
        <w:textAlignment w:val="auto"/>
        <w:outlineLvl w:val="1"/>
        <w:rPr>
          <w:rFonts w:hint="eastAsia" w:ascii="黑体" w:hAnsi="黑体" w:eastAsia="黑体" w:cstheme="majorEastAsia"/>
          <w:bCs/>
          <w:color w:val="auto"/>
          <w:sz w:val="44"/>
          <w:szCs w:val="44"/>
        </w:rPr>
      </w:pPr>
    </w:p>
    <w:p>
      <w:pPr>
        <w:keepNext w:val="0"/>
        <w:keepLines w:val="0"/>
        <w:pageBreakBefore w:val="0"/>
        <w:widowControl/>
        <w:kinsoku/>
        <w:wordWrap/>
        <w:overflowPunct/>
        <w:topLinePunct w:val="0"/>
        <w:autoSpaceDE/>
        <w:autoSpaceDN/>
        <w:bidi w:val="0"/>
        <w:adjustRightInd/>
        <w:snapToGrid/>
        <w:spacing w:line="560" w:lineRule="exact"/>
        <w:ind w:firstLine="149" w:firstLineChars="34"/>
        <w:jc w:val="center"/>
        <w:textAlignment w:val="auto"/>
        <w:outlineLvl w:val="1"/>
        <w:rPr>
          <w:rFonts w:hint="eastAsia" w:ascii="黑体" w:hAnsi="黑体" w:eastAsia="黑体" w:cstheme="majorEastAsia"/>
          <w:bCs/>
          <w:color w:val="auto"/>
          <w:sz w:val="44"/>
          <w:szCs w:val="44"/>
        </w:rPr>
      </w:pPr>
    </w:p>
    <w:p>
      <w:pPr>
        <w:keepNext w:val="0"/>
        <w:keepLines w:val="0"/>
        <w:pageBreakBefore w:val="0"/>
        <w:widowControl/>
        <w:kinsoku/>
        <w:wordWrap/>
        <w:overflowPunct/>
        <w:topLinePunct w:val="0"/>
        <w:autoSpaceDE/>
        <w:autoSpaceDN/>
        <w:bidi w:val="0"/>
        <w:adjustRightInd/>
        <w:snapToGrid/>
        <w:spacing w:line="560" w:lineRule="exact"/>
        <w:ind w:firstLine="149" w:firstLineChars="34"/>
        <w:jc w:val="center"/>
        <w:textAlignment w:val="auto"/>
        <w:outlineLvl w:val="1"/>
        <w:rPr>
          <w:rFonts w:hint="eastAsia" w:ascii="黑体" w:hAnsi="黑体" w:eastAsia="黑体" w:cstheme="majorEastAsia"/>
          <w:bCs/>
          <w:color w:val="auto"/>
          <w:sz w:val="44"/>
          <w:szCs w:val="44"/>
        </w:rPr>
      </w:pPr>
      <w:r>
        <w:rPr>
          <w:rFonts w:hint="eastAsia" w:ascii="黑体" w:hAnsi="黑体" w:eastAsia="黑体" w:cstheme="majorEastAsia"/>
          <w:bCs/>
          <w:color w:val="auto"/>
          <w:sz w:val="44"/>
          <w:szCs w:val="44"/>
        </w:rPr>
        <w:t>目  录</w:t>
      </w:r>
      <w:bookmarkEnd w:id="11"/>
    </w:p>
    <w:sdt>
      <w:sdtPr>
        <w:rPr>
          <w:rFonts w:ascii="宋体" w:hAnsi="宋体" w:eastAsia="宋体" w:cs="Times New Roman"/>
          <w:color w:val="auto"/>
          <w:kern w:val="2"/>
          <w:sz w:val="21"/>
          <w:szCs w:val="24"/>
          <w:lang w:val="en-US" w:eastAsia="zh-CN" w:bidi="ar-SA"/>
        </w:rPr>
        <w:id w:val="726599316"/>
        <w:docPartObj>
          <w:docPartGallery w:val="Table of Contents"/>
          <w:docPartUnique/>
        </w:docPartObj>
      </w:sdtPr>
      <w:sdtEndPr>
        <w:rPr>
          <w:rFonts w:ascii="Times New Roman" w:hAnsi="Times New Roman" w:eastAsia="楷体_GB2312" w:cs="Times New Roman"/>
          <w:b/>
          <w:color w:val="auto"/>
          <w:kern w:val="2"/>
          <w:sz w:val="28"/>
          <w:szCs w:val="20"/>
          <w:lang w:val="en-US" w:eastAsia="zh-CN" w:bidi="ar-SA"/>
        </w:rPr>
      </w:sdtEndPr>
      <w:sdtContent>
        <w:p>
          <w:pPr>
            <w:spacing w:before="0" w:beforeLines="0" w:after="0" w:afterLines="0" w:line="240" w:lineRule="auto"/>
            <w:ind w:left="0" w:leftChars="0" w:right="0" w:rightChars="0" w:firstLine="0" w:firstLineChars="0"/>
            <w:jc w:val="center"/>
            <w:rPr>
              <w:color w:val="auto"/>
            </w:rPr>
          </w:pPr>
          <w:bookmarkStart w:id="12" w:name="_Toc2145365265_WPSOffice_Type3"/>
          <w:bookmarkStart w:id="13" w:name="_Toc27178"/>
          <w:bookmarkStart w:id="14" w:name="_Toc32708"/>
          <w:bookmarkStart w:id="15" w:name="_Toc14274"/>
          <w:bookmarkStart w:id="16" w:name="_Toc25255"/>
          <w:bookmarkStart w:id="17" w:name="_Toc27848"/>
          <w:bookmarkStart w:id="18" w:name="_Toc623"/>
          <w:bookmarkStart w:id="19" w:name="_Toc16642"/>
          <w:bookmarkStart w:id="20" w:name="_Toc23161"/>
          <w:bookmarkStart w:id="21" w:name="_Toc7340"/>
          <w:bookmarkStart w:id="22" w:name="_Toc12992"/>
          <w:bookmarkStart w:id="23" w:name="_Toc4972"/>
          <w:bookmarkStart w:id="24" w:name="_Toc32317"/>
          <w:bookmarkStart w:id="25" w:name="_Toc23780"/>
          <w:bookmarkStart w:id="26" w:name="_Toc12845"/>
          <w:bookmarkStart w:id="27" w:name="_Toc27576"/>
          <w:bookmarkStart w:id="28" w:name="_Toc21480"/>
          <w:bookmarkStart w:id="29" w:name="_Toc17730"/>
          <w:bookmarkStart w:id="30" w:name="_Toc22372"/>
          <w:bookmarkStart w:id="31" w:name="_Toc19346"/>
          <w:bookmarkStart w:id="32" w:name="_Toc10231"/>
          <w:bookmarkStart w:id="33" w:name="_Toc22615"/>
          <w:bookmarkStart w:id="34" w:name="_Toc12951"/>
          <w:bookmarkStart w:id="35" w:name="_Toc20524"/>
          <w:bookmarkStart w:id="36" w:name="_Toc19887"/>
          <w:bookmarkStart w:id="37" w:name="_Toc20970"/>
          <w:bookmarkStart w:id="38" w:name="_Toc21503"/>
          <w:bookmarkStart w:id="39" w:name="_Toc31232"/>
          <w:bookmarkStart w:id="40" w:name="_Toc21039"/>
          <w:bookmarkStart w:id="41" w:name="_Toc1181"/>
          <w:bookmarkStart w:id="42" w:name="_Toc4835"/>
          <w:bookmarkStart w:id="43" w:name="_Toc5509"/>
          <w:bookmarkStart w:id="44" w:name="_Toc15726"/>
          <w:bookmarkStart w:id="45" w:name="_Toc10714"/>
          <w:bookmarkStart w:id="46" w:name="_Toc24760"/>
          <w:bookmarkStart w:id="47" w:name="_Toc14602"/>
          <w:bookmarkStart w:id="48" w:name="_Toc175"/>
          <w:bookmarkStart w:id="49" w:name="_Toc14020"/>
          <w:bookmarkStart w:id="50" w:name="_Toc10342"/>
          <w:bookmarkStart w:id="51" w:name="_Toc28656"/>
          <w:bookmarkStart w:id="52" w:name="_Toc18071"/>
          <w:bookmarkStart w:id="53" w:name="_Toc28317"/>
          <w:bookmarkStart w:id="54" w:name="_Toc28185"/>
          <w:bookmarkStart w:id="55" w:name="_Toc10572"/>
          <w:bookmarkStart w:id="56" w:name="_Toc23425"/>
          <w:bookmarkStart w:id="57" w:name="_Toc29546"/>
          <w:bookmarkStart w:id="58" w:name="_Toc8468"/>
          <w:bookmarkStart w:id="59" w:name="_Toc17147"/>
          <w:bookmarkStart w:id="60" w:name="_Toc22226"/>
          <w:bookmarkStart w:id="61" w:name="_Toc15430"/>
          <w:bookmarkStart w:id="62" w:name="_Toc29045"/>
          <w:bookmarkStart w:id="63" w:name="_Toc16567"/>
          <w:bookmarkStart w:id="64" w:name="_Toc30423"/>
          <w:bookmarkStart w:id="65" w:name="_Toc2277"/>
          <w:bookmarkStart w:id="66" w:name="_Toc13324"/>
          <w:bookmarkStart w:id="67" w:name="_Toc3095"/>
          <w:bookmarkStart w:id="68" w:name="_Toc24078"/>
          <w:bookmarkStart w:id="69" w:name="_Toc16861"/>
          <w:bookmarkStart w:id="70" w:name="_Toc19898"/>
          <w:bookmarkStart w:id="71" w:name="_Toc27442"/>
          <w:bookmarkStart w:id="72" w:name="_Toc14788"/>
          <w:bookmarkStart w:id="73" w:name="_Toc20332"/>
          <w:bookmarkStart w:id="74" w:name="_Toc12129"/>
          <w:bookmarkStart w:id="75" w:name="_Toc16292"/>
          <w:bookmarkStart w:id="76" w:name="_Toc16866"/>
          <w:bookmarkStart w:id="77" w:name="_Toc2261"/>
          <w:bookmarkStart w:id="78" w:name="_Toc19213"/>
          <w:bookmarkStart w:id="79" w:name="_Toc17907"/>
          <w:bookmarkStart w:id="80" w:name="_Toc27791"/>
          <w:bookmarkStart w:id="81" w:name="_Toc22542"/>
          <w:bookmarkStart w:id="82" w:name="_Toc25522"/>
          <w:bookmarkStart w:id="83" w:name="_Toc14431"/>
          <w:bookmarkStart w:id="84" w:name="_Toc10843"/>
          <w:bookmarkStart w:id="85" w:name="_Toc28480"/>
          <w:bookmarkStart w:id="86" w:name="_Toc18114"/>
          <w:bookmarkStart w:id="87" w:name="_Toc32219"/>
          <w:bookmarkStart w:id="88" w:name="_Toc21035"/>
          <w:bookmarkStart w:id="89" w:name="_Toc31794"/>
          <w:bookmarkStart w:id="90" w:name="_Toc3787"/>
          <w:bookmarkStart w:id="91" w:name="_Toc17667"/>
          <w:bookmarkStart w:id="92" w:name="_Toc21884"/>
          <w:bookmarkStart w:id="93" w:name="_Toc25337"/>
          <w:bookmarkStart w:id="94" w:name="_Toc22888"/>
        </w:p>
        <w:p>
          <w:pPr>
            <w:pStyle w:val="46"/>
            <w:tabs>
              <w:tab w:val="right" w:leader="dot" w:pos="8306"/>
            </w:tabs>
            <w:rPr>
              <w:color w:val="auto"/>
            </w:rPr>
          </w:pPr>
          <w:r>
            <w:rPr>
              <w:color w:val="auto"/>
            </w:rPr>
            <w:fldChar w:fldCharType="begin"/>
          </w:r>
          <w:r>
            <w:rPr>
              <w:color w:val="auto"/>
            </w:rPr>
            <w:instrText xml:space="preserve"> HYPERLINK \l _Toc1698424474_WPSOffice_Level1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5f39e2ed-6a03-41e7-85da-0775c50344ff}"/>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Times New Roman" w:hAnsi="Times New Roman" w:eastAsia="黑体" w:cstheme="minorBidi"/>
                  <w:color w:val="auto"/>
                </w:rPr>
                <w:t>第一章 发展基础和面临形势</w:t>
              </w:r>
            </w:sdtContent>
          </w:sdt>
          <w:r>
            <w:rPr>
              <w:color w:val="auto"/>
            </w:rPr>
            <w:tab/>
          </w:r>
          <w:bookmarkStart w:id="95" w:name="_Toc1698424474_WPSOffice_Level1Page"/>
          <w:r>
            <w:rPr>
              <w:color w:val="auto"/>
            </w:rPr>
            <w:t>1</w:t>
          </w:r>
          <w:bookmarkEnd w:id="95"/>
          <w:r>
            <w:rPr>
              <w:color w:val="auto"/>
            </w:rPr>
            <w:fldChar w:fldCharType="end"/>
          </w:r>
        </w:p>
        <w:p>
          <w:pPr>
            <w:pStyle w:val="47"/>
            <w:tabs>
              <w:tab w:val="right" w:leader="dot" w:pos="8306"/>
            </w:tabs>
            <w:rPr>
              <w:color w:val="auto"/>
            </w:rPr>
          </w:pPr>
          <w:r>
            <w:rPr>
              <w:color w:val="auto"/>
            </w:rPr>
            <w:fldChar w:fldCharType="begin"/>
          </w:r>
          <w:r>
            <w:rPr>
              <w:color w:val="auto"/>
            </w:rPr>
            <w:instrText xml:space="preserve"> HYPERLINK \l _Toc2145365265_WPSOffice_Level2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da86f959-0e3b-4866-97af-9545d283dae3}"/>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第一节 发展基础</w:t>
              </w:r>
            </w:sdtContent>
          </w:sdt>
          <w:r>
            <w:rPr>
              <w:color w:val="auto"/>
            </w:rPr>
            <w:tab/>
          </w:r>
          <w:bookmarkStart w:id="96" w:name="_Toc2145365265_WPSOffice_Level2Page"/>
          <w:r>
            <w:rPr>
              <w:color w:val="auto"/>
            </w:rPr>
            <w:t>1</w:t>
          </w:r>
          <w:bookmarkEnd w:id="96"/>
          <w:r>
            <w:rPr>
              <w:color w:val="auto"/>
            </w:rPr>
            <w:fldChar w:fldCharType="end"/>
          </w:r>
        </w:p>
        <w:p>
          <w:pPr>
            <w:pStyle w:val="48"/>
            <w:tabs>
              <w:tab w:val="right" w:leader="dot" w:pos="8306"/>
            </w:tabs>
            <w:rPr>
              <w:color w:val="auto"/>
            </w:rPr>
          </w:pPr>
          <w:r>
            <w:rPr>
              <w:color w:val="auto"/>
            </w:rPr>
            <w:fldChar w:fldCharType="begin"/>
          </w:r>
          <w:r>
            <w:rPr>
              <w:color w:val="auto"/>
            </w:rPr>
            <w:instrText xml:space="preserve"> HYPERLINK \l _Toc2145365265_WPSOffice_Level3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17ac3d68-aa33-4e10-b739-a14ee98638dc}"/>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一、公共卫生服务不断提升</w:t>
              </w:r>
            </w:sdtContent>
          </w:sdt>
          <w:r>
            <w:rPr>
              <w:color w:val="auto"/>
            </w:rPr>
            <w:tab/>
          </w:r>
          <w:bookmarkStart w:id="97" w:name="_Toc2145365265_WPSOffice_Level3Page"/>
          <w:r>
            <w:rPr>
              <w:color w:val="auto"/>
            </w:rPr>
            <w:t>1</w:t>
          </w:r>
          <w:bookmarkEnd w:id="97"/>
          <w:r>
            <w:rPr>
              <w:color w:val="auto"/>
            </w:rPr>
            <w:fldChar w:fldCharType="end"/>
          </w:r>
        </w:p>
        <w:p>
          <w:pPr>
            <w:pStyle w:val="48"/>
            <w:tabs>
              <w:tab w:val="right" w:leader="dot" w:pos="8306"/>
            </w:tabs>
            <w:rPr>
              <w:color w:val="auto"/>
            </w:rPr>
          </w:pPr>
          <w:r>
            <w:rPr>
              <w:color w:val="auto"/>
            </w:rPr>
            <w:fldChar w:fldCharType="begin"/>
          </w:r>
          <w:r>
            <w:rPr>
              <w:color w:val="auto"/>
            </w:rPr>
            <w:instrText xml:space="preserve"> HYPERLINK \l _Toc149719036_WPSOffice_Level3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f5026cb5-f8a0-42de-b5c2-228ec3be9081}"/>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二、深化医改取得实质进展</w:t>
              </w:r>
            </w:sdtContent>
          </w:sdt>
          <w:r>
            <w:rPr>
              <w:color w:val="auto"/>
            </w:rPr>
            <w:tab/>
          </w:r>
          <w:bookmarkStart w:id="98" w:name="_Toc149719036_WPSOffice_Level3Page"/>
          <w:r>
            <w:rPr>
              <w:color w:val="auto"/>
            </w:rPr>
            <w:t>3</w:t>
          </w:r>
          <w:bookmarkEnd w:id="98"/>
          <w:r>
            <w:rPr>
              <w:color w:val="auto"/>
            </w:rPr>
            <w:fldChar w:fldCharType="end"/>
          </w:r>
        </w:p>
        <w:p>
          <w:pPr>
            <w:pStyle w:val="48"/>
            <w:tabs>
              <w:tab w:val="right" w:leader="dot" w:pos="8306"/>
            </w:tabs>
            <w:rPr>
              <w:color w:val="auto"/>
            </w:rPr>
          </w:pPr>
          <w:r>
            <w:rPr>
              <w:color w:val="auto"/>
            </w:rPr>
            <w:fldChar w:fldCharType="begin"/>
          </w:r>
          <w:r>
            <w:rPr>
              <w:color w:val="auto"/>
            </w:rPr>
            <w:instrText xml:space="preserve"> HYPERLINK \l _Toc472447777_WPSOffice_Level3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cd39ab5a-d50b-42a4-83a0-1f74d15a7231}"/>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三、医疗服务水平持续优化</w:t>
              </w:r>
            </w:sdtContent>
          </w:sdt>
          <w:r>
            <w:rPr>
              <w:color w:val="auto"/>
            </w:rPr>
            <w:tab/>
          </w:r>
          <w:bookmarkStart w:id="99" w:name="_Toc472447777_WPSOffice_Level3Page"/>
          <w:r>
            <w:rPr>
              <w:color w:val="auto"/>
            </w:rPr>
            <w:t>4</w:t>
          </w:r>
          <w:bookmarkEnd w:id="99"/>
          <w:r>
            <w:rPr>
              <w:color w:val="auto"/>
            </w:rPr>
            <w:fldChar w:fldCharType="end"/>
          </w:r>
        </w:p>
        <w:p>
          <w:pPr>
            <w:pStyle w:val="48"/>
            <w:tabs>
              <w:tab w:val="right" w:leader="dot" w:pos="8306"/>
            </w:tabs>
            <w:rPr>
              <w:color w:val="auto"/>
            </w:rPr>
          </w:pPr>
          <w:r>
            <w:rPr>
              <w:color w:val="auto"/>
            </w:rPr>
            <w:fldChar w:fldCharType="begin"/>
          </w:r>
          <w:r>
            <w:rPr>
              <w:color w:val="auto"/>
            </w:rPr>
            <w:instrText xml:space="preserve"> HYPERLINK \l _Toc1591187832_WPSOffice_Level3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7dfc9ad5-39ed-41c0-9e48-2fdc52851dde}"/>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四、社区健康服务不断完善</w:t>
              </w:r>
            </w:sdtContent>
          </w:sdt>
          <w:r>
            <w:rPr>
              <w:color w:val="auto"/>
            </w:rPr>
            <w:tab/>
          </w:r>
          <w:bookmarkStart w:id="100" w:name="_Toc1591187832_WPSOffice_Level3Page"/>
          <w:r>
            <w:rPr>
              <w:color w:val="auto"/>
            </w:rPr>
            <w:t>5</w:t>
          </w:r>
          <w:bookmarkEnd w:id="100"/>
          <w:r>
            <w:rPr>
              <w:color w:val="auto"/>
            </w:rPr>
            <w:fldChar w:fldCharType="end"/>
          </w:r>
        </w:p>
        <w:p>
          <w:pPr>
            <w:pStyle w:val="48"/>
            <w:tabs>
              <w:tab w:val="right" w:leader="dot" w:pos="8306"/>
            </w:tabs>
            <w:rPr>
              <w:color w:val="auto"/>
            </w:rPr>
          </w:pPr>
          <w:r>
            <w:rPr>
              <w:color w:val="auto"/>
            </w:rPr>
            <w:fldChar w:fldCharType="begin"/>
          </w:r>
          <w:r>
            <w:rPr>
              <w:color w:val="auto"/>
            </w:rPr>
            <w:instrText xml:space="preserve"> HYPERLINK \l _Toc773727105_WPSOffice_Level3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a1391c08-0204-40b1-9e15-434de94677a4}"/>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五、中医药事业获长足发展</w:t>
              </w:r>
            </w:sdtContent>
          </w:sdt>
          <w:r>
            <w:rPr>
              <w:color w:val="auto"/>
            </w:rPr>
            <w:tab/>
          </w:r>
          <w:bookmarkStart w:id="101" w:name="_Toc773727105_WPSOffice_Level3Page"/>
          <w:r>
            <w:rPr>
              <w:color w:val="auto"/>
            </w:rPr>
            <w:t>6</w:t>
          </w:r>
          <w:bookmarkEnd w:id="101"/>
          <w:r>
            <w:rPr>
              <w:color w:val="auto"/>
            </w:rPr>
            <w:fldChar w:fldCharType="end"/>
          </w:r>
        </w:p>
        <w:p>
          <w:pPr>
            <w:pStyle w:val="48"/>
            <w:tabs>
              <w:tab w:val="right" w:leader="dot" w:pos="8306"/>
            </w:tabs>
            <w:rPr>
              <w:color w:val="auto"/>
            </w:rPr>
          </w:pPr>
          <w:r>
            <w:rPr>
              <w:color w:val="auto"/>
            </w:rPr>
            <w:fldChar w:fldCharType="begin"/>
          </w:r>
          <w:r>
            <w:rPr>
              <w:color w:val="auto"/>
            </w:rPr>
            <w:instrText xml:space="preserve"> HYPERLINK \l _Toc410688021_WPSOffice_Level3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8cf7967c-30ef-4f32-9184-32bf5eb27886}"/>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六、智慧医疗建设步伐加快</w:t>
              </w:r>
            </w:sdtContent>
          </w:sdt>
          <w:r>
            <w:rPr>
              <w:color w:val="auto"/>
            </w:rPr>
            <w:tab/>
          </w:r>
          <w:bookmarkStart w:id="102" w:name="_Toc410688021_WPSOffice_Level3Page"/>
          <w:r>
            <w:rPr>
              <w:color w:val="auto"/>
            </w:rPr>
            <w:t>7</w:t>
          </w:r>
          <w:bookmarkEnd w:id="102"/>
          <w:r>
            <w:rPr>
              <w:color w:val="auto"/>
            </w:rPr>
            <w:fldChar w:fldCharType="end"/>
          </w:r>
        </w:p>
        <w:p>
          <w:pPr>
            <w:pStyle w:val="48"/>
            <w:tabs>
              <w:tab w:val="right" w:leader="dot" w:pos="8306"/>
            </w:tabs>
            <w:rPr>
              <w:color w:val="auto"/>
            </w:rPr>
          </w:pPr>
          <w:r>
            <w:rPr>
              <w:color w:val="auto"/>
            </w:rPr>
            <w:fldChar w:fldCharType="begin"/>
          </w:r>
          <w:r>
            <w:rPr>
              <w:color w:val="auto"/>
            </w:rPr>
            <w:instrText xml:space="preserve"> HYPERLINK \l _Toc2004703174_WPSOffice_Level3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dc27a809-0321-4214-b32f-b899e6a44fa3}"/>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七、家庭妇幼体系逐步健全</w:t>
              </w:r>
            </w:sdtContent>
          </w:sdt>
          <w:r>
            <w:rPr>
              <w:color w:val="auto"/>
            </w:rPr>
            <w:tab/>
          </w:r>
          <w:bookmarkStart w:id="103" w:name="_Toc2004703174_WPSOffice_Level3Page"/>
          <w:r>
            <w:rPr>
              <w:color w:val="auto"/>
            </w:rPr>
            <w:t>8</w:t>
          </w:r>
          <w:bookmarkEnd w:id="103"/>
          <w:r>
            <w:rPr>
              <w:color w:val="auto"/>
            </w:rPr>
            <w:fldChar w:fldCharType="end"/>
          </w:r>
        </w:p>
        <w:p>
          <w:pPr>
            <w:pStyle w:val="48"/>
            <w:tabs>
              <w:tab w:val="right" w:leader="dot" w:pos="8306"/>
            </w:tabs>
            <w:rPr>
              <w:color w:val="auto"/>
            </w:rPr>
          </w:pPr>
          <w:r>
            <w:rPr>
              <w:color w:val="auto"/>
            </w:rPr>
            <w:fldChar w:fldCharType="begin"/>
          </w:r>
          <w:r>
            <w:rPr>
              <w:color w:val="auto"/>
            </w:rPr>
            <w:instrText xml:space="preserve"> HYPERLINK \l _Toc1797005352_WPSOffice_Level3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63f5b91d-be02-4ed1-bc13-119d885f0c97}"/>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八、依法行政效能稳步增强</w:t>
              </w:r>
            </w:sdtContent>
          </w:sdt>
          <w:r>
            <w:rPr>
              <w:color w:val="auto"/>
            </w:rPr>
            <w:tab/>
          </w:r>
          <w:bookmarkStart w:id="104" w:name="_Toc1797005352_WPSOffice_Level3Page"/>
          <w:r>
            <w:rPr>
              <w:color w:val="auto"/>
            </w:rPr>
            <w:t>9</w:t>
          </w:r>
          <w:bookmarkEnd w:id="104"/>
          <w:r>
            <w:rPr>
              <w:color w:val="auto"/>
            </w:rPr>
            <w:fldChar w:fldCharType="end"/>
          </w:r>
        </w:p>
        <w:p>
          <w:pPr>
            <w:pStyle w:val="47"/>
            <w:tabs>
              <w:tab w:val="right" w:leader="dot" w:pos="8306"/>
            </w:tabs>
            <w:rPr>
              <w:color w:val="auto"/>
            </w:rPr>
          </w:pPr>
          <w:r>
            <w:rPr>
              <w:color w:val="auto"/>
            </w:rPr>
            <w:fldChar w:fldCharType="begin"/>
          </w:r>
          <w:r>
            <w:rPr>
              <w:color w:val="auto"/>
            </w:rPr>
            <w:instrText xml:space="preserve"> HYPERLINK \l _Toc149719036_WPSOffice_Level2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396bc59c-683e-492b-9d47-6b51285bc477}"/>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第二节 面临的挑战和机遇</w:t>
              </w:r>
            </w:sdtContent>
          </w:sdt>
          <w:r>
            <w:rPr>
              <w:color w:val="auto"/>
            </w:rPr>
            <w:tab/>
          </w:r>
          <w:bookmarkStart w:id="105" w:name="_Toc149719036_WPSOffice_Level2Page"/>
          <w:r>
            <w:rPr>
              <w:color w:val="auto"/>
            </w:rPr>
            <w:t>11</w:t>
          </w:r>
          <w:bookmarkEnd w:id="105"/>
          <w:r>
            <w:rPr>
              <w:color w:val="auto"/>
            </w:rPr>
            <w:fldChar w:fldCharType="end"/>
          </w:r>
        </w:p>
        <w:p>
          <w:pPr>
            <w:pStyle w:val="48"/>
            <w:tabs>
              <w:tab w:val="right" w:leader="dot" w:pos="8306"/>
            </w:tabs>
            <w:rPr>
              <w:color w:val="auto"/>
            </w:rPr>
          </w:pPr>
          <w:r>
            <w:rPr>
              <w:color w:val="auto"/>
            </w:rPr>
            <w:fldChar w:fldCharType="begin"/>
          </w:r>
          <w:r>
            <w:rPr>
              <w:color w:val="auto"/>
            </w:rPr>
            <w:instrText xml:space="preserve"> HYPERLINK \l _Toc157368804_WPSOffice_Level3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1f680373-32e1-437b-8cf2-924f7651432e}"/>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一、面临的挑战</w:t>
              </w:r>
            </w:sdtContent>
          </w:sdt>
          <w:r>
            <w:rPr>
              <w:color w:val="auto"/>
            </w:rPr>
            <w:tab/>
          </w:r>
          <w:bookmarkStart w:id="106" w:name="_Toc157368804_WPSOffice_Level3Page"/>
          <w:r>
            <w:rPr>
              <w:color w:val="auto"/>
            </w:rPr>
            <w:t>11</w:t>
          </w:r>
          <w:bookmarkEnd w:id="106"/>
          <w:r>
            <w:rPr>
              <w:color w:val="auto"/>
            </w:rPr>
            <w:fldChar w:fldCharType="end"/>
          </w:r>
        </w:p>
        <w:p>
          <w:pPr>
            <w:pStyle w:val="48"/>
            <w:tabs>
              <w:tab w:val="right" w:leader="dot" w:pos="8306"/>
            </w:tabs>
            <w:rPr>
              <w:color w:val="auto"/>
            </w:rPr>
          </w:pPr>
          <w:r>
            <w:rPr>
              <w:color w:val="auto"/>
            </w:rPr>
            <w:fldChar w:fldCharType="begin"/>
          </w:r>
          <w:r>
            <w:rPr>
              <w:color w:val="auto"/>
            </w:rPr>
            <w:instrText xml:space="preserve"> HYPERLINK \l _Toc1020353298_WPSOffice_Level3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3ed3dee1-7ee8-405b-81b0-a32fbb8f9fe3}"/>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二、面临的机遇</w:t>
              </w:r>
            </w:sdtContent>
          </w:sdt>
          <w:r>
            <w:rPr>
              <w:color w:val="auto"/>
            </w:rPr>
            <w:tab/>
          </w:r>
          <w:bookmarkStart w:id="107" w:name="_Toc1020353298_WPSOffice_Level3Page"/>
          <w:r>
            <w:rPr>
              <w:color w:val="auto"/>
            </w:rPr>
            <w:t>13</w:t>
          </w:r>
          <w:bookmarkEnd w:id="107"/>
          <w:r>
            <w:rPr>
              <w:color w:val="auto"/>
            </w:rPr>
            <w:fldChar w:fldCharType="end"/>
          </w:r>
        </w:p>
        <w:p>
          <w:pPr>
            <w:pStyle w:val="46"/>
            <w:tabs>
              <w:tab w:val="right" w:leader="dot" w:pos="8306"/>
            </w:tabs>
            <w:rPr>
              <w:color w:val="auto"/>
            </w:rPr>
          </w:pPr>
          <w:r>
            <w:rPr>
              <w:color w:val="auto"/>
            </w:rPr>
            <w:fldChar w:fldCharType="begin"/>
          </w:r>
          <w:r>
            <w:rPr>
              <w:color w:val="auto"/>
            </w:rPr>
            <w:instrText xml:space="preserve"> HYPERLINK \l _Toc2145365265_WPSOffice_Level1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df3459ea-4040-4a0c-8265-166aec533834}"/>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第二章  指导思想、基本原则和发展目标</w:t>
              </w:r>
            </w:sdtContent>
          </w:sdt>
          <w:r>
            <w:rPr>
              <w:color w:val="auto"/>
            </w:rPr>
            <w:tab/>
          </w:r>
          <w:bookmarkStart w:id="108" w:name="_Toc2145365265_WPSOffice_Level1Page"/>
          <w:r>
            <w:rPr>
              <w:color w:val="auto"/>
            </w:rPr>
            <w:t>15</w:t>
          </w:r>
          <w:bookmarkEnd w:id="108"/>
          <w:r>
            <w:rPr>
              <w:color w:val="auto"/>
            </w:rPr>
            <w:fldChar w:fldCharType="end"/>
          </w:r>
        </w:p>
        <w:p>
          <w:pPr>
            <w:pStyle w:val="47"/>
            <w:tabs>
              <w:tab w:val="right" w:leader="dot" w:pos="8306"/>
            </w:tabs>
            <w:rPr>
              <w:color w:val="auto"/>
            </w:rPr>
          </w:pPr>
          <w:r>
            <w:rPr>
              <w:color w:val="auto"/>
            </w:rPr>
            <w:fldChar w:fldCharType="begin"/>
          </w:r>
          <w:r>
            <w:rPr>
              <w:color w:val="auto"/>
            </w:rPr>
            <w:instrText xml:space="preserve"> HYPERLINK \l _Toc472447777_WPSOffice_Level2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e42ff8dc-a649-48b7-9c38-2fdd2aac1f56}"/>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第一节 指导思想</w:t>
              </w:r>
            </w:sdtContent>
          </w:sdt>
          <w:r>
            <w:rPr>
              <w:color w:val="auto"/>
            </w:rPr>
            <w:tab/>
          </w:r>
          <w:bookmarkStart w:id="109" w:name="_Toc472447777_WPSOffice_Level2Page"/>
          <w:r>
            <w:rPr>
              <w:color w:val="auto"/>
            </w:rPr>
            <w:t>15</w:t>
          </w:r>
          <w:bookmarkEnd w:id="109"/>
          <w:r>
            <w:rPr>
              <w:color w:val="auto"/>
            </w:rPr>
            <w:fldChar w:fldCharType="end"/>
          </w:r>
        </w:p>
        <w:p>
          <w:pPr>
            <w:pStyle w:val="47"/>
            <w:tabs>
              <w:tab w:val="right" w:leader="dot" w:pos="8306"/>
            </w:tabs>
            <w:rPr>
              <w:color w:val="auto"/>
            </w:rPr>
          </w:pPr>
          <w:r>
            <w:rPr>
              <w:color w:val="auto"/>
            </w:rPr>
            <w:fldChar w:fldCharType="begin"/>
          </w:r>
          <w:r>
            <w:rPr>
              <w:color w:val="auto"/>
            </w:rPr>
            <w:instrText xml:space="preserve"> HYPERLINK \l _Toc1591187832_WPSOffice_Level2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12ed251c-2b07-4ab4-844a-55f56ddb9150}"/>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第二节 基本原则</w:t>
              </w:r>
            </w:sdtContent>
          </w:sdt>
          <w:r>
            <w:rPr>
              <w:color w:val="auto"/>
            </w:rPr>
            <w:tab/>
          </w:r>
          <w:bookmarkStart w:id="110" w:name="_Toc1591187832_WPSOffice_Level2Page"/>
          <w:r>
            <w:rPr>
              <w:color w:val="auto"/>
            </w:rPr>
            <w:t>15</w:t>
          </w:r>
          <w:bookmarkEnd w:id="110"/>
          <w:r>
            <w:rPr>
              <w:color w:val="auto"/>
            </w:rPr>
            <w:fldChar w:fldCharType="end"/>
          </w:r>
        </w:p>
        <w:p>
          <w:pPr>
            <w:pStyle w:val="47"/>
            <w:tabs>
              <w:tab w:val="right" w:leader="dot" w:pos="8306"/>
            </w:tabs>
            <w:rPr>
              <w:color w:val="auto"/>
            </w:rPr>
          </w:pPr>
          <w:r>
            <w:rPr>
              <w:color w:val="auto"/>
            </w:rPr>
            <w:fldChar w:fldCharType="begin"/>
          </w:r>
          <w:r>
            <w:rPr>
              <w:color w:val="auto"/>
            </w:rPr>
            <w:instrText xml:space="preserve"> HYPERLINK \l _Toc773727105_WPSOffice_Level2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e1eeedf0-6a5a-40cf-94e6-ce41ef456809}"/>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第三节 发展目标</w:t>
              </w:r>
            </w:sdtContent>
          </w:sdt>
          <w:r>
            <w:rPr>
              <w:color w:val="auto"/>
            </w:rPr>
            <w:tab/>
          </w:r>
          <w:bookmarkStart w:id="111" w:name="_Toc773727105_WPSOffice_Level2Page"/>
          <w:r>
            <w:rPr>
              <w:color w:val="auto"/>
            </w:rPr>
            <w:t>16</w:t>
          </w:r>
          <w:bookmarkEnd w:id="111"/>
          <w:r>
            <w:rPr>
              <w:color w:val="auto"/>
            </w:rPr>
            <w:fldChar w:fldCharType="end"/>
          </w:r>
        </w:p>
        <w:p>
          <w:pPr>
            <w:pStyle w:val="48"/>
            <w:tabs>
              <w:tab w:val="right" w:leader="dot" w:pos="8306"/>
            </w:tabs>
            <w:rPr>
              <w:color w:val="auto"/>
            </w:rPr>
          </w:pPr>
          <w:r>
            <w:rPr>
              <w:color w:val="auto"/>
            </w:rPr>
            <w:fldChar w:fldCharType="begin"/>
          </w:r>
          <w:r>
            <w:rPr>
              <w:color w:val="auto"/>
            </w:rPr>
            <w:instrText xml:space="preserve"> HYPERLINK \l _Toc1882596952_WPSOffice_Level3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5faa6173-a912-46bf-a9c4-8e6dac5bc8fe}"/>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一、总体目标</w:t>
              </w:r>
            </w:sdtContent>
          </w:sdt>
          <w:r>
            <w:rPr>
              <w:color w:val="auto"/>
            </w:rPr>
            <w:tab/>
          </w:r>
          <w:bookmarkStart w:id="112" w:name="_Toc1882596952_WPSOffice_Level3Page"/>
          <w:r>
            <w:rPr>
              <w:color w:val="auto"/>
            </w:rPr>
            <w:t>16</w:t>
          </w:r>
          <w:bookmarkEnd w:id="112"/>
          <w:r>
            <w:rPr>
              <w:color w:val="auto"/>
            </w:rPr>
            <w:fldChar w:fldCharType="end"/>
          </w:r>
        </w:p>
        <w:p>
          <w:pPr>
            <w:pStyle w:val="48"/>
            <w:tabs>
              <w:tab w:val="right" w:leader="dot" w:pos="8306"/>
            </w:tabs>
            <w:rPr>
              <w:color w:val="auto"/>
            </w:rPr>
          </w:pPr>
          <w:r>
            <w:rPr>
              <w:color w:val="auto"/>
            </w:rPr>
            <w:fldChar w:fldCharType="begin"/>
          </w:r>
          <w:r>
            <w:rPr>
              <w:color w:val="auto"/>
            </w:rPr>
            <w:instrText xml:space="preserve"> HYPERLINK \l _Toc108953475_WPSOffice_Level3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c88bc098-8d41-4c77-9c3f-4b09bd3fcfe0}"/>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二、具体目标</w:t>
              </w:r>
            </w:sdtContent>
          </w:sdt>
          <w:r>
            <w:rPr>
              <w:color w:val="auto"/>
            </w:rPr>
            <w:tab/>
          </w:r>
          <w:bookmarkStart w:id="113" w:name="_Toc108953475_WPSOffice_Level3Page"/>
          <w:r>
            <w:rPr>
              <w:color w:val="auto"/>
            </w:rPr>
            <w:t>17</w:t>
          </w:r>
          <w:bookmarkEnd w:id="113"/>
          <w:r>
            <w:rPr>
              <w:color w:val="auto"/>
            </w:rPr>
            <w:fldChar w:fldCharType="end"/>
          </w:r>
        </w:p>
        <w:p>
          <w:pPr>
            <w:pStyle w:val="47"/>
            <w:tabs>
              <w:tab w:val="right" w:leader="dot" w:pos="8306"/>
            </w:tabs>
            <w:rPr>
              <w:color w:val="auto"/>
            </w:rPr>
          </w:pPr>
          <w:r>
            <w:rPr>
              <w:color w:val="auto"/>
            </w:rPr>
            <w:fldChar w:fldCharType="begin"/>
          </w:r>
          <w:r>
            <w:rPr>
              <w:color w:val="auto"/>
            </w:rPr>
            <w:instrText xml:space="preserve"> HYPERLINK \l _Toc410688021_WPSOffice_Level2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5e1b12a9-102c-466d-b2bf-c82db8a3efb8}"/>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仿宋_GB2312" w:hAnsi="黑体" w:eastAsia="仿宋_GB2312" w:cs="楷体_GB2312"/>
                  <w:color w:val="auto"/>
                </w:rPr>
                <w:t>专栏1 光明区卫生健康“十四五”规划指标体系</w:t>
              </w:r>
            </w:sdtContent>
          </w:sdt>
          <w:r>
            <w:rPr>
              <w:color w:val="auto"/>
            </w:rPr>
            <w:tab/>
          </w:r>
          <w:bookmarkStart w:id="114" w:name="_Toc410688021_WPSOffice_Level2Page"/>
          <w:r>
            <w:rPr>
              <w:color w:val="auto"/>
            </w:rPr>
            <w:t>21</w:t>
          </w:r>
          <w:bookmarkEnd w:id="114"/>
          <w:r>
            <w:rPr>
              <w:color w:val="auto"/>
            </w:rPr>
            <w:fldChar w:fldCharType="end"/>
          </w:r>
        </w:p>
        <w:p>
          <w:pPr>
            <w:pStyle w:val="46"/>
            <w:tabs>
              <w:tab w:val="right" w:leader="dot" w:pos="8306"/>
            </w:tabs>
            <w:rPr>
              <w:color w:val="auto"/>
            </w:rPr>
          </w:pPr>
          <w:r>
            <w:rPr>
              <w:color w:val="auto"/>
            </w:rPr>
            <w:fldChar w:fldCharType="begin"/>
          </w:r>
          <w:r>
            <w:rPr>
              <w:color w:val="auto"/>
            </w:rPr>
            <w:instrText xml:space="preserve"> HYPERLINK \l _Toc149719036_WPSOffice_Level1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62df94a9-ab8a-4724-82b7-2c166d9b5c06}"/>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Times New Roman" w:hAnsi="Times New Roman" w:eastAsia="黑体" w:cstheme="minorBidi"/>
                  <w:color w:val="auto"/>
                </w:rPr>
                <w:t>第三章 主要任务</w:t>
              </w:r>
            </w:sdtContent>
          </w:sdt>
          <w:r>
            <w:rPr>
              <w:color w:val="auto"/>
            </w:rPr>
            <w:tab/>
          </w:r>
          <w:bookmarkStart w:id="115" w:name="_Toc149719036_WPSOffice_Level1Page"/>
          <w:r>
            <w:rPr>
              <w:color w:val="auto"/>
            </w:rPr>
            <w:t>22</w:t>
          </w:r>
          <w:bookmarkEnd w:id="115"/>
          <w:r>
            <w:rPr>
              <w:color w:val="auto"/>
            </w:rPr>
            <w:fldChar w:fldCharType="end"/>
          </w:r>
        </w:p>
        <w:p>
          <w:pPr>
            <w:pStyle w:val="47"/>
            <w:tabs>
              <w:tab w:val="right" w:leader="dot" w:pos="8306"/>
            </w:tabs>
            <w:rPr>
              <w:color w:val="auto"/>
            </w:rPr>
          </w:pPr>
          <w:r>
            <w:rPr>
              <w:color w:val="auto"/>
            </w:rPr>
            <w:fldChar w:fldCharType="begin"/>
          </w:r>
          <w:r>
            <w:rPr>
              <w:color w:val="auto"/>
            </w:rPr>
            <w:instrText xml:space="preserve"> HYPERLINK \l _Toc2004703174_WPSOffice_Level2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9684eef4-44a2-4dfa-bafc-cf33c930d3aa}"/>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Times New Roman" w:hAnsi="Times New Roman" w:eastAsia="黑体" w:cstheme="minorBidi"/>
                  <w:color w:val="auto"/>
                </w:rPr>
                <w:t>第一节 瞄准公共卫生高质量发展</w:t>
              </w:r>
            </w:sdtContent>
          </w:sdt>
          <w:r>
            <w:rPr>
              <w:color w:val="auto"/>
            </w:rPr>
            <w:tab/>
          </w:r>
          <w:bookmarkStart w:id="116" w:name="_Toc2004703174_WPSOffice_Level2Page"/>
          <w:r>
            <w:rPr>
              <w:color w:val="auto"/>
            </w:rPr>
            <w:t>22</w:t>
          </w:r>
          <w:bookmarkEnd w:id="116"/>
          <w:r>
            <w:rPr>
              <w:color w:val="auto"/>
            </w:rPr>
            <w:fldChar w:fldCharType="end"/>
          </w:r>
        </w:p>
        <w:p>
          <w:pPr>
            <w:pStyle w:val="48"/>
            <w:tabs>
              <w:tab w:val="right" w:leader="dot" w:pos="8306"/>
            </w:tabs>
            <w:rPr>
              <w:color w:val="auto"/>
            </w:rPr>
          </w:pPr>
          <w:r>
            <w:rPr>
              <w:color w:val="auto"/>
            </w:rPr>
            <w:fldChar w:fldCharType="begin"/>
          </w:r>
          <w:r>
            <w:rPr>
              <w:color w:val="auto"/>
            </w:rPr>
            <w:instrText xml:space="preserve"> HYPERLINK \l _Toc1155047831_WPSOffice_Level3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c4abd046-34f0-41a6-a62e-b3ac44f444bc}"/>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一</w:t>
              </w:r>
              <w:r>
                <w:rPr>
                  <w:rFonts w:hint="eastAsia" w:ascii="Times New Roman" w:hAnsi="Times New Roman" w:eastAsia="黑体" w:cstheme="minorBidi"/>
                  <w:color w:val="auto"/>
                </w:rPr>
                <w:t>、加强公共卫生体系建设</w:t>
              </w:r>
            </w:sdtContent>
          </w:sdt>
          <w:r>
            <w:rPr>
              <w:color w:val="auto"/>
            </w:rPr>
            <w:tab/>
          </w:r>
          <w:bookmarkStart w:id="117" w:name="_Toc1155047831_WPSOffice_Level3Page"/>
          <w:r>
            <w:rPr>
              <w:color w:val="auto"/>
            </w:rPr>
            <w:t>22</w:t>
          </w:r>
          <w:bookmarkEnd w:id="117"/>
          <w:r>
            <w:rPr>
              <w:color w:val="auto"/>
            </w:rPr>
            <w:fldChar w:fldCharType="end"/>
          </w:r>
        </w:p>
        <w:p>
          <w:pPr>
            <w:pStyle w:val="48"/>
            <w:tabs>
              <w:tab w:val="right" w:leader="dot" w:pos="8306"/>
            </w:tabs>
            <w:rPr>
              <w:color w:val="auto"/>
            </w:rPr>
          </w:pPr>
          <w:r>
            <w:rPr>
              <w:color w:val="auto"/>
            </w:rPr>
            <w:fldChar w:fldCharType="begin"/>
          </w:r>
          <w:r>
            <w:rPr>
              <w:color w:val="auto"/>
            </w:rPr>
            <w:instrText xml:space="preserve"> HYPERLINK \l _Toc538915420_WPSOffice_Level3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4cab1ba9-b860-4b9f-93d9-a588ceab8913}"/>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二、提高重大疫情防控能力</w:t>
              </w:r>
            </w:sdtContent>
          </w:sdt>
          <w:r>
            <w:rPr>
              <w:color w:val="auto"/>
            </w:rPr>
            <w:tab/>
          </w:r>
          <w:bookmarkStart w:id="118" w:name="_Toc538915420_WPSOffice_Level3Page"/>
          <w:r>
            <w:rPr>
              <w:color w:val="auto"/>
            </w:rPr>
            <w:t>24</w:t>
          </w:r>
          <w:bookmarkEnd w:id="118"/>
          <w:r>
            <w:rPr>
              <w:color w:val="auto"/>
            </w:rPr>
            <w:fldChar w:fldCharType="end"/>
          </w:r>
        </w:p>
        <w:p>
          <w:pPr>
            <w:pStyle w:val="48"/>
            <w:tabs>
              <w:tab w:val="right" w:leader="dot" w:pos="8306"/>
            </w:tabs>
            <w:rPr>
              <w:color w:val="auto"/>
            </w:rPr>
          </w:pPr>
          <w:r>
            <w:rPr>
              <w:color w:val="auto"/>
            </w:rPr>
            <w:fldChar w:fldCharType="begin"/>
          </w:r>
          <w:r>
            <w:rPr>
              <w:color w:val="auto"/>
            </w:rPr>
            <w:instrText xml:space="preserve"> HYPERLINK \l _Toc351794712_WPSOffice_Level3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1cb2ca01-fe1b-4dc9-87c4-6e4fd108750e}"/>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Times New Roman" w:hAnsi="Times New Roman" w:eastAsia="黑体" w:cstheme="minorBidi"/>
                  <w:color w:val="auto"/>
                </w:rPr>
                <w:t>三、推进健康光明行动</w:t>
              </w:r>
            </w:sdtContent>
          </w:sdt>
          <w:r>
            <w:rPr>
              <w:color w:val="auto"/>
            </w:rPr>
            <w:tab/>
          </w:r>
          <w:bookmarkStart w:id="119" w:name="_Toc351794712_WPSOffice_Level3Page"/>
          <w:r>
            <w:rPr>
              <w:color w:val="auto"/>
            </w:rPr>
            <w:t>26</w:t>
          </w:r>
          <w:bookmarkEnd w:id="119"/>
          <w:r>
            <w:rPr>
              <w:color w:val="auto"/>
            </w:rPr>
            <w:fldChar w:fldCharType="end"/>
          </w:r>
        </w:p>
        <w:p>
          <w:pPr>
            <w:pStyle w:val="48"/>
            <w:tabs>
              <w:tab w:val="right" w:leader="dot" w:pos="8306"/>
            </w:tabs>
            <w:rPr>
              <w:color w:val="auto"/>
            </w:rPr>
          </w:pPr>
          <w:r>
            <w:rPr>
              <w:color w:val="auto"/>
            </w:rPr>
            <w:fldChar w:fldCharType="begin"/>
          </w:r>
          <w:r>
            <w:rPr>
              <w:color w:val="auto"/>
            </w:rPr>
            <w:instrText xml:space="preserve"> HYPERLINK \l _Toc768108755_WPSOffice_Level3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73901e68-56ea-4259-937d-0838b9713874}"/>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Times New Roman" w:hAnsi="Times New Roman" w:eastAsia="黑体" w:cstheme="minorBidi"/>
                  <w:color w:val="auto"/>
                </w:rPr>
                <w:t>四、</w:t>
              </w:r>
              <w:r>
                <w:rPr>
                  <w:rFonts w:hint="eastAsia" w:ascii="黑体" w:hAnsi="黑体" w:eastAsia="黑体" w:cs="黑体"/>
                  <w:color w:val="auto"/>
                </w:rPr>
                <w:t>优化家庭妇幼服务体系</w:t>
              </w:r>
            </w:sdtContent>
          </w:sdt>
          <w:r>
            <w:rPr>
              <w:color w:val="auto"/>
            </w:rPr>
            <w:tab/>
          </w:r>
          <w:bookmarkStart w:id="120" w:name="_Toc768108755_WPSOffice_Level3Page"/>
          <w:r>
            <w:rPr>
              <w:color w:val="auto"/>
            </w:rPr>
            <w:t>28</w:t>
          </w:r>
          <w:bookmarkEnd w:id="120"/>
          <w:r>
            <w:rPr>
              <w:color w:val="auto"/>
            </w:rPr>
            <w:fldChar w:fldCharType="end"/>
          </w:r>
        </w:p>
        <w:p>
          <w:pPr>
            <w:pStyle w:val="47"/>
            <w:tabs>
              <w:tab w:val="right" w:leader="dot" w:pos="8306"/>
            </w:tabs>
            <w:rPr>
              <w:color w:val="auto"/>
            </w:rPr>
          </w:pPr>
          <w:r>
            <w:rPr>
              <w:color w:val="auto"/>
            </w:rPr>
            <w:fldChar w:fldCharType="begin"/>
          </w:r>
          <w:r>
            <w:rPr>
              <w:color w:val="auto"/>
            </w:rPr>
            <w:instrText xml:space="preserve"> HYPERLINK \l _Toc1797005352_WPSOffice_Level2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b04cc8c1-a03e-461c-971a-79549a9d309d}"/>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第二节 健全基本医疗卫生服务体系</w:t>
              </w:r>
            </w:sdtContent>
          </w:sdt>
          <w:r>
            <w:rPr>
              <w:color w:val="auto"/>
            </w:rPr>
            <w:tab/>
          </w:r>
          <w:bookmarkStart w:id="121" w:name="_Toc1797005352_WPSOffice_Level2Page"/>
          <w:r>
            <w:rPr>
              <w:color w:val="auto"/>
            </w:rPr>
            <w:t>30</w:t>
          </w:r>
          <w:bookmarkEnd w:id="121"/>
          <w:r>
            <w:rPr>
              <w:color w:val="auto"/>
            </w:rPr>
            <w:fldChar w:fldCharType="end"/>
          </w:r>
        </w:p>
        <w:p>
          <w:pPr>
            <w:pStyle w:val="48"/>
            <w:tabs>
              <w:tab w:val="right" w:leader="dot" w:pos="8306"/>
            </w:tabs>
            <w:rPr>
              <w:color w:val="auto"/>
            </w:rPr>
          </w:pPr>
          <w:r>
            <w:rPr>
              <w:color w:val="auto"/>
            </w:rPr>
            <w:fldChar w:fldCharType="begin"/>
          </w:r>
          <w:r>
            <w:rPr>
              <w:color w:val="auto"/>
            </w:rPr>
            <w:instrText xml:space="preserve"> HYPERLINK \l _Toc859813547_WPSOffice_Level3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9a4fad8e-5469-49f5-896a-6f22592997cd}"/>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一、整合区域医疗卫生资源</w:t>
              </w:r>
            </w:sdtContent>
          </w:sdt>
          <w:r>
            <w:rPr>
              <w:color w:val="auto"/>
            </w:rPr>
            <w:tab/>
          </w:r>
          <w:bookmarkStart w:id="122" w:name="_Toc859813547_WPSOffice_Level3Page"/>
          <w:r>
            <w:rPr>
              <w:color w:val="auto"/>
            </w:rPr>
            <w:t>30</w:t>
          </w:r>
          <w:bookmarkEnd w:id="122"/>
          <w:r>
            <w:rPr>
              <w:color w:val="auto"/>
            </w:rPr>
            <w:fldChar w:fldCharType="end"/>
          </w:r>
        </w:p>
        <w:p>
          <w:pPr>
            <w:pStyle w:val="48"/>
            <w:tabs>
              <w:tab w:val="right" w:leader="dot" w:pos="8306"/>
            </w:tabs>
            <w:rPr>
              <w:color w:val="auto"/>
            </w:rPr>
          </w:pPr>
          <w:r>
            <w:rPr>
              <w:color w:val="auto"/>
            </w:rPr>
            <w:fldChar w:fldCharType="begin"/>
          </w:r>
          <w:r>
            <w:rPr>
              <w:color w:val="auto"/>
            </w:rPr>
            <w:instrText xml:space="preserve"> HYPERLINK \l _Toc816266804_WPSOffice_Level3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3e858dea-c7d9-4944-b84e-4c91f203ce24}"/>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二、提升医疗服务质量</w:t>
              </w:r>
            </w:sdtContent>
          </w:sdt>
          <w:r>
            <w:rPr>
              <w:color w:val="auto"/>
            </w:rPr>
            <w:tab/>
          </w:r>
          <w:bookmarkStart w:id="123" w:name="_Toc816266804_WPSOffice_Level3Page"/>
          <w:r>
            <w:rPr>
              <w:color w:val="auto"/>
            </w:rPr>
            <w:t>33</w:t>
          </w:r>
          <w:bookmarkEnd w:id="123"/>
          <w:r>
            <w:rPr>
              <w:color w:val="auto"/>
            </w:rPr>
            <w:fldChar w:fldCharType="end"/>
          </w:r>
        </w:p>
        <w:p>
          <w:pPr>
            <w:pStyle w:val="48"/>
            <w:tabs>
              <w:tab w:val="right" w:leader="dot" w:pos="8306"/>
            </w:tabs>
            <w:rPr>
              <w:color w:val="auto"/>
            </w:rPr>
          </w:pPr>
          <w:r>
            <w:rPr>
              <w:color w:val="auto"/>
            </w:rPr>
            <w:fldChar w:fldCharType="begin"/>
          </w:r>
          <w:r>
            <w:rPr>
              <w:color w:val="auto"/>
            </w:rPr>
            <w:instrText xml:space="preserve"> HYPERLINK \l _Toc1959738502_WPSOffice_Level3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38f1d7a4-7852-464e-8d40-fe10ca0fa019}"/>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三、推进社区健康服务跨越式发展</w:t>
              </w:r>
            </w:sdtContent>
          </w:sdt>
          <w:r>
            <w:rPr>
              <w:color w:val="auto"/>
            </w:rPr>
            <w:tab/>
          </w:r>
          <w:bookmarkStart w:id="124" w:name="_Toc1959738502_WPSOffice_Level3Page"/>
          <w:r>
            <w:rPr>
              <w:color w:val="auto"/>
            </w:rPr>
            <w:t>34</w:t>
          </w:r>
          <w:bookmarkEnd w:id="124"/>
          <w:r>
            <w:rPr>
              <w:color w:val="auto"/>
            </w:rPr>
            <w:fldChar w:fldCharType="end"/>
          </w:r>
        </w:p>
        <w:p>
          <w:pPr>
            <w:pStyle w:val="48"/>
            <w:tabs>
              <w:tab w:val="right" w:leader="dot" w:pos="8306"/>
            </w:tabs>
            <w:rPr>
              <w:color w:val="auto"/>
            </w:rPr>
          </w:pPr>
          <w:r>
            <w:rPr>
              <w:color w:val="auto"/>
            </w:rPr>
            <w:fldChar w:fldCharType="begin"/>
          </w:r>
          <w:r>
            <w:rPr>
              <w:color w:val="auto"/>
            </w:rPr>
            <w:instrText xml:space="preserve"> HYPERLINK \l _Toc2145326290_WPSOffice_Level3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afefe07c-5458-4fae-9025-22fc99aedf66}"/>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四、深化医疗卫生体制改革</w:t>
              </w:r>
            </w:sdtContent>
          </w:sdt>
          <w:r>
            <w:rPr>
              <w:color w:val="auto"/>
            </w:rPr>
            <w:tab/>
          </w:r>
          <w:bookmarkStart w:id="125" w:name="_Toc2145326290_WPSOffice_Level3Page"/>
          <w:r>
            <w:rPr>
              <w:color w:val="auto"/>
            </w:rPr>
            <w:t>36</w:t>
          </w:r>
          <w:bookmarkEnd w:id="125"/>
          <w:r>
            <w:rPr>
              <w:color w:val="auto"/>
            </w:rPr>
            <w:fldChar w:fldCharType="end"/>
          </w:r>
        </w:p>
        <w:p>
          <w:pPr>
            <w:pStyle w:val="47"/>
            <w:tabs>
              <w:tab w:val="right" w:leader="dot" w:pos="8306"/>
            </w:tabs>
            <w:rPr>
              <w:color w:val="auto"/>
            </w:rPr>
          </w:pPr>
          <w:r>
            <w:rPr>
              <w:color w:val="auto"/>
            </w:rPr>
            <w:fldChar w:fldCharType="begin"/>
          </w:r>
          <w:r>
            <w:rPr>
              <w:color w:val="auto"/>
            </w:rPr>
            <w:instrText xml:space="preserve"> HYPERLINK \l _Toc1020353298_WPSOffice_Level2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8d16d739-0efe-4b93-b215-07ff6991a134}"/>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第三节 完善健康发展保障机制</w:t>
              </w:r>
            </w:sdtContent>
          </w:sdt>
          <w:r>
            <w:rPr>
              <w:color w:val="auto"/>
            </w:rPr>
            <w:tab/>
          </w:r>
          <w:bookmarkStart w:id="126" w:name="_Toc1020353298_WPSOffice_Level2Page"/>
          <w:r>
            <w:rPr>
              <w:color w:val="auto"/>
            </w:rPr>
            <w:t>38</w:t>
          </w:r>
          <w:bookmarkEnd w:id="126"/>
          <w:r>
            <w:rPr>
              <w:color w:val="auto"/>
            </w:rPr>
            <w:fldChar w:fldCharType="end"/>
          </w:r>
        </w:p>
        <w:p>
          <w:pPr>
            <w:pStyle w:val="48"/>
            <w:tabs>
              <w:tab w:val="right" w:leader="dot" w:pos="8306"/>
            </w:tabs>
            <w:rPr>
              <w:color w:val="auto"/>
            </w:rPr>
          </w:pPr>
          <w:r>
            <w:rPr>
              <w:color w:val="auto"/>
            </w:rPr>
            <w:fldChar w:fldCharType="begin"/>
          </w:r>
          <w:r>
            <w:rPr>
              <w:color w:val="auto"/>
            </w:rPr>
            <w:instrText xml:space="preserve"> HYPERLINK \l _Toc863418929_WPSOffice_Level3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8e28782b-af9c-4b67-bbb6-be7711a3e40a}"/>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一、重视产学研高融合实践</w:t>
              </w:r>
            </w:sdtContent>
          </w:sdt>
          <w:r>
            <w:rPr>
              <w:color w:val="auto"/>
            </w:rPr>
            <w:tab/>
          </w:r>
          <w:bookmarkStart w:id="127" w:name="_Toc863418929_WPSOffice_Level3Page"/>
          <w:r>
            <w:rPr>
              <w:color w:val="auto"/>
            </w:rPr>
            <w:t>38</w:t>
          </w:r>
          <w:bookmarkEnd w:id="127"/>
          <w:r>
            <w:rPr>
              <w:color w:val="auto"/>
            </w:rPr>
            <w:fldChar w:fldCharType="end"/>
          </w:r>
        </w:p>
        <w:p>
          <w:pPr>
            <w:pStyle w:val="48"/>
            <w:tabs>
              <w:tab w:val="right" w:leader="dot" w:pos="8306"/>
            </w:tabs>
            <w:rPr>
              <w:color w:val="auto"/>
            </w:rPr>
          </w:pPr>
          <w:r>
            <w:rPr>
              <w:color w:val="auto"/>
            </w:rPr>
            <w:fldChar w:fldCharType="begin"/>
          </w:r>
          <w:r>
            <w:rPr>
              <w:color w:val="auto"/>
            </w:rPr>
            <w:instrText xml:space="preserve"> HYPERLINK \l _Toc1310495983_WPSOffice_Level3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66858492-abc8-4210-95a1-09e264817aa6}"/>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二、构建医疗卫生人才体系</w:t>
              </w:r>
            </w:sdtContent>
          </w:sdt>
          <w:r>
            <w:rPr>
              <w:color w:val="auto"/>
            </w:rPr>
            <w:tab/>
          </w:r>
          <w:bookmarkStart w:id="128" w:name="_Toc1310495983_WPSOffice_Level3Page"/>
          <w:r>
            <w:rPr>
              <w:color w:val="auto"/>
            </w:rPr>
            <w:t>41</w:t>
          </w:r>
          <w:bookmarkEnd w:id="128"/>
          <w:r>
            <w:rPr>
              <w:color w:val="auto"/>
            </w:rPr>
            <w:fldChar w:fldCharType="end"/>
          </w:r>
        </w:p>
        <w:p>
          <w:pPr>
            <w:pStyle w:val="48"/>
            <w:tabs>
              <w:tab w:val="right" w:leader="dot" w:pos="8306"/>
            </w:tabs>
            <w:rPr>
              <w:color w:val="auto"/>
            </w:rPr>
          </w:pPr>
          <w:r>
            <w:rPr>
              <w:color w:val="auto"/>
            </w:rPr>
            <w:fldChar w:fldCharType="begin"/>
          </w:r>
          <w:r>
            <w:rPr>
              <w:color w:val="auto"/>
            </w:rPr>
            <w:instrText xml:space="preserve"> HYPERLINK \l _Toc1288580277_WPSOffice_Level3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3c898d85-1f90-490e-b6ad-8f7d5a498334}"/>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Times New Roman" w:hAnsi="Times New Roman" w:eastAsia="黑体" w:cstheme="minorBidi"/>
                  <w:color w:val="auto"/>
                </w:rPr>
                <w:t>三、筑牢医疗卫生法治屏障</w:t>
              </w:r>
            </w:sdtContent>
          </w:sdt>
          <w:r>
            <w:rPr>
              <w:color w:val="auto"/>
            </w:rPr>
            <w:tab/>
          </w:r>
          <w:bookmarkStart w:id="129" w:name="_Toc1288580277_WPSOffice_Level3Page"/>
          <w:r>
            <w:rPr>
              <w:color w:val="auto"/>
            </w:rPr>
            <w:t>42</w:t>
          </w:r>
          <w:bookmarkEnd w:id="129"/>
          <w:r>
            <w:rPr>
              <w:color w:val="auto"/>
            </w:rPr>
            <w:fldChar w:fldCharType="end"/>
          </w:r>
        </w:p>
        <w:p>
          <w:pPr>
            <w:pStyle w:val="48"/>
            <w:tabs>
              <w:tab w:val="right" w:leader="dot" w:pos="8306"/>
            </w:tabs>
            <w:rPr>
              <w:color w:val="auto"/>
            </w:rPr>
          </w:pPr>
          <w:r>
            <w:rPr>
              <w:color w:val="auto"/>
            </w:rPr>
            <w:fldChar w:fldCharType="begin"/>
          </w:r>
          <w:r>
            <w:rPr>
              <w:color w:val="auto"/>
            </w:rPr>
            <w:instrText xml:space="preserve"> HYPERLINK \l _Toc1941250493_WPSOffice_Level3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c29fdbef-b433-40e0-91b3-e18dc6e171f8}"/>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四、推动医疗服务智慧升级</w:t>
              </w:r>
            </w:sdtContent>
          </w:sdt>
          <w:r>
            <w:rPr>
              <w:color w:val="auto"/>
            </w:rPr>
            <w:tab/>
          </w:r>
          <w:bookmarkStart w:id="130" w:name="_Toc1941250493_WPSOffice_Level3Page"/>
          <w:r>
            <w:rPr>
              <w:color w:val="auto"/>
            </w:rPr>
            <w:t>43</w:t>
          </w:r>
          <w:bookmarkEnd w:id="130"/>
          <w:r>
            <w:rPr>
              <w:color w:val="auto"/>
            </w:rPr>
            <w:fldChar w:fldCharType="end"/>
          </w:r>
        </w:p>
        <w:p>
          <w:pPr>
            <w:pStyle w:val="47"/>
            <w:tabs>
              <w:tab w:val="right" w:leader="dot" w:pos="8306"/>
            </w:tabs>
            <w:rPr>
              <w:color w:val="auto"/>
            </w:rPr>
          </w:pPr>
          <w:r>
            <w:rPr>
              <w:color w:val="auto"/>
            </w:rPr>
            <w:fldChar w:fldCharType="begin"/>
          </w:r>
          <w:r>
            <w:rPr>
              <w:color w:val="auto"/>
            </w:rPr>
            <w:instrText xml:space="preserve"> HYPERLINK \l _Toc1882596952_WPSOffice_Level2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63f15de5-b6cc-4979-849e-3ba1e0a57d0f}"/>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 xml:space="preserve">第四节 </w:t>
              </w:r>
              <w:r>
                <w:rPr>
                  <w:rFonts w:hint="eastAsia" w:ascii="Times New Roman" w:hAnsi="Times New Roman" w:eastAsia="黑体" w:cstheme="minorBidi"/>
                  <w:color w:val="auto"/>
                </w:rPr>
                <w:t>激活中医药传承创新动力</w:t>
              </w:r>
            </w:sdtContent>
          </w:sdt>
          <w:r>
            <w:rPr>
              <w:color w:val="auto"/>
            </w:rPr>
            <w:tab/>
          </w:r>
          <w:bookmarkStart w:id="131" w:name="_Toc1882596952_WPSOffice_Level2Page"/>
          <w:r>
            <w:rPr>
              <w:color w:val="auto"/>
            </w:rPr>
            <w:t>45</w:t>
          </w:r>
          <w:bookmarkEnd w:id="131"/>
          <w:r>
            <w:rPr>
              <w:color w:val="auto"/>
            </w:rPr>
            <w:fldChar w:fldCharType="end"/>
          </w:r>
        </w:p>
        <w:p>
          <w:pPr>
            <w:pStyle w:val="48"/>
            <w:tabs>
              <w:tab w:val="right" w:leader="dot" w:pos="8306"/>
            </w:tabs>
            <w:rPr>
              <w:color w:val="auto"/>
            </w:rPr>
          </w:pPr>
          <w:r>
            <w:rPr>
              <w:color w:val="auto"/>
            </w:rPr>
            <w:fldChar w:fldCharType="begin"/>
          </w:r>
          <w:r>
            <w:rPr>
              <w:color w:val="auto"/>
            </w:rPr>
            <w:instrText xml:space="preserve"> HYPERLINK \l _Toc1005883933_WPSOffice_Level3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bb40b8b1-7c93-43a8-9a8f-d18d69979b8d}"/>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Times New Roman" w:hAnsi="Times New Roman" w:eastAsia="黑体" w:cstheme="minorBidi"/>
                  <w:color w:val="auto"/>
                </w:rPr>
                <w:t>一、健全中医药服务体系</w:t>
              </w:r>
            </w:sdtContent>
          </w:sdt>
          <w:r>
            <w:rPr>
              <w:color w:val="auto"/>
            </w:rPr>
            <w:tab/>
          </w:r>
          <w:bookmarkStart w:id="132" w:name="_Toc1005883933_WPSOffice_Level3Page"/>
          <w:r>
            <w:rPr>
              <w:color w:val="auto"/>
            </w:rPr>
            <w:t>45</w:t>
          </w:r>
          <w:bookmarkEnd w:id="132"/>
          <w:r>
            <w:rPr>
              <w:color w:val="auto"/>
            </w:rPr>
            <w:fldChar w:fldCharType="end"/>
          </w:r>
        </w:p>
        <w:p>
          <w:pPr>
            <w:pStyle w:val="48"/>
            <w:tabs>
              <w:tab w:val="right" w:leader="dot" w:pos="8306"/>
            </w:tabs>
            <w:rPr>
              <w:color w:val="auto"/>
            </w:rPr>
          </w:pPr>
          <w:r>
            <w:rPr>
              <w:color w:val="auto"/>
            </w:rPr>
            <w:fldChar w:fldCharType="begin"/>
          </w:r>
          <w:r>
            <w:rPr>
              <w:color w:val="auto"/>
            </w:rPr>
            <w:instrText xml:space="preserve"> HYPERLINK \l _Toc585692412_WPSOffice_Level3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e9770397-a0b4-41bf-b8a6-ea936c245e09}"/>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二、促进中医药传承创新发展</w:t>
              </w:r>
            </w:sdtContent>
          </w:sdt>
          <w:r>
            <w:rPr>
              <w:color w:val="auto"/>
            </w:rPr>
            <w:tab/>
          </w:r>
          <w:bookmarkStart w:id="133" w:name="_Toc585692412_WPSOffice_Level3Page"/>
          <w:r>
            <w:rPr>
              <w:color w:val="auto"/>
            </w:rPr>
            <w:t>47</w:t>
          </w:r>
          <w:bookmarkEnd w:id="133"/>
          <w:r>
            <w:rPr>
              <w:color w:val="auto"/>
            </w:rPr>
            <w:fldChar w:fldCharType="end"/>
          </w:r>
        </w:p>
        <w:p>
          <w:pPr>
            <w:pStyle w:val="48"/>
            <w:tabs>
              <w:tab w:val="right" w:leader="dot" w:pos="8306"/>
            </w:tabs>
            <w:rPr>
              <w:color w:val="auto"/>
            </w:rPr>
          </w:pPr>
          <w:r>
            <w:rPr>
              <w:color w:val="auto"/>
            </w:rPr>
            <w:fldChar w:fldCharType="begin"/>
          </w:r>
          <w:r>
            <w:rPr>
              <w:color w:val="auto"/>
            </w:rPr>
            <w:instrText xml:space="preserve"> HYPERLINK \l _Toc1301836389_WPSOffice_Level3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e008c4fc-3a7c-41b4-9e57-37fd858c89e6}"/>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三、打造光明国际中医药港</w:t>
              </w:r>
            </w:sdtContent>
          </w:sdt>
          <w:r>
            <w:rPr>
              <w:color w:val="auto"/>
            </w:rPr>
            <w:tab/>
          </w:r>
          <w:bookmarkStart w:id="134" w:name="_Toc1301836389_WPSOffice_Level3Page"/>
          <w:r>
            <w:rPr>
              <w:color w:val="auto"/>
            </w:rPr>
            <w:t>49</w:t>
          </w:r>
          <w:bookmarkEnd w:id="134"/>
          <w:r>
            <w:rPr>
              <w:color w:val="auto"/>
            </w:rPr>
            <w:fldChar w:fldCharType="end"/>
          </w:r>
        </w:p>
        <w:p>
          <w:pPr>
            <w:pStyle w:val="46"/>
            <w:tabs>
              <w:tab w:val="right" w:leader="dot" w:pos="8306"/>
            </w:tabs>
            <w:rPr>
              <w:color w:val="auto"/>
            </w:rPr>
          </w:pPr>
          <w:r>
            <w:rPr>
              <w:color w:val="auto"/>
            </w:rPr>
            <w:fldChar w:fldCharType="begin"/>
          </w:r>
          <w:r>
            <w:rPr>
              <w:color w:val="auto"/>
            </w:rPr>
            <w:instrText xml:space="preserve"> HYPERLINK \l _Toc472447777_WPSOffice_Level1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7968767a-fb78-49c5-a50b-7984dcde4ef8}"/>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Times New Roman" w:hAnsi="Times New Roman" w:eastAsia="黑体" w:cs="Times New Roman"/>
                  <w:color w:val="auto"/>
                </w:rPr>
                <w:t>第四章 保障措施</w:t>
              </w:r>
            </w:sdtContent>
          </w:sdt>
          <w:r>
            <w:rPr>
              <w:color w:val="auto"/>
            </w:rPr>
            <w:tab/>
          </w:r>
          <w:bookmarkStart w:id="135" w:name="_Toc472447777_WPSOffice_Level1Page"/>
          <w:r>
            <w:rPr>
              <w:color w:val="auto"/>
            </w:rPr>
            <w:t>53</w:t>
          </w:r>
          <w:bookmarkEnd w:id="135"/>
          <w:r>
            <w:rPr>
              <w:color w:val="auto"/>
            </w:rPr>
            <w:fldChar w:fldCharType="end"/>
          </w:r>
        </w:p>
        <w:p>
          <w:pPr>
            <w:pStyle w:val="47"/>
            <w:tabs>
              <w:tab w:val="right" w:leader="dot" w:pos="8306"/>
            </w:tabs>
            <w:rPr>
              <w:color w:val="auto"/>
            </w:rPr>
          </w:pPr>
          <w:r>
            <w:rPr>
              <w:color w:val="auto"/>
            </w:rPr>
            <w:fldChar w:fldCharType="begin"/>
          </w:r>
          <w:r>
            <w:rPr>
              <w:color w:val="auto"/>
            </w:rPr>
            <w:instrText xml:space="preserve"> HYPERLINK \l _Toc108953475_WPSOffice_Level2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5e35d557-9bcb-44ab-921a-efdb5e81d383}"/>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第一节 加强规划引领</w:t>
              </w:r>
            </w:sdtContent>
          </w:sdt>
          <w:r>
            <w:rPr>
              <w:color w:val="auto"/>
            </w:rPr>
            <w:tab/>
          </w:r>
          <w:bookmarkStart w:id="136" w:name="_Toc108953475_WPSOffice_Level2Page"/>
          <w:r>
            <w:rPr>
              <w:color w:val="auto"/>
            </w:rPr>
            <w:t>53</w:t>
          </w:r>
          <w:bookmarkEnd w:id="136"/>
          <w:r>
            <w:rPr>
              <w:color w:val="auto"/>
            </w:rPr>
            <w:fldChar w:fldCharType="end"/>
          </w:r>
        </w:p>
        <w:p>
          <w:pPr>
            <w:pStyle w:val="47"/>
            <w:tabs>
              <w:tab w:val="right" w:leader="dot" w:pos="8306"/>
            </w:tabs>
            <w:rPr>
              <w:color w:val="auto"/>
            </w:rPr>
          </w:pPr>
          <w:r>
            <w:rPr>
              <w:color w:val="auto"/>
            </w:rPr>
            <w:fldChar w:fldCharType="begin"/>
          </w:r>
          <w:r>
            <w:rPr>
              <w:color w:val="auto"/>
            </w:rPr>
            <w:instrText xml:space="preserve"> HYPERLINK \l _Toc1155047831_WPSOffice_Level2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58501cb4-3ee3-4668-a76f-4b2b9524cf21}"/>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第二节 完善投入机制</w:t>
              </w:r>
            </w:sdtContent>
          </w:sdt>
          <w:r>
            <w:rPr>
              <w:color w:val="auto"/>
            </w:rPr>
            <w:tab/>
          </w:r>
          <w:bookmarkStart w:id="137" w:name="_Toc1155047831_WPSOffice_Level2Page"/>
          <w:r>
            <w:rPr>
              <w:color w:val="auto"/>
            </w:rPr>
            <w:t>53</w:t>
          </w:r>
          <w:bookmarkEnd w:id="137"/>
          <w:r>
            <w:rPr>
              <w:color w:val="auto"/>
            </w:rPr>
            <w:fldChar w:fldCharType="end"/>
          </w:r>
        </w:p>
        <w:p>
          <w:pPr>
            <w:pStyle w:val="47"/>
            <w:tabs>
              <w:tab w:val="right" w:leader="dot" w:pos="8306"/>
            </w:tabs>
            <w:rPr>
              <w:color w:val="auto"/>
            </w:rPr>
          </w:pPr>
          <w:r>
            <w:rPr>
              <w:color w:val="auto"/>
            </w:rPr>
            <w:fldChar w:fldCharType="begin"/>
          </w:r>
          <w:r>
            <w:rPr>
              <w:color w:val="auto"/>
            </w:rPr>
            <w:instrText xml:space="preserve"> HYPERLINK \l _Toc538915420_WPSOffice_Level2 </w:instrText>
          </w:r>
          <w:r>
            <w:rPr>
              <w:color w:val="auto"/>
            </w:rPr>
            <w:fldChar w:fldCharType="separate"/>
          </w:r>
          <w:sdt>
            <w:sdtPr>
              <w:rPr>
                <w:rFonts w:eastAsia="楷体_GB2312" w:asciiTheme="majorAscii" w:hAnsiTheme="majorAscii" w:cstheme="majorBidi"/>
                <w:b/>
                <w:bCs/>
                <w:color w:val="auto"/>
                <w:kern w:val="2"/>
                <w:sz w:val="32"/>
                <w:szCs w:val="32"/>
                <w:lang w:val="en-US" w:eastAsia="zh-CN" w:bidi="ar-SA"/>
              </w:rPr>
              <w:id w:val="726599316"/>
              <w:placeholder>
                <w:docPart w:val="{3f74c9a5-fd82-41c7-a03a-0ab5e122ac50}"/>
              </w:placeholder>
            </w:sdtPr>
            <w:sdtEndPr>
              <w:rPr>
                <w:rFonts w:eastAsia="楷体_GB2312" w:asciiTheme="majorAscii" w:hAnsiTheme="majorAscii" w:cstheme="majorBidi"/>
                <w:b/>
                <w:bCs/>
                <w:color w:val="auto"/>
                <w:kern w:val="2"/>
                <w:sz w:val="32"/>
                <w:szCs w:val="32"/>
                <w:lang w:val="en-US" w:eastAsia="zh-CN" w:bidi="ar-SA"/>
              </w:rPr>
            </w:sdtEndPr>
            <w:sdtContent>
              <w:r>
                <w:rPr>
                  <w:rFonts w:hint="eastAsia" w:ascii="黑体" w:hAnsi="黑体" w:eastAsia="黑体" w:cs="黑体"/>
                  <w:color w:val="auto"/>
                </w:rPr>
                <w:t>第三节 强化监测评估</w:t>
              </w:r>
            </w:sdtContent>
          </w:sdt>
          <w:r>
            <w:rPr>
              <w:color w:val="auto"/>
            </w:rPr>
            <w:tab/>
          </w:r>
          <w:bookmarkStart w:id="138" w:name="_Toc538915420_WPSOffice_Level2Page"/>
          <w:r>
            <w:rPr>
              <w:color w:val="auto"/>
            </w:rPr>
            <w:t>53</w:t>
          </w:r>
          <w:bookmarkEnd w:id="138"/>
          <w:r>
            <w:rPr>
              <w:color w:val="auto"/>
            </w:rPr>
            <w:fldChar w:fldCharType="end"/>
          </w:r>
          <w:bookmarkEnd w:id="12"/>
        </w:p>
      </w:sdtContent>
    </w:sdt>
    <w:p>
      <w:pPr>
        <w:pStyle w:val="6"/>
        <w:keepNext w:val="0"/>
        <w:keepLines w:val="0"/>
        <w:pageBreakBefore w:val="0"/>
        <w:widowControl/>
        <w:kinsoku/>
        <w:wordWrap/>
        <w:overflowPunct/>
        <w:topLinePunct w:val="0"/>
        <w:autoSpaceDN/>
        <w:bidi w:val="0"/>
        <w:spacing w:before="0" w:after="0" w:line="560" w:lineRule="exact"/>
        <w:jc w:val="center"/>
        <w:textAlignment w:val="auto"/>
        <w:outlineLvl w:val="1"/>
        <w:rPr>
          <w:rFonts w:hint="eastAsia" w:ascii="Times New Roman" w:hAnsi="Times New Roman" w:eastAsia="黑体" w:cstheme="minorBidi"/>
          <w:b w:val="0"/>
          <w:color w:val="auto"/>
          <w:sz w:val="36"/>
          <w:szCs w:val="36"/>
          <w:lang w:val="en-US" w:eastAsia="zh-CN"/>
        </w:rPr>
        <w:sectPr>
          <w:pgSz w:w="11906" w:h="16838"/>
          <w:pgMar w:top="1440" w:right="1800" w:bottom="1440" w:left="1800" w:header="851" w:footer="992" w:gutter="0"/>
          <w:pgNumType w:fmt="decimal" w:start="1"/>
          <w:cols w:space="425" w:num="1"/>
          <w:docGrid w:type="lines" w:linePitch="312" w:charSpace="0"/>
        </w:sectPr>
      </w:pPr>
    </w:p>
    <w:p>
      <w:pPr>
        <w:pStyle w:val="6"/>
        <w:keepNext w:val="0"/>
        <w:keepLines w:val="0"/>
        <w:pageBreakBefore w:val="0"/>
        <w:widowControl/>
        <w:kinsoku/>
        <w:wordWrap/>
        <w:overflowPunct/>
        <w:topLinePunct w:val="0"/>
        <w:autoSpaceDN/>
        <w:bidi w:val="0"/>
        <w:spacing w:before="0" w:after="0" w:line="560" w:lineRule="exact"/>
        <w:jc w:val="center"/>
        <w:textAlignment w:val="auto"/>
        <w:outlineLvl w:val="1"/>
        <w:rPr>
          <w:rFonts w:hint="eastAsia" w:ascii="Times New Roman" w:hAnsi="Times New Roman" w:eastAsia="黑体" w:cstheme="minorBidi"/>
          <w:b w:val="0"/>
          <w:color w:val="auto"/>
          <w:sz w:val="36"/>
          <w:szCs w:val="36"/>
          <w:lang w:val="en-US" w:eastAsia="zh-CN"/>
        </w:rPr>
      </w:pPr>
      <w:bookmarkStart w:id="139" w:name="_Toc1698424474_WPSOffice_Level1"/>
      <w:r>
        <w:rPr>
          <w:rFonts w:hint="eastAsia" w:ascii="Times New Roman" w:hAnsi="Times New Roman" w:eastAsia="黑体" w:cstheme="minorBidi"/>
          <w:b w:val="0"/>
          <w:color w:val="auto"/>
          <w:sz w:val="36"/>
          <w:szCs w:val="36"/>
          <w:lang w:val="en-US" w:eastAsia="zh-CN"/>
        </w:rPr>
        <w:t>第一章 发展基础和面临形势</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139"/>
    </w:p>
    <w:p>
      <w:pPr>
        <w:pStyle w:val="6"/>
        <w:keepNext w:val="0"/>
        <w:keepLines w:val="0"/>
        <w:pageBreakBefore w:val="0"/>
        <w:kinsoku/>
        <w:wordWrap/>
        <w:overflowPunct/>
        <w:topLinePunct w:val="0"/>
        <w:autoSpaceDN/>
        <w:bidi w:val="0"/>
        <w:snapToGrid w:val="0"/>
        <w:spacing w:before="0" w:after="0" w:line="560" w:lineRule="exact"/>
        <w:ind w:firstLine="108" w:firstLineChars="34"/>
        <w:jc w:val="center"/>
        <w:textAlignment w:val="auto"/>
        <w:outlineLvl w:val="1"/>
        <w:rPr>
          <w:rFonts w:hint="eastAsia" w:ascii="仿宋_GB2312" w:hAnsi="仿宋_GB2312" w:eastAsia="仿宋_GB2312" w:cs="仿宋_GB2312"/>
          <w:b w:val="0"/>
          <w:bCs w:val="0"/>
          <w:color w:val="auto"/>
          <w:kern w:val="2"/>
          <w:sz w:val="32"/>
          <w:szCs w:val="32"/>
          <w:shd w:val="clear" w:color="auto" w:fill="FFFFFF"/>
          <w:lang w:val="en-US" w:eastAsia="zh-CN" w:bidi="ar-SA"/>
        </w:rPr>
      </w:pPr>
      <w:bookmarkStart w:id="140" w:name="_Toc21259"/>
      <w:bookmarkStart w:id="141" w:name="_Toc12083"/>
      <w:bookmarkStart w:id="142" w:name="_Toc23050"/>
      <w:bookmarkStart w:id="143" w:name="_Toc1267"/>
      <w:bookmarkStart w:id="144" w:name="_Toc21893"/>
      <w:bookmarkStart w:id="145" w:name="_Toc26809"/>
      <w:bookmarkStart w:id="146" w:name="_Toc22947"/>
      <w:bookmarkStart w:id="147" w:name="_Toc19015"/>
      <w:bookmarkStart w:id="148" w:name="_Toc28741"/>
      <w:bookmarkStart w:id="149" w:name="_Toc18850"/>
      <w:bookmarkStart w:id="150" w:name="_Toc30707"/>
      <w:bookmarkStart w:id="151" w:name="_Toc29946"/>
      <w:bookmarkStart w:id="152" w:name="_Toc18160"/>
      <w:bookmarkStart w:id="153" w:name="_Toc9238"/>
      <w:bookmarkStart w:id="154" w:name="_Toc14864"/>
      <w:bookmarkStart w:id="155" w:name="_Toc19678"/>
      <w:bookmarkStart w:id="156" w:name="_Toc11565"/>
      <w:bookmarkStart w:id="157" w:name="_Toc1248"/>
      <w:bookmarkStart w:id="158" w:name="_Toc777"/>
      <w:bookmarkStart w:id="159" w:name="_Toc12252"/>
      <w:bookmarkStart w:id="160" w:name="_Toc7521"/>
      <w:bookmarkStart w:id="161" w:name="_Toc31405"/>
      <w:bookmarkStart w:id="162" w:name="_Toc27560"/>
      <w:bookmarkStart w:id="163" w:name="_Toc32535"/>
      <w:bookmarkStart w:id="164" w:name="_Toc22051"/>
      <w:bookmarkStart w:id="165" w:name="_Toc15414"/>
      <w:bookmarkStart w:id="166" w:name="_Toc1174"/>
      <w:bookmarkStart w:id="167" w:name="_Toc16367"/>
      <w:bookmarkStart w:id="168" w:name="_Toc22098"/>
      <w:bookmarkStart w:id="169" w:name="_Toc24611"/>
      <w:bookmarkStart w:id="170" w:name="_Toc13203"/>
      <w:bookmarkStart w:id="171" w:name="_Toc23495"/>
      <w:bookmarkStart w:id="172" w:name="_Toc8495"/>
      <w:bookmarkStart w:id="173" w:name="_Toc17640"/>
      <w:bookmarkStart w:id="174" w:name="_Toc2815"/>
      <w:bookmarkStart w:id="175" w:name="_Toc13887"/>
      <w:bookmarkStart w:id="176" w:name="_Toc1033"/>
      <w:bookmarkStart w:id="177" w:name="_Toc7987"/>
      <w:bookmarkStart w:id="178" w:name="_Toc3245"/>
      <w:bookmarkStart w:id="179" w:name="_Toc4986"/>
      <w:bookmarkStart w:id="180" w:name="_Toc22463"/>
      <w:bookmarkStart w:id="181" w:name="_Toc3985"/>
      <w:bookmarkStart w:id="182" w:name="_Toc9159"/>
      <w:bookmarkStart w:id="183" w:name="_Toc19486"/>
      <w:bookmarkStart w:id="184" w:name="_Toc9732"/>
      <w:bookmarkStart w:id="185" w:name="_Toc23130"/>
      <w:bookmarkStart w:id="186" w:name="_Toc10953"/>
      <w:bookmarkStart w:id="187" w:name="_Toc14606"/>
      <w:bookmarkStart w:id="188" w:name="_Toc12947"/>
      <w:bookmarkStart w:id="189" w:name="_Toc3196"/>
      <w:bookmarkStart w:id="190" w:name="_Toc9869"/>
      <w:bookmarkStart w:id="191" w:name="_Toc189"/>
      <w:bookmarkStart w:id="192" w:name="_Toc27662"/>
      <w:bookmarkStart w:id="193" w:name="_Toc1445"/>
      <w:bookmarkStart w:id="194" w:name="_Toc25436"/>
      <w:bookmarkStart w:id="195" w:name="_Toc21552"/>
      <w:bookmarkStart w:id="196" w:name="_Toc129"/>
      <w:bookmarkStart w:id="197" w:name="_Toc17464"/>
      <w:bookmarkStart w:id="198" w:name="_Toc18878"/>
      <w:bookmarkStart w:id="199" w:name="_Toc23871"/>
      <w:bookmarkStart w:id="200" w:name="_Toc11403"/>
      <w:bookmarkStart w:id="201" w:name="_Toc25010"/>
      <w:bookmarkStart w:id="202" w:name="_Toc30259"/>
      <w:bookmarkStart w:id="203" w:name="_Toc20596"/>
      <w:bookmarkStart w:id="204" w:name="_Toc3950"/>
      <w:bookmarkStart w:id="205" w:name="_Toc9366"/>
      <w:bookmarkStart w:id="206" w:name="_Toc14792"/>
      <w:bookmarkStart w:id="207" w:name="_Toc7810"/>
      <w:bookmarkStart w:id="208" w:name="_Toc32548"/>
      <w:bookmarkStart w:id="209" w:name="_Toc14809"/>
      <w:bookmarkStart w:id="210" w:name="_Toc10594"/>
      <w:bookmarkStart w:id="211" w:name="_Toc28757"/>
      <w:bookmarkStart w:id="212" w:name="_Toc8236"/>
      <w:bookmarkStart w:id="213" w:name="_Toc8871"/>
      <w:bookmarkStart w:id="214" w:name="_Toc10973"/>
      <w:bookmarkStart w:id="215" w:name="_Toc28717"/>
      <w:bookmarkStart w:id="216" w:name="_Toc8827"/>
      <w:bookmarkStart w:id="217" w:name="_Toc31959"/>
      <w:bookmarkStart w:id="218" w:name="_Toc2286"/>
      <w:bookmarkStart w:id="219" w:name="_Toc1038"/>
      <w:bookmarkStart w:id="220" w:name="_Toc17400"/>
    </w:p>
    <w:p>
      <w:pPr>
        <w:pStyle w:val="6"/>
        <w:keepNext w:val="0"/>
        <w:keepLines w:val="0"/>
        <w:pageBreakBefore w:val="0"/>
        <w:kinsoku/>
        <w:wordWrap/>
        <w:overflowPunct/>
        <w:topLinePunct w:val="0"/>
        <w:autoSpaceDN/>
        <w:bidi w:val="0"/>
        <w:snapToGrid w:val="0"/>
        <w:spacing w:before="0" w:after="0" w:line="560" w:lineRule="exact"/>
        <w:ind w:firstLine="108" w:firstLineChars="34"/>
        <w:jc w:val="center"/>
        <w:textAlignment w:val="auto"/>
        <w:outlineLvl w:val="1"/>
        <w:rPr>
          <w:rFonts w:hint="eastAsia" w:ascii="黑体" w:hAnsi="黑体" w:eastAsia="黑体" w:cs="黑体"/>
          <w:b w:val="0"/>
          <w:bCs/>
          <w:color w:val="auto"/>
          <w:lang w:val="en-US" w:eastAsia="zh-CN"/>
        </w:rPr>
      </w:pPr>
      <w:bookmarkStart w:id="221" w:name="_Toc30442"/>
      <w:bookmarkStart w:id="222" w:name="_Toc2145365265_WPSOffice_Level2"/>
      <w:r>
        <w:rPr>
          <w:rFonts w:hint="eastAsia" w:ascii="黑体" w:hAnsi="黑体" w:eastAsia="黑体" w:cs="黑体"/>
          <w:b w:val="0"/>
          <w:bCs/>
          <w:color w:val="auto"/>
          <w:sz w:val="32"/>
          <w:szCs w:val="32"/>
          <w:lang w:val="en-US" w:eastAsia="zh-CN"/>
        </w:rPr>
        <w:t>第一节 发展基础</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pStyle w:val="34"/>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仿宋" w:eastAsia="仿宋_GB2312" w:cs="仿宋_GB2312"/>
          <w:bCs/>
          <w:color w:val="auto"/>
          <w:sz w:val="32"/>
          <w:szCs w:val="32"/>
        </w:rPr>
      </w:pPr>
      <w:bookmarkStart w:id="223" w:name="_Toc9703"/>
      <w:r>
        <w:rPr>
          <w:rFonts w:hint="eastAsia" w:ascii="仿宋_GB2312" w:hAnsi="仿宋_GB2312" w:eastAsia="仿宋_GB2312" w:cs="仿宋_GB2312"/>
          <w:b w:val="0"/>
          <w:bCs w:val="0"/>
          <w:color w:val="auto"/>
          <w:kern w:val="2"/>
          <w:sz w:val="32"/>
          <w:szCs w:val="32"/>
          <w:shd w:val="clear" w:color="auto" w:fill="FFFFFF"/>
          <w:lang w:val="en-US" w:eastAsia="zh-CN" w:bidi="ar-SA"/>
        </w:rPr>
        <w:t>“十三五”以来，光明区卫生健康部门根据深圳市委市</w:t>
      </w:r>
      <w:r>
        <w:rPr>
          <w:rFonts w:hint="eastAsia" w:ascii="仿宋_GB2312" w:hAnsi="仿宋_GB2312" w:eastAsia="仿宋_GB2312" w:cs="仿宋_GB2312"/>
          <w:color w:val="auto"/>
          <w:sz w:val="32"/>
          <w:szCs w:val="32"/>
          <w:shd w:val="clear" w:color="auto" w:fill="FFFFFF"/>
        </w:rPr>
        <w:t>政府及光明区委区政府的部署，按照深圳市卫生健康委的指导，紧紧围绕“补短板、强基层、建高地、促健康”发展目标，大力推进卫生健康事业建设和医疗卫生资源供给侧</w:t>
      </w:r>
      <w:r>
        <w:rPr>
          <w:rFonts w:hint="eastAsia" w:ascii="仿宋_GB2312" w:hAnsi="仿宋_GB2312" w:eastAsia="仿宋_GB2312" w:cs="仿宋_GB2312"/>
          <w:color w:val="auto"/>
          <w:sz w:val="32"/>
          <w:szCs w:val="32"/>
          <w:shd w:val="clear" w:color="auto" w:fill="FFFFFF"/>
          <w:lang w:eastAsia="zh-CN"/>
        </w:rPr>
        <w:t>结构性</w:t>
      </w:r>
      <w:r>
        <w:rPr>
          <w:rFonts w:hint="eastAsia" w:ascii="仿宋_GB2312" w:hAnsi="仿宋_GB2312" w:eastAsia="仿宋_GB2312" w:cs="仿宋_GB2312"/>
          <w:color w:val="auto"/>
          <w:sz w:val="32"/>
          <w:szCs w:val="32"/>
          <w:shd w:val="clear" w:color="auto" w:fill="FFFFFF"/>
        </w:rPr>
        <w:t>改革，光明区卫生健康事业得到了良好发展，为建设世界一流光明科学城和深圳北部中心提供良好健康保障基础。</w:t>
      </w:r>
      <w:bookmarkEnd w:id="223"/>
    </w:p>
    <w:p>
      <w:pPr>
        <w:pStyle w:val="7"/>
        <w:keepNext w:val="0"/>
        <w:keepLines w:val="0"/>
        <w:pageBreakBefore w:val="0"/>
        <w:numPr>
          <w:ilvl w:val="0"/>
          <w:numId w:val="1"/>
        </w:numPr>
        <w:shd w:val="clear"/>
        <w:kinsoku/>
        <w:wordWrap/>
        <w:overflowPunct/>
        <w:topLinePunct w:val="0"/>
        <w:autoSpaceDN/>
        <w:bidi w:val="0"/>
        <w:spacing w:before="0" w:after="0" w:line="560" w:lineRule="exact"/>
        <w:ind w:firstLine="640" w:firstLineChars="200"/>
        <w:textAlignment w:val="auto"/>
        <w:rPr>
          <w:rFonts w:hint="eastAsia" w:ascii="黑体" w:hAnsi="黑体" w:eastAsia="黑体" w:cs="黑体"/>
          <w:b w:val="0"/>
          <w:bCs w:val="0"/>
          <w:snapToGrid w:val="0"/>
          <w:color w:val="auto"/>
          <w:kern w:val="0"/>
          <w:sz w:val="32"/>
          <w:szCs w:val="32"/>
          <w:lang w:val="en-US" w:eastAsia="zh-CN" w:bidi="ar-SA"/>
        </w:rPr>
      </w:pPr>
      <w:bookmarkStart w:id="224" w:name="_Toc13950"/>
      <w:bookmarkStart w:id="225" w:name="_Toc24465"/>
      <w:bookmarkStart w:id="226" w:name="_Toc29864"/>
      <w:bookmarkStart w:id="227" w:name="_Toc32094"/>
      <w:bookmarkStart w:id="228" w:name="_Toc32538"/>
      <w:bookmarkStart w:id="229" w:name="_Toc18916"/>
      <w:bookmarkStart w:id="230" w:name="_Toc11138"/>
      <w:bookmarkStart w:id="231" w:name="_Toc31269"/>
      <w:bookmarkStart w:id="232" w:name="_Toc26105"/>
      <w:bookmarkStart w:id="233" w:name="_Toc31730"/>
      <w:bookmarkStart w:id="234" w:name="_Toc25684"/>
      <w:bookmarkStart w:id="235" w:name="_Toc27431"/>
      <w:bookmarkStart w:id="236" w:name="_Toc26034"/>
      <w:bookmarkStart w:id="237" w:name="_Toc11153"/>
      <w:bookmarkStart w:id="238" w:name="_Toc5213"/>
      <w:bookmarkStart w:id="239" w:name="_Toc9895"/>
      <w:bookmarkStart w:id="240" w:name="_Toc29533"/>
      <w:bookmarkStart w:id="241" w:name="_Toc20163"/>
      <w:bookmarkStart w:id="242" w:name="_Toc13441"/>
      <w:bookmarkStart w:id="243" w:name="_Toc32727"/>
      <w:bookmarkStart w:id="244" w:name="_Toc2037"/>
      <w:bookmarkStart w:id="245" w:name="_Toc13037"/>
      <w:bookmarkStart w:id="246" w:name="_Toc17647"/>
      <w:bookmarkStart w:id="247" w:name="_Toc21046"/>
      <w:bookmarkStart w:id="248" w:name="_Toc19332"/>
      <w:bookmarkStart w:id="249" w:name="_Toc19754"/>
      <w:bookmarkStart w:id="250" w:name="_Toc21232_WPSOffice_Level3"/>
      <w:bookmarkStart w:id="251" w:name="_Toc31686"/>
      <w:bookmarkStart w:id="252" w:name="_Toc29868_WPSOffice_Level3"/>
      <w:bookmarkStart w:id="253" w:name="_Toc2145365265_WPSOffice_Level3"/>
      <w:bookmarkStart w:id="254" w:name="_Toc27778"/>
      <w:bookmarkStart w:id="255" w:name="_Toc8588"/>
      <w:bookmarkStart w:id="256" w:name="_Toc1849"/>
      <w:bookmarkStart w:id="257" w:name="_Toc25799"/>
      <w:bookmarkStart w:id="258" w:name="_Toc24871"/>
      <w:bookmarkStart w:id="259" w:name="_Toc2047"/>
      <w:bookmarkStart w:id="260" w:name="_Toc29947"/>
      <w:bookmarkStart w:id="261" w:name="_Toc2066"/>
      <w:bookmarkStart w:id="262" w:name="_Toc7324"/>
      <w:bookmarkStart w:id="263" w:name="_Toc17674"/>
      <w:bookmarkStart w:id="264" w:name="_Toc30942"/>
      <w:bookmarkStart w:id="265" w:name="_Toc31197"/>
      <w:bookmarkStart w:id="266" w:name="_Toc29993"/>
      <w:bookmarkStart w:id="267" w:name="_Toc13437"/>
      <w:bookmarkStart w:id="268" w:name="_Toc3953"/>
      <w:bookmarkStart w:id="269" w:name="_Toc18937"/>
      <w:bookmarkStart w:id="270" w:name="_Toc2734"/>
      <w:bookmarkStart w:id="271" w:name="_Toc32632"/>
      <w:bookmarkStart w:id="272" w:name="_Toc13965"/>
      <w:bookmarkStart w:id="273" w:name="_Toc1469"/>
      <w:bookmarkStart w:id="274" w:name="_Toc24410"/>
      <w:bookmarkStart w:id="275" w:name="_Toc5726"/>
      <w:bookmarkStart w:id="276" w:name="_Toc1497"/>
      <w:bookmarkStart w:id="277" w:name="_Toc4394"/>
      <w:bookmarkStart w:id="278" w:name="_Toc11117"/>
      <w:bookmarkStart w:id="279" w:name="_Toc21405"/>
      <w:bookmarkStart w:id="280" w:name="_Toc4030"/>
      <w:bookmarkStart w:id="281" w:name="_Toc21165"/>
      <w:bookmarkStart w:id="282" w:name="_Toc385"/>
      <w:bookmarkStart w:id="283" w:name="_Toc29151"/>
      <w:bookmarkStart w:id="284" w:name="_Toc21967"/>
      <w:bookmarkStart w:id="285" w:name="_Toc20042"/>
      <w:bookmarkStart w:id="286" w:name="_Toc1562"/>
      <w:bookmarkStart w:id="287" w:name="_Toc21985"/>
      <w:bookmarkStart w:id="288" w:name="_Toc26547"/>
      <w:bookmarkStart w:id="289" w:name="_Toc24419"/>
      <w:bookmarkStart w:id="290" w:name="_Toc23631"/>
      <w:bookmarkStart w:id="291" w:name="_Toc19447"/>
      <w:bookmarkStart w:id="292" w:name="_Toc9444"/>
      <w:bookmarkStart w:id="293" w:name="_Toc14358"/>
      <w:bookmarkStart w:id="294" w:name="_Toc6180"/>
      <w:bookmarkStart w:id="295" w:name="_Toc24709"/>
      <w:bookmarkStart w:id="296" w:name="_Toc19550"/>
      <w:bookmarkStart w:id="297" w:name="_Toc10901"/>
      <w:bookmarkStart w:id="298" w:name="_Toc15297"/>
      <w:bookmarkStart w:id="299" w:name="_Toc32561"/>
      <w:bookmarkStart w:id="300" w:name="_Toc24178"/>
      <w:bookmarkStart w:id="301" w:name="_Toc14400"/>
      <w:bookmarkStart w:id="302" w:name="_Toc17796"/>
      <w:bookmarkStart w:id="303" w:name="_Toc5818"/>
      <w:bookmarkStart w:id="304" w:name="_Toc22648"/>
      <w:bookmarkStart w:id="305" w:name="_Toc18412"/>
      <w:bookmarkStart w:id="306" w:name="_Toc29133"/>
      <w:bookmarkStart w:id="307" w:name="_Toc25473"/>
      <w:bookmarkStart w:id="308" w:name="_Toc27038"/>
      <w:r>
        <w:rPr>
          <w:rFonts w:hint="eastAsia" w:ascii="黑体" w:hAnsi="黑体" w:eastAsia="黑体" w:cs="黑体"/>
          <w:b w:val="0"/>
          <w:bCs w:val="0"/>
          <w:snapToGrid w:val="0"/>
          <w:color w:val="auto"/>
          <w:kern w:val="0"/>
          <w:sz w:val="32"/>
          <w:szCs w:val="32"/>
          <w:lang w:val="en-US" w:eastAsia="zh-CN" w:bidi="ar-SA"/>
        </w:rPr>
        <w:t>公共卫生服务不断提</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rFonts w:hint="eastAsia" w:ascii="黑体" w:hAnsi="黑体" w:eastAsia="黑体" w:cs="黑体"/>
          <w:b w:val="0"/>
          <w:bCs w:val="0"/>
          <w:snapToGrid w:val="0"/>
          <w:color w:val="auto"/>
          <w:kern w:val="0"/>
          <w:sz w:val="32"/>
          <w:szCs w:val="32"/>
          <w:lang w:val="en-US" w:eastAsia="zh-CN" w:bidi="ar-SA"/>
        </w:rPr>
        <w:t>升</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pStyle w:val="34"/>
        <w:keepNext w:val="0"/>
        <w:keepLines w:val="0"/>
        <w:pageBreakBefore w:val="0"/>
        <w:widowControl w:val="0"/>
        <w:shd w:val="clear"/>
        <w:kinsoku/>
        <w:wordWrap/>
        <w:overflowPunct/>
        <w:topLinePunct w:val="0"/>
        <w:autoSpaceDE/>
        <w:autoSpaceDN/>
        <w:bidi w:val="0"/>
        <w:adjustRightInd w:val="0"/>
        <w:snapToGrid w:val="0"/>
        <w:spacing w:line="560" w:lineRule="exact"/>
        <w:ind w:firstLine="642" w:firstLineChars="200"/>
        <w:textAlignment w:val="auto"/>
        <w:outlineLvl w:val="1"/>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经受住新冠肺炎疫情考验。</w:t>
      </w:r>
      <w:r>
        <w:rPr>
          <w:rFonts w:hint="eastAsia" w:ascii="仿宋_GB2312" w:hAnsi="仿宋_GB2312" w:eastAsia="仿宋_GB2312" w:cs="仿宋_GB2312"/>
          <w:color w:val="auto"/>
          <w:sz w:val="32"/>
          <w:szCs w:val="32"/>
          <w:shd w:val="clear" w:color="auto" w:fill="FFFFFF"/>
        </w:rPr>
        <w:t>面对突如其来的新冠肺炎疫情考验，全区卫生健康系统坚决贯彻落实上级和区委区政府决策部署，以坚决有力的防控举措及时应对了新冠肺炎疫情的暴发。迅速成立医疗救治组，集中全区医疗资源力量，发挥医联体优势，成立84个社区“三人小组”，组织3727名干部奔赴前线，全方位做好排查、隔离、救治等工作，坚决阻断疫情传播渠道。新建发热门诊3个，筛查发热患者8.8万人次，收治留观病例1089例，11例确诊病人全部治愈出院。用时17天在全市率先建成临时留观病区，第一时间征用启动集中隔离酒店，核酸检测实现“应检尽检，愿检尽检”，累计检测48.3万人次；累计隔离入境人员1.4万余人，实现全年本地零感染，隔离场所零事故。在全市率先打造企业医学指导健康服务万人团队。</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2" w:firstLineChars="200"/>
        <w:textAlignment w:val="auto"/>
        <w:outlineLvl w:val="1"/>
        <w:rPr>
          <w:rFonts w:hint="eastAsia"/>
          <w:color w:val="auto"/>
        </w:rPr>
      </w:pPr>
      <w:bookmarkStart w:id="309" w:name="_Toc19908"/>
      <w:r>
        <w:rPr>
          <w:rFonts w:hint="eastAsia" w:ascii="仿宋_GB2312" w:hAnsi="仿宋" w:eastAsia="仿宋_GB2312" w:cs="仿宋_GB2312"/>
          <w:b/>
          <w:bCs/>
          <w:color w:val="auto"/>
          <w:sz w:val="32"/>
          <w:szCs w:val="32"/>
        </w:rPr>
        <w:t>公共卫生服务能力增强。</w:t>
      </w:r>
      <w:r>
        <w:rPr>
          <w:rFonts w:hint="eastAsia" w:ascii="仿宋_GB2312" w:hAnsi="仿宋" w:eastAsia="仿宋_GB2312" w:cs="仿宋_GB2312"/>
          <w:color w:val="auto"/>
          <w:sz w:val="32"/>
          <w:szCs w:val="32"/>
        </w:rPr>
        <w:t>居民健康素养水平提升到</w:t>
      </w:r>
      <w:r>
        <w:rPr>
          <w:rFonts w:hint="eastAsia" w:ascii="仿宋_GB2312" w:hAnsi="仿宋" w:eastAsia="仿宋_GB2312" w:cs="仿宋_GB2312"/>
          <w:color w:val="auto"/>
          <w:sz w:val="32"/>
          <w:szCs w:val="32"/>
          <w:lang w:val="en-US" w:eastAsia="zh-CN"/>
        </w:rPr>
        <w:t>46.39</w:t>
      </w:r>
      <w:r>
        <w:rPr>
          <w:rFonts w:hint="eastAsia" w:ascii="仿宋_GB2312" w:hAnsi="仿宋" w:eastAsia="仿宋_GB2312" w:cs="仿宋_GB2312"/>
          <w:color w:val="auto"/>
          <w:sz w:val="32"/>
          <w:szCs w:val="32"/>
        </w:rPr>
        <w:t>%，儿童预防接种建卡建册率为100%，一类疫苗儿童免疫接种率达95%。全面启动严重精神障碍患者综合管理试点工作，严重精神障碍患者规范管理率达</w:t>
      </w:r>
      <w:r>
        <w:rPr>
          <w:rFonts w:hint="eastAsia" w:ascii="仿宋_GB2312" w:hAnsi="仿宋" w:eastAsia="仿宋_GB2312" w:cs="仿宋_GB2312"/>
          <w:color w:val="auto"/>
          <w:sz w:val="32"/>
          <w:szCs w:val="32"/>
          <w:lang w:val="en-US" w:eastAsia="zh-CN"/>
        </w:rPr>
        <w:t>93.49</w:t>
      </w:r>
      <w:r>
        <w:rPr>
          <w:rFonts w:hint="eastAsia" w:ascii="仿宋_GB2312" w:hAnsi="仿宋" w:eastAsia="仿宋_GB2312" w:cs="仿宋_GB2312"/>
          <w:color w:val="auto"/>
          <w:sz w:val="32"/>
          <w:szCs w:val="32"/>
        </w:rPr>
        <w:t>%。逐步打造光明特色“1+6+31+N”心理服务模式</w:t>
      </w:r>
      <w:r>
        <w:rPr>
          <w:rFonts w:hint="eastAsia" w:ascii="仿宋_GB2312" w:hAnsi="仿宋" w:eastAsia="仿宋_GB2312" w:cs="仿宋_GB2312"/>
          <w:color w:val="auto"/>
          <w:sz w:val="32"/>
          <w:szCs w:val="32"/>
          <w:lang w:val="en-US" w:eastAsia="zh-CN"/>
        </w:rPr>
        <w:t>,</w:t>
      </w:r>
      <w:r>
        <w:rPr>
          <w:rFonts w:hint="eastAsia" w:ascii="仿宋_GB2312" w:hAnsi="仿宋" w:eastAsia="仿宋_GB2312" w:cs="仿宋_GB2312"/>
          <w:color w:val="auto"/>
          <w:sz w:val="32"/>
          <w:szCs w:val="32"/>
        </w:rPr>
        <w:t>社会心理服务体系取得实效。依托光明区重大疾病工作联席会议制度，完善重大传染病联防联控工作机制，有效控制新冠肺炎、埃博拉、登革热等</w:t>
      </w:r>
      <w:r>
        <w:rPr>
          <w:rFonts w:hint="eastAsia" w:ascii="仿宋_GB2312" w:hAnsi="仿宋" w:eastAsia="仿宋_GB2312" w:cs="仿宋_GB2312"/>
          <w:color w:val="auto"/>
          <w:sz w:val="32"/>
          <w:szCs w:val="32"/>
          <w:highlight w:val="none"/>
        </w:rPr>
        <w:t>重大传染病疫情的传播。</w:t>
      </w:r>
      <w:bookmarkEnd w:id="309"/>
      <w:r>
        <w:rPr>
          <w:rFonts w:hint="eastAsia" w:ascii="仿宋_GB2312" w:hAnsi="仿宋" w:eastAsia="仿宋_GB2312" w:cs="仿宋_GB2312"/>
          <w:color w:val="auto"/>
          <w:sz w:val="32"/>
          <w:szCs w:val="32"/>
          <w:lang w:val="en-US" w:eastAsia="zh-CN"/>
        </w:rPr>
        <w:t>职业健康检查人数逐年增加，在岗体检人数从2016年</w:t>
      </w:r>
      <w:r>
        <w:rPr>
          <w:rFonts w:hint="eastAsia" w:ascii="仿宋_GB2312" w:hAnsi="仿宋" w:eastAsia="仿宋_GB2312" w:cs="仿宋_GB2312"/>
          <w:color w:val="auto"/>
          <w:sz w:val="32"/>
          <w:szCs w:val="32"/>
        </w:rPr>
        <w:t>27852</w:t>
      </w:r>
      <w:r>
        <w:rPr>
          <w:rFonts w:hint="eastAsia" w:ascii="仿宋_GB2312" w:hAnsi="仿宋" w:eastAsia="仿宋_GB2312" w:cs="仿宋_GB2312"/>
          <w:color w:val="auto"/>
          <w:sz w:val="32"/>
          <w:szCs w:val="32"/>
          <w:lang w:val="en-US" w:eastAsia="zh-CN"/>
        </w:rPr>
        <w:t>人上升到2020年41627人。</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right="0" w:firstLine="642" w:firstLineChars="200"/>
        <w:jc w:val="both"/>
        <w:textAlignment w:val="auto"/>
        <w:rPr>
          <w:rFonts w:hint="eastAsia" w:ascii="仿宋_GB2312" w:hAnsi="仿宋_GB2312" w:eastAsia="仿宋_GB2312" w:cs="仿宋_GB2312"/>
          <w:color w:val="auto"/>
          <w:sz w:val="32"/>
          <w:szCs w:val="32"/>
          <w:shd w:val="clear" w:color="auto" w:fill="FFFFFF"/>
        </w:rPr>
      </w:pPr>
      <w:bookmarkStart w:id="310" w:name="_Toc19867"/>
      <w:r>
        <w:rPr>
          <w:rFonts w:hint="eastAsia" w:ascii="仿宋_GB2312" w:hAnsi="仿宋" w:eastAsia="仿宋_GB2312" w:cs="仿宋_GB2312"/>
          <w:b/>
          <w:bCs/>
          <w:color w:val="auto"/>
          <w:sz w:val="32"/>
          <w:szCs w:val="32"/>
        </w:rPr>
        <w:t>人群健康水平不断提高。</w:t>
      </w:r>
      <w:r>
        <w:rPr>
          <w:rFonts w:hint="eastAsia" w:ascii="仿宋_GB2312" w:hAnsi="仿宋" w:eastAsia="仿宋_GB2312" w:cs="仿宋_GB2312"/>
          <w:b w:val="0"/>
          <w:bCs w:val="0"/>
          <w:color w:val="auto"/>
          <w:spacing w:val="0"/>
          <w:w w:val="100"/>
          <w:kern w:val="2"/>
          <w:position w:val="0"/>
          <w:sz w:val="32"/>
          <w:szCs w:val="32"/>
          <w:highlight w:val="none"/>
          <w:lang w:val="en-US" w:eastAsia="zh-CN" w:bidi="ar-SA"/>
        </w:rPr>
        <w:t>与2015年相比，我区人群健康水平持续提升，居民平均预期寿命从79.7岁提高到80.8岁。</w:t>
      </w:r>
      <w:r>
        <w:rPr>
          <w:rFonts w:hint="eastAsia" w:ascii="仿宋_GB2312" w:hAnsi="仿宋" w:eastAsia="仿宋_GB2312" w:cs="仿宋_GB2312"/>
          <w:b w:val="0"/>
          <w:bCs w:val="0"/>
          <w:strike w:val="0"/>
          <w:dstrike w:val="0"/>
          <w:color w:val="auto"/>
          <w:spacing w:val="0"/>
          <w:w w:val="100"/>
          <w:kern w:val="2"/>
          <w:position w:val="0"/>
          <w:sz w:val="32"/>
          <w:szCs w:val="32"/>
          <w:highlight w:val="none"/>
          <w:lang w:val="en-US" w:eastAsia="zh-CN" w:bidi="ar-SA"/>
        </w:rPr>
        <w:t>2020年婴儿死亡率为0.85‰，5岁以下儿童死亡率为1.09‰，孕产妇死亡率为0，低于全市平均水平。</w:t>
      </w:r>
      <w:r>
        <w:rPr>
          <w:rFonts w:hint="eastAsia" w:ascii="仿宋_GB2312" w:hAnsi="仿宋_GB2312" w:eastAsia="仿宋_GB2312" w:cs="仿宋_GB2312"/>
          <w:color w:val="auto"/>
          <w:kern w:val="2"/>
          <w:sz w:val="32"/>
          <w:szCs w:val="32"/>
          <w:shd w:val="clear" w:color="auto" w:fill="FFFFFF"/>
          <w:lang w:val="en-US" w:eastAsia="zh-CN" w:bidi="ar-SA"/>
        </w:rPr>
        <w:t>2016年至2020年，全区报告尘肺病11例，仅有2018年发生1例新发尘肺病患者，未发生重大</w:t>
      </w:r>
      <w:r>
        <w:rPr>
          <w:rFonts w:hint="eastAsia" w:ascii="仿宋_GB2312" w:hAnsi="仿宋_GB2312" w:eastAsia="仿宋_GB2312" w:cs="仿宋_GB2312"/>
          <w:b w:val="0"/>
          <w:bCs w:val="0"/>
          <w:color w:val="auto"/>
          <w:spacing w:val="0"/>
          <w:w w:val="100"/>
          <w:kern w:val="2"/>
          <w:position w:val="0"/>
          <w:sz w:val="32"/>
          <w:szCs w:val="32"/>
          <w:shd w:val="clear" w:color="auto" w:fill="FFFFFF"/>
          <w:lang w:val="en-US" w:eastAsia="zh-CN" w:bidi="ar-SA"/>
        </w:rPr>
        <w:t>急性职业病危害事故，亦未发生慢性职业性化学中毒事故和急性职业性放射事故。每年举办重点企业职业卫生培训，累计培训重点企业用人单位负责人和职业卫生管理人员1500人次，培训率达95%以上。</w:t>
      </w:r>
      <w:bookmarkEnd w:id="310"/>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2" w:firstLineChars="200"/>
        <w:textAlignment w:val="auto"/>
        <w:outlineLvl w:val="1"/>
        <w:rPr>
          <w:rFonts w:hint="eastAsia" w:ascii="仿宋_GB2312" w:hAnsi="仿宋" w:eastAsia="仿宋_GB2312" w:cs="仿宋_GB2312"/>
          <w:color w:val="auto"/>
          <w:sz w:val="32"/>
          <w:szCs w:val="32"/>
        </w:rPr>
      </w:pPr>
      <w:bookmarkStart w:id="311" w:name="_Toc14329"/>
      <w:r>
        <w:rPr>
          <w:rFonts w:hint="eastAsia" w:ascii="仿宋_GB2312" w:hAnsi="仿宋" w:eastAsia="仿宋_GB2312" w:cs="仿宋_GB2312"/>
          <w:b/>
          <w:bCs/>
          <w:color w:val="auto"/>
          <w:sz w:val="32"/>
          <w:szCs w:val="32"/>
          <w:highlight w:val="none"/>
        </w:rPr>
        <w:t>健康光明建设取得实效。</w:t>
      </w:r>
      <w:r>
        <w:rPr>
          <w:rFonts w:hint="eastAsia" w:ascii="仿宋_GB2312" w:hAnsi="仿宋" w:eastAsia="仿宋_GB2312" w:cs="仿宋_GB2312"/>
          <w:color w:val="auto"/>
          <w:sz w:val="32"/>
          <w:szCs w:val="32"/>
          <w:highlight w:val="none"/>
        </w:rPr>
        <w:t>成立健康光明行动推进委</w:t>
      </w:r>
      <w:r>
        <w:rPr>
          <w:rFonts w:hint="eastAsia" w:ascii="仿宋_GB2312" w:hAnsi="仿宋" w:eastAsia="仿宋_GB2312" w:cs="仿宋_GB2312"/>
          <w:color w:val="auto"/>
          <w:sz w:val="32"/>
          <w:szCs w:val="32"/>
        </w:rPr>
        <w:t>员会，统筹推进健康光明组织实施。通过持续深入实施全民健康素养促进行动、健康场所创建、无烟光明建设，已完成44个健康单元建设</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b w:val="0"/>
          <w:bCs w:val="0"/>
          <w:color w:val="auto"/>
          <w:spacing w:val="0"/>
          <w:w w:val="100"/>
          <w:kern w:val="2"/>
          <w:position w:val="0"/>
          <w:sz w:val="32"/>
          <w:szCs w:val="32"/>
          <w:lang w:val="en-US" w:eastAsia="zh-CN" w:bidi="ar-SA"/>
        </w:rPr>
        <w:t>5243户健康家庭建设</w:t>
      </w:r>
      <w:r>
        <w:rPr>
          <w:rFonts w:hint="eastAsia" w:ascii="仿宋_GB2312" w:hAnsi="仿宋" w:eastAsia="仿宋_GB2312" w:cs="仿宋_GB2312"/>
          <w:color w:val="auto"/>
          <w:sz w:val="32"/>
          <w:szCs w:val="32"/>
        </w:rPr>
        <w:t>，社区15分钟健身圈覆盖率达100%</w:t>
      </w:r>
      <w:r>
        <w:rPr>
          <w:rFonts w:hint="eastAsia" w:ascii="仿宋_GB2312" w:hAnsi="仿宋" w:eastAsia="仿宋_GB2312" w:cs="仿宋_GB2312"/>
          <w:color w:val="auto"/>
          <w:sz w:val="32"/>
          <w:szCs w:val="32"/>
          <w:lang w:val="en-US" w:eastAsia="zh-CN"/>
        </w:rPr>
        <w:t>,</w:t>
      </w:r>
      <w:r>
        <w:rPr>
          <w:rFonts w:hint="eastAsia" w:ascii="仿宋_GB2312" w:hAnsi="仿宋" w:eastAsia="仿宋_GB2312" w:cs="仿宋_GB2312"/>
          <w:color w:val="auto"/>
          <w:sz w:val="32"/>
          <w:szCs w:val="32"/>
        </w:rPr>
        <w:t>15岁以上人群吸烟率下降至20.72%。2017年通过创建国家级慢性病综合防控示范区验收，逐步构建起区慢性病防治三级防控网络和防治管结合的慢性病服务体系。打造健康支持性环境，初步建立健康素养监测体系，为维护和保障我区人民健康奠定重要基础。</w:t>
      </w:r>
      <w:bookmarkEnd w:id="311"/>
    </w:p>
    <w:p>
      <w:pPr>
        <w:pStyle w:val="7"/>
        <w:keepNext w:val="0"/>
        <w:keepLines w:val="0"/>
        <w:pageBreakBefore w:val="0"/>
        <w:shd w:val="clear"/>
        <w:kinsoku/>
        <w:wordWrap/>
        <w:overflowPunct/>
        <w:topLinePunct w:val="0"/>
        <w:autoSpaceDN/>
        <w:bidi w:val="0"/>
        <w:spacing w:before="0" w:after="0" w:line="560" w:lineRule="exact"/>
        <w:ind w:firstLine="640" w:firstLineChars="200"/>
        <w:textAlignment w:val="auto"/>
        <w:rPr>
          <w:rFonts w:hint="eastAsia" w:ascii="黑体" w:hAnsi="黑体" w:eastAsia="黑体" w:cs="黑体"/>
          <w:b w:val="0"/>
          <w:bCs w:val="0"/>
          <w:snapToGrid w:val="0"/>
          <w:color w:val="auto"/>
          <w:kern w:val="0"/>
          <w:sz w:val="32"/>
          <w:szCs w:val="32"/>
          <w:lang w:val="en-US" w:eastAsia="zh-CN" w:bidi="ar-SA"/>
        </w:rPr>
      </w:pPr>
      <w:bookmarkStart w:id="312" w:name="_Toc19110_WPSOffice_Level3"/>
      <w:bookmarkStart w:id="313" w:name="_Toc149719036_WPSOffice_Level3"/>
      <w:bookmarkStart w:id="314" w:name="_Toc6352_WPSOffice_Level3"/>
      <w:bookmarkStart w:id="315" w:name="_Toc17598"/>
      <w:bookmarkStart w:id="316" w:name="_Toc21236"/>
      <w:bookmarkStart w:id="317" w:name="_Toc22955"/>
      <w:bookmarkStart w:id="318" w:name="_Toc19002"/>
      <w:bookmarkStart w:id="319" w:name="_Toc9193"/>
      <w:bookmarkStart w:id="320" w:name="_Toc13241"/>
      <w:bookmarkStart w:id="321" w:name="_Toc27988"/>
      <w:bookmarkStart w:id="322" w:name="_Toc17508"/>
      <w:bookmarkStart w:id="323" w:name="_Toc49"/>
      <w:bookmarkStart w:id="324" w:name="_Toc10761"/>
      <w:bookmarkStart w:id="325" w:name="_Toc503"/>
      <w:bookmarkStart w:id="326" w:name="_Toc12745"/>
      <w:bookmarkStart w:id="327" w:name="_Toc6438"/>
      <w:bookmarkStart w:id="328" w:name="_Toc28179"/>
      <w:bookmarkStart w:id="329" w:name="_Toc24668"/>
      <w:bookmarkStart w:id="330" w:name="_Toc26406"/>
      <w:bookmarkStart w:id="331" w:name="_Toc7297"/>
      <w:bookmarkStart w:id="332" w:name="_Toc21939"/>
      <w:bookmarkStart w:id="333" w:name="_Toc11626"/>
      <w:bookmarkStart w:id="334" w:name="_Toc18434"/>
      <w:bookmarkStart w:id="335" w:name="_Toc7400"/>
      <w:bookmarkStart w:id="336" w:name="_Toc9645"/>
      <w:bookmarkStart w:id="337" w:name="_Toc17402"/>
      <w:bookmarkStart w:id="338" w:name="_Toc12682"/>
      <w:bookmarkStart w:id="339" w:name="_Toc22639"/>
      <w:bookmarkStart w:id="340" w:name="_Toc5018"/>
      <w:bookmarkStart w:id="341" w:name="_Toc5058"/>
      <w:bookmarkStart w:id="342" w:name="_Toc10016"/>
      <w:bookmarkStart w:id="343" w:name="_Toc19035"/>
      <w:bookmarkStart w:id="344" w:name="_Toc29313"/>
      <w:bookmarkStart w:id="345" w:name="_Toc14297"/>
      <w:bookmarkStart w:id="346" w:name="_Toc32098"/>
      <w:bookmarkStart w:id="347" w:name="_Toc32144"/>
      <w:bookmarkStart w:id="348" w:name="_Toc21222"/>
      <w:bookmarkStart w:id="349" w:name="_Toc12158"/>
      <w:bookmarkStart w:id="350" w:name="_Toc16222"/>
      <w:bookmarkStart w:id="351" w:name="_Toc8598"/>
      <w:bookmarkStart w:id="352" w:name="_Toc20134"/>
      <w:bookmarkStart w:id="353" w:name="_Toc31143"/>
      <w:bookmarkStart w:id="354" w:name="_Toc17990"/>
      <w:bookmarkStart w:id="355" w:name="_Toc30642"/>
      <w:bookmarkStart w:id="356" w:name="_Toc9721"/>
      <w:bookmarkStart w:id="357" w:name="_Toc30388"/>
      <w:bookmarkStart w:id="358" w:name="_Toc11139"/>
      <w:bookmarkStart w:id="359" w:name="_Toc29384"/>
      <w:bookmarkStart w:id="360" w:name="_Toc29214"/>
      <w:bookmarkStart w:id="361" w:name="_Toc22512"/>
      <w:bookmarkStart w:id="362" w:name="_Toc24501"/>
      <w:bookmarkStart w:id="363" w:name="_Toc12388"/>
      <w:bookmarkStart w:id="364" w:name="_Toc31563"/>
      <w:bookmarkStart w:id="365" w:name="_Toc31865"/>
      <w:bookmarkStart w:id="366" w:name="_Toc4271"/>
      <w:bookmarkStart w:id="367" w:name="_Toc13418"/>
      <w:bookmarkStart w:id="368" w:name="_Toc14846"/>
      <w:bookmarkStart w:id="369" w:name="_Toc29223"/>
      <w:bookmarkStart w:id="370" w:name="_Toc23942"/>
      <w:bookmarkStart w:id="371" w:name="_Toc12444"/>
      <w:bookmarkStart w:id="372" w:name="_Toc864"/>
      <w:r>
        <w:rPr>
          <w:rFonts w:hint="eastAsia" w:ascii="黑体" w:hAnsi="黑体" w:eastAsia="黑体" w:cs="黑体"/>
          <w:b w:val="0"/>
          <w:bCs w:val="0"/>
          <w:snapToGrid w:val="0"/>
          <w:color w:val="auto"/>
          <w:kern w:val="0"/>
          <w:sz w:val="32"/>
          <w:szCs w:val="32"/>
          <w:lang w:val="en-US" w:eastAsia="zh-CN" w:bidi="ar-SA"/>
        </w:rPr>
        <w:t>二、深化医改取得实质进展</w:t>
      </w:r>
      <w:bookmarkEnd w:id="312"/>
      <w:bookmarkEnd w:id="313"/>
      <w:bookmarkEnd w:id="314"/>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2" w:firstLineChars="200"/>
        <w:textAlignment w:val="auto"/>
        <w:outlineLvl w:val="1"/>
        <w:rPr>
          <w:rFonts w:hint="eastAsia" w:ascii="仿宋_GB2312" w:hAnsi="仿宋" w:eastAsia="仿宋_GB2312" w:cs="仿宋_GB2312"/>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构建整合型高效医疗体系。</w:t>
      </w:r>
      <w:r>
        <w:rPr>
          <w:rFonts w:hint="eastAsia" w:ascii="仿宋_GB2312" w:hAnsi="仿宋" w:eastAsia="仿宋_GB2312" w:cs="仿宋_GB2312"/>
          <w:color w:val="auto"/>
          <w:sz w:val="32"/>
          <w:szCs w:val="32"/>
        </w:rPr>
        <w:t>实质性整合原区人民医院和区中心医院，创新组建光明区医院医疗联合体，构建创新型光明区医院医疗联合体“五对+1体系”（市属医院-区属医院、公立医院-民营医院、中医-西医、基层医院-护理院、医院-社康+光明辖区全部医院医疗联合体），在医联体框架下开展药学服务联盟、康复专科联盟、胸痛专科联盟、医学生实习、中医药医教研合作、深圳市安宁疗护试点区等具体项目。</w:t>
      </w:r>
    </w:p>
    <w:p>
      <w:pPr>
        <w:pStyle w:val="7"/>
        <w:keepNext w:val="0"/>
        <w:keepLines w:val="0"/>
        <w:pageBreakBefore w:val="0"/>
        <w:shd w:val="clear"/>
        <w:kinsoku/>
        <w:wordWrap/>
        <w:overflowPunct/>
        <w:topLinePunct w:val="0"/>
        <w:autoSpaceDN/>
        <w:bidi w:val="0"/>
        <w:spacing w:before="0" w:after="0" w:line="560" w:lineRule="exact"/>
        <w:ind w:firstLine="642" w:firstLineChars="200"/>
        <w:textAlignment w:val="auto"/>
        <w:rPr>
          <w:rFonts w:hint="eastAsia" w:ascii="仿宋_GB2312" w:hAnsi="仿宋" w:eastAsia="仿宋_GB2312" w:cs="仿宋_GB2312"/>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深化公立医院各项改革。</w:t>
      </w:r>
      <w:r>
        <w:rPr>
          <w:rFonts w:hint="eastAsia" w:ascii="仿宋_GB2312" w:hAnsi="仿宋" w:eastAsia="仿宋_GB2312" w:cs="仿宋_GB2312"/>
          <w:bCs w:val="0"/>
          <w:color w:val="auto"/>
          <w:kern w:val="2"/>
          <w:sz w:val="32"/>
          <w:szCs w:val="32"/>
          <w:lang w:val="en-US" w:eastAsia="zh-CN" w:bidi="ar-SA"/>
        </w:rPr>
        <w:t>深化党委领导下的院长负责制，通过“科学界定并细化党委和院长分工、党委委员兼任职能部门负责人、党支部书记兼任科室主任、创建党建服务品牌党员先锋岗”四个层面，把党的领导融入医院各个治理环节。出台《光明区医疗卫生水平提升三年行动计划（2018—2020年）》，大力推进分级诊疗、现代医院管理制度、医保支付方式、药品供应保障、医疗综合监管、建立优质高效的医疗卫生服务体系等改革，大力推进医疗卫生重大项目建设。出台《光明新区进一步推进分级诊疗制度建设实施方案》，在医院与社康机构之间实施双向转诊“四优先”政策。</w:t>
      </w:r>
      <w:r>
        <w:rPr>
          <w:rFonts w:hint="eastAsia" w:ascii="仿宋_GB2312" w:hAnsi="仿宋" w:cs="仿宋_GB2312"/>
          <w:bCs w:val="0"/>
          <w:color w:val="auto"/>
          <w:kern w:val="2"/>
          <w:sz w:val="32"/>
          <w:szCs w:val="32"/>
          <w:highlight w:val="none"/>
          <w:lang w:val="en-US" w:eastAsia="zh-CN" w:bidi="ar-SA"/>
        </w:rPr>
        <w:t>2016年建成全市第一家护理院，并于2020年设立为二类事业单位，为光明区老年护理事业发展探索新路径。</w:t>
      </w:r>
    </w:p>
    <w:p>
      <w:pPr>
        <w:pStyle w:val="7"/>
        <w:keepNext w:val="0"/>
        <w:keepLines w:val="0"/>
        <w:pageBreakBefore w:val="0"/>
        <w:shd w:val="clear"/>
        <w:kinsoku/>
        <w:wordWrap/>
        <w:overflowPunct/>
        <w:topLinePunct w:val="0"/>
        <w:autoSpaceDN/>
        <w:bidi w:val="0"/>
        <w:spacing w:before="0" w:after="0" w:line="560" w:lineRule="exact"/>
        <w:ind w:firstLine="642" w:firstLineChars="200"/>
        <w:textAlignment w:val="auto"/>
        <w:rPr>
          <w:rFonts w:hint="eastAsia" w:ascii="仿宋_GB2312" w:hAnsi="仿宋" w:eastAsia="仿宋_GB2312" w:cs="仿宋_GB2312"/>
          <w:bCs w:val="0"/>
          <w:color w:val="auto"/>
          <w:kern w:val="2"/>
          <w:sz w:val="32"/>
          <w:szCs w:val="32"/>
          <w:lang w:val="en-US" w:eastAsia="zh-CN" w:bidi="ar-SA"/>
        </w:rPr>
      </w:pPr>
      <w:r>
        <w:rPr>
          <w:rFonts w:hint="eastAsia" w:ascii="仿宋_GB2312" w:hAnsi="仿宋" w:eastAsia="仿宋_GB2312" w:cs="仿宋_GB2312"/>
          <w:b/>
          <w:bCs/>
          <w:color w:val="auto"/>
          <w:kern w:val="2"/>
          <w:sz w:val="32"/>
          <w:szCs w:val="32"/>
          <w:lang w:val="en-US" w:eastAsia="zh-CN" w:bidi="ar-SA"/>
        </w:rPr>
        <w:t>形成区校合作办医模式。</w:t>
      </w:r>
      <w:r>
        <w:rPr>
          <w:rFonts w:hint="eastAsia" w:ascii="仿宋_GB2312" w:hAnsi="仿宋" w:eastAsia="仿宋_GB2312" w:cs="仿宋_GB2312"/>
          <w:bCs w:val="0"/>
          <w:color w:val="auto"/>
          <w:kern w:val="2"/>
          <w:sz w:val="32"/>
          <w:szCs w:val="32"/>
          <w:lang w:val="en-US" w:eastAsia="zh-CN" w:bidi="ar-SA"/>
        </w:rPr>
        <w:t>光明区从2018年开始与中国科学院大学合作，共同建设中国科学院大学深圳医院（光明）。近三年来，中国科学院大学深圳医院（光明）形成“三增四降三提高”的整体局面，即业务量稳步增长，收入结构优化、业务收支结余增长；资产负债率降低，管理费用占比降低、次均费用增幅降低和药占比降低；应急救援和保障能力明显提高，危重症救治能力明显提高，学科诊疗能力明显提高</w:t>
      </w:r>
      <w:r>
        <w:rPr>
          <w:rFonts w:hint="eastAsia" w:ascii="仿宋_GB2312" w:hAnsi="仿宋" w:cs="仿宋_GB2312"/>
          <w:bCs w:val="0"/>
          <w:color w:val="auto"/>
          <w:kern w:val="2"/>
          <w:sz w:val="32"/>
          <w:szCs w:val="32"/>
          <w:lang w:val="en-US" w:eastAsia="zh-CN" w:bidi="ar-SA"/>
        </w:rPr>
        <w:t>。</w:t>
      </w:r>
    </w:p>
    <w:p>
      <w:pPr>
        <w:pStyle w:val="7"/>
        <w:keepNext w:val="0"/>
        <w:keepLines w:val="0"/>
        <w:pageBreakBefore w:val="0"/>
        <w:shd w:val="clear"/>
        <w:kinsoku/>
        <w:wordWrap/>
        <w:overflowPunct/>
        <w:topLinePunct w:val="0"/>
        <w:autoSpaceDN/>
        <w:bidi w:val="0"/>
        <w:spacing w:before="0" w:after="0" w:line="560" w:lineRule="exact"/>
        <w:ind w:firstLine="640" w:firstLineChars="200"/>
        <w:jc w:val="both"/>
        <w:textAlignment w:val="auto"/>
        <w:rPr>
          <w:rFonts w:hint="eastAsia" w:ascii="黑体" w:hAnsi="黑体" w:eastAsia="黑体" w:cs="黑体"/>
          <w:b w:val="0"/>
          <w:bCs w:val="0"/>
          <w:snapToGrid w:val="0"/>
          <w:color w:val="auto"/>
          <w:kern w:val="0"/>
          <w:sz w:val="32"/>
          <w:szCs w:val="32"/>
          <w:lang w:val="en-US" w:eastAsia="zh-CN" w:bidi="ar-SA"/>
        </w:rPr>
      </w:pPr>
      <w:bookmarkStart w:id="373" w:name="_Toc21526_WPSOffice_Level3"/>
      <w:bookmarkStart w:id="374" w:name="_Toc913_WPSOffice_Level3"/>
      <w:bookmarkStart w:id="375" w:name="_Toc472447777_WPSOffice_Level3"/>
      <w:r>
        <w:rPr>
          <w:rFonts w:hint="eastAsia" w:ascii="黑体" w:hAnsi="黑体" w:eastAsia="黑体" w:cs="黑体"/>
          <w:b w:val="0"/>
          <w:bCs w:val="0"/>
          <w:snapToGrid w:val="0"/>
          <w:color w:val="auto"/>
          <w:kern w:val="0"/>
          <w:sz w:val="32"/>
          <w:szCs w:val="32"/>
          <w:lang w:val="en-US" w:eastAsia="zh-CN" w:bidi="ar-SA"/>
        </w:rPr>
        <w:t>三、</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Pr>
          <w:rFonts w:hint="eastAsia" w:ascii="黑体" w:hAnsi="黑体" w:eastAsia="黑体" w:cs="黑体"/>
          <w:b w:val="0"/>
          <w:bCs w:val="0"/>
          <w:snapToGrid w:val="0"/>
          <w:color w:val="auto"/>
          <w:kern w:val="0"/>
          <w:sz w:val="32"/>
          <w:szCs w:val="32"/>
          <w:lang w:val="en-US" w:eastAsia="zh-CN" w:bidi="ar-SA"/>
        </w:rPr>
        <w:t>医疗服务水平持续优化</w:t>
      </w:r>
      <w:bookmarkEnd w:id="375"/>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2" w:firstLineChars="200"/>
        <w:jc w:val="both"/>
        <w:textAlignment w:val="auto"/>
        <w:outlineLvl w:val="1"/>
        <w:rPr>
          <w:rFonts w:hint="eastAsia" w:ascii="仿宋_GB2312" w:eastAsia="仿宋_GB2312"/>
          <w:color w:val="auto"/>
          <w:sz w:val="32"/>
          <w:szCs w:val="32"/>
          <w:highlight w:val="none"/>
          <w:shd w:val="clear"/>
          <w:lang w:val="en-US" w:eastAsia="zh-CN"/>
        </w:rPr>
      </w:pPr>
      <w:bookmarkStart w:id="376" w:name="_Toc25606"/>
      <w:r>
        <w:rPr>
          <w:rFonts w:hint="eastAsia" w:ascii="仿宋_GB2312" w:hAnsi="仿宋_GB2312" w:eastAsia="仿宋_GB2312" w:cs="仿宋_GB2312"/>
          <w:b/>
          <w:bCs/>
          <w:color w:val="auto"/>
          <w:sz w:val="32"/>
          <w:szCs w:val="32"/>
          <w:highlight w:val="none"/>
        </w:rPr>
        <w:t>医疗卫生资源总量大幅增加。</w:t>
      </w:r>
      <w:bookmarkEnd w:id="376"/>
      <w:r>
        <w:rPr>
          <w:rFonts w:hint="eastAsia" w:ascii="仿宋_GB2312" w:eastAsia="仿宋_GB2312"/>
          <w:color w:val="auto"/>
          <w:sz w:val="32"/>
          <w:szCs w:val="32"/>
          <w:highlight w:val="none"/>
          <w:shd w:val="clear"/>
          <w:lang w:val="en-US" w:eastAsia="zh-CN"/>
        </w:rPr>
        <w:t>2020年全区医疗卫生机构登记总数为305个，比2015年增长45.2%，其中：医院5个（综合医院3个，妇幼保健院1个，护理院1个）；基层医疗卫生机构298个，其中社康中心46个（公立41个，社会办5个）；专业公共卫生机构2个。全区床位数2840张、执业（助理）医师2368名，分别比“十二五”末增长167%、112.2%。</w:t>
      </w:r>
    </w:p>
    <w:p>
      <w:pPr>
        <w:pStyle w:val="34"/>
        <w:keepNext w:val="0"/>
        <w:keepLines w:val="0"/>
        <w:pageBreakBefore w:val="0"/>
        <w:widowControl w:val="0"/>
        <w:shd w:val="clear"/>
        <w:kinsoku/>
        <w:wordWrap/>
        <w:overflowPunct/>
        <w:topLinePunct w:val="0"/>
        <w:autoSpaceDE/>
        <w:autoSpaceDN/>
        <w:bidi w:val="0"/>
        <w:adjustRightInd w:val="0"/>
        <w:snapToGrid w:val="0"/>
        <w:spacing w:line="560" w:lineRule="exact"/>
        <w:ind w:firstLine="642" w:firstLineChars="200"/>
        <w:jc w:val="both"/>
        <w:textAlignment w:val="auto"/>
        <w:outlineLvl w:val="1"/>
        <w:rPr>
          <w:rFonts w:ascii="仿宋_GB2312" w:hAnsi="仿宋_GB2312" w:eastAsia="仿宋_GB2312" w:cs="仿宋_GB2312"/>
          <w:bCs/>
          <w:color w:val="auto"/>
          <w:sz w:val="32"/>
          <w:szCs w:val="32"/>
        </w:rPr>
      </w:pPr>
      <w:bookmarkStart w:id="377" w:name="_Toc834"/>
      <w:bookmarkStart w:id="378" w:name="_Toc9772"/>
      <w:r>
        <w:rPr>
          <w:rFonts w:hint="eastAsia" w:ascii="仿宋_GB2312" w:eastAsia="仿宋_GB2312"/>
          <w:b/>
          <w:bCs/>
          <w:color w:val="auto"/>
          <w:sz w:val="32"/>
          <w:szCs w:val="32"/>
        </w:rPr>
        <w:t>积极推动重点学科建设。</w:t>
      </w:r>
      <w:r>
        <w:rPr>
          <w:rFonts w:hint="eastAsia" w:ascii="仿宋_GB2312" w:eastAsia="仿宋_GB2312"/>
          <w:color w:val="auto"/>
          <w:sz w:val="32"/>
          <w:szCs w:val="32"/>
        </w:rPr>
        <w:t>“十三五”期间，中国科学院大</w:t>
      </w:r>
      <w:r>
        <w:rPr>
          <w:rFonts w:hint="eastAsia" w:ascii="仿宋_GB2312" w:hAnsi="仿宋_GB2312" w:eastAsia="仿宋_GB2312" w:cs="仿宋_GB2312"/>
          <w:bCs/>
          <w:color w:val="auto"/>
          <w:sz w:val="32"/>
          <w:szCs w:val="32"/>
        </w:rPr>
        <w:t>学深圳医院（光明）完成三个周期合计</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个医学</w:t>
      </w:r>
      <w:r>
        <w:rPr>
          <w:rFonts w:hint="eastAsia" w:ascii="仿宋_GB2312" w:hAnsi="仿宋_GB2312" w:eastAsia="仿宋_GB2312" w:cs="仿宋_GB2312"/>
          <w:bCs/>
          <w:color w:val="auto"/>
          <w:sz w:val="32"/>
          <w:szCs w:val="32"/>
        </w:rPr>
        <w:t>重点学科建设工作，成功引进2个深圳市“医疗卫生三名工程”项目，推动医院心血管外科、儿科学科建设，带来新技术新项目30项。特色学科建设取得明显进展，呼吸科、神经外科、新生儿科、康复医学科、耳鼻喉科、超声医学科等</w:t>
      </w:r>
      <w:r>
        <w:rPr>
          <w:rFonts w:ascii="仿宋_GB2312" w:hAnsi="仿宋_GB2312" w:eastAsia="仿宋_GB2312" w:cs="仿宋_GB2312"/>
          <w:bCs/>
          <w:color w:val="auto"/>
          <w:sz w:val="32"/>
          <w:szCs w:val="32"/>
        </w:rPr>
        <w:t>7个</w:t>
      </w:r>
      <w:r>
        <w:rPr>
          <w:rFonts w:hint="eastAsia" w:ascii="仿宋_GB2312" w:hAnsi="仿宋_GB2312" w:eastAsia="仿宋_GB2312" w:cs="仿宋_GB2312"/>
          <w:bCs/>
          <w:color w:val="auto"/>
          <w:sz w:val="32"/>
          <w:szCs w:val="32"/>
        </w:rPr>
        <w:t>特色学科进入全市先进水平行列。2019年通过国家药物/医疗器械临床试验（GCP）机构认定，呼吸内科、消化内科、心血管内科、内分泌科、妇科、新生儿科等7个专业获得药物临床试验资质认定，神经内科、普通外科、骨科、创伤骨关节科等23个专业获得医疗器械临床试验资质备案。2020年获广东省省级胸痛中心建设单位。</w:t>
      </w:r>
      <w:bookmarkEnd w:id="377"/>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019</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光明区妇幼保健院</w:t>
      </w:r>
      <w:r>
        <w:rPr>
          <w:rFonts w:hint="eastAsia" w:ascii="仿宋_GB2312" w:hAnsi="仿宋_GB2312" w:eastAsia="仿宋_GB2312" w:cs="仿宋_GB2312"/>
          <w:color w:val="auto"/>
          <w:sz w:val="32"/>
          <w:szCs w:val="32"/>
        </w:rPr>
        <w:t>荣创“全国妇幼健康中西医结合基层重点专科（中西医</w:t>
      </w:r>
      <w:r>
        <w:rPr>
          <w:rFonts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rPr>
        <w:t>儿科）”。</w:t>
      </w:r>
    </w:p>
    <w:bookmarkEnd w:id="378"/>
    <w:p>
      <w:pPr>
        <w:pStyle w:val="2"/>
        <w:ind w:firstLine="642" w:firstLineChars="200"/>
        <w:jc w:val="both"/>
        <w:rPr>
          <w:color w:val="auto"/>
        </w:rPr>
      </w:pPr>
      <w:r>
        <w:rPr>
          <w:rFonts w:hint="eastAsia" w:ascii="仿宋_GB2312" w:hAnsi="仿宋_GB2312" w:eastAsia="仿宋_GB2312" w:cs="仿宋_GB2312"/>
          <w:b/>
          <w:color w:val="auto"/>
          <w:sz w:val="32"/>
          <w:szCs w:val="32"/>
        </w:rPr>
        <w:t>提升医疗卫生科研能力。</w:t>
      </w:r>
      <w:r>
        <w:rPr>
          <w:rFonts w:hint="eastAsia" w:ascii="仿宋_GB2312" w:hAnsi="仿宋_GB2312" w:eastAsia="仿宋_GB2312" w:cs="仿宋_GB2312"/>
          <w:bCs/>
          <w:color w:val="auto"/>
          <w:kern w:val="2"/>
          <w:sz w:val="32"/>
          <w:szCs w:val="32"/>
          <w:lang w:val="en-US" w:eastAsia="zh-CN" w:bidi="ar-SA"/>
        </w:rPr>
        <w:t>出台《光明区卫生系统科研项目管理实施细则》《卫生系统软科学研究支持申请指南》等</w:t>
      </w:r>
      <w:r>
        <w:rPr>
          <w:rFonts w:hint="eastAsia" w:ascii="仿宋_GB2312" w:hAnsi="仿宋_GB2312" w:eastAsia="仿宋_GB2312" w:cs="仿宋_GB2312"/>
          <w:bCs/>
          <w:color w:val="auto"/>
          <w:kern w:val="2"/>
          <w:sz w:val="32"/>
          <w:szCs w:val="32"/>
          <w:highlight w:val="none"/>
          <w:lang w:val="en-US" w:eastAsia="zh-CN" w:bidi="ar-SA"/>
        </w:rPr>
        <w:t>，激发科研人员创新活力，提高光明区医学科研水平。</w:t>
      </w:r>
      <w:r>
        <w:rPr>
          <w:rFonts w:hint="eastAsia" w:ascii="仿宋_GB2312" w:hAnsi="仿宋_GB2312" w:eastAsia="仿宋_GB2312" w:cs="仿宋_GB2312"/>
          <w:bCs/>
          <w:color w:val="auto"/>
          <w:kern w:val="2"/>
          <w:sz w:val="32"/>
          <w:szCs w:val="32"/>
          <w:lang w:val="en-US" w:eastAsia="zh-CN" w:bidi="ar-SA"/>
        </w:rPr>
        <w:t>2016年-2020年，区卫生系统累计获市级及以上卫生科研立项39项，累计获受经费资助达645.74万元；发表论文873篇，其中SCI论文62篇，获授权医学专利15项。成功举办“第五届中国老年医学与科技创新大会2019年中国老年血管疾病高峰论坛”、“第三届全国老年血管健康管理高峰论坛暨第六届深港澳血管论坛”等高端论坛，有效促进学术交流。</w:t>
      </w:r>
    </w:p>
    <w:p>
      <w:pPr>
        <w:pageBreakBefore w:val="0"/>
        <w:kinsoku/>
        <w:wordWrap/>
        <w:overflowPunct/>
        <w:topLinePunct w:val="0"/>
        <w:autoSpaceDN/>
        <w:bidi w:val="0"/>
        <w:spacing w:line="560" w:lineRule="exact"/>
        <w:ind w:firstLine="640" w:firstLineChars="200"/>
        <w:jc w:val="both"/>
        <w:textAlignment w:val="auto"/>
        <w:rPr>
          <w:rFonts w:hint="eastAsia" w:ascii="黑体" w:hAnsi="黑体" w:eastAsia="黑体" w:cs="黑体"/>
          <w:b w:val="0"/>
          <w:bCs w:val="0"/>
          <w:snapToGrid w:val="0"/>
          <w:color w:val="auto"/>
          <w:kern w:val="0"/>
          <w:sz w:val="32"/>
          <w:szCs w:val="32"/>
          <w:lang w:val="en-US" w:eastAsia="zh-CN" w:bidi="ar-SA"/>
        </w:rPr>
      </w:pPr>
      <w:bookmarkStart w:id="379" w:name="_Toc6712_WPSOffice_Level3"/>
      <w:bookmarkStart w:id="380" w:name="_Toc21179_WPSOffice_Level3"/>
      <w:bookmarkStart w:id="381" w:name="_Toc1591187832_WPSOffice_Level3"/>
      <w:r>
        <w:rPr>
          <w:rFonts w:hint="eastAsia" w:ascii="黑体" w:hAnsi="黑体" w:eastAsia="黑体" w:cs="黑体"/>
          <w:b w:val="0"/>
          <w:bCs w:val="0"/>
          <w:snapToGrid w:val="0"/>
          <w:color w:val="auto"/>
          <w:kern w:val="0"/>
          <w:sz w:val="32"/>
          <w:szCs w:val="32"/>
          <w:lang w:val="en-US" w:eastAsia="zh-CN" w:bidi="ar-SA"/>
        </w:rPr>
        <w:t>四、社区健康服务不</w:t>
      </w:r>
      <w:bookmarkEnd w:id="379"/>
      <w:bookmarkEnd w:id="380"/>
      <w:r>
        <w:rPr>
          <w:rFonts w:hint="eastAsia" w:ascii="黑体" w:hAnsi="黑体" w:eastAsia="黑体" w:cs="黑体"/>
          <w:b w:val="0"/>
          <w:bCs w:val="0"/>
          <w:snapToGrid w:val="0"/>
          <w:color w:val="auto"/>
          <w:kern w:val="0"/>
          <w:sz w:val="32"/>
          <w:szCs w:val="32"/>
          <w:lang w:val="en-US" w:eastAsia="zh-CN" w:bidi="ar-SA"/>
        </w:rPr>
        <w:t>断完善</w:t>
      </w:r>
      <w:bookmarkEnd w:id="381"/>
    </w:p>
    <w:p>
      <w:pPr>
        <w:keepNext w:val="0"/>
        <w:keepLines w:val="0"/>
        <w:pageBreakBefore w:val="0"/>
        <w:widowControl w:val="0"/>
        <w:shd w:val="clear"/>
        <w:kinsoku/>
        <w:wordWrap/>
        <w:overflowPunct/>
        <w:topLinePunct w:val="0"/>
        <w:autoSpaceDE/>
        <w:autoSpaceDN/>
        <w:bidi w:val="0"/>
        <w:adjustRightInd/>
        <w:snapToGrid/>
        <w:spacing w:beforeLines="0" w:afterLines="0" w:line="56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Times New Roman" w:eastAsia="仿宋_GB2312" w:cs="Times New Roman"/>
          <w:b/>
          <w:bCs/>
          <w:color w:val="auto"/>
          <w:kern w:val="2"/>
          <w:sz w:val="32"/>
          <w:szCs w:val="32"/>
          <w:highlight w:val="none"/>
          <w:lang w:val="en-US" w:eastAsia="zh-CN" w:bidi="ar-SA"/>
        </w:rPr>
        <w:t>社康机构规划布局得到优化。</w:t>
      </w:r>
      <w:r>
        <w:rPr>
          <w:rFonts w:hint="eastAsia" w:ascii="仿宋_GB2312" w:hAnsi="Times New Roman" w:eastAsia="仿宋_GB2312" w:cs="Times New Roman"/>
          <w:color w:val="auto"/>
          <w:kern w:val="2"/>
          <w:sz w:val="32"/>
          <w:szCs w:val="32"/>
          <w:highlight w:val="none"/>
          <w:lang w:val="en-US" w:eastAsia="zh-CN" w:bidi="ar-SA"/>
        </w:rPr>
        <w:t>2020年共有社康机构46家，其中区属公立医院举办40家、中山七院举办1家、非公立医院举办5家。全区46家社康机构覆盖6个街道办事处，31个社区，形成“15分钟医疗服务圈”，完成了社康机构标准化建设和基本设备配置，基本医疗服务质量稳步提升。每家社康机构平均服务</w:t>
      </w:r>
      <w:r>
        <w:rPr>
          <w:rFonts w:hint="eastAsia" w:ascii="仿宋_GB2312" w:eastAsia="仿宋_GB2312" w:cs="Times New Roman"/>
          <w:color w:val="auto"/>
          <w:kern w:val="2"/>
          <w:sz w:val="32"/>
          <w:szCs w:val="32"/>
          <w:highlight w:val="none"/>
          <w:lang w:val="en-US" w:eastAsia="zh-CN" w:bidi="ar-SA"/>
        </w:rPr>
        <w:t>2.67</w:t>
      </w:r>
      <w:r>
        <w:rPr>
          <w:rFonts w:hint="eastAsia" w:ascii="仿宋_GB2312" w:hAnsi="Times New Roman" w:eastAsia="仿宋_GB2312" w:cs="Times New Roman"/>
          <w:color w:val="auto"/>
          <w:kern w:val="2"/>
          <w:sz w:val="32"/>
          <w:szCs w:val="32"/>
          <w:highlight w:val="none"/>
          <w:lang w:val="en-US" w:eastAsia="zh-CN" w:bidi="ar-SA"/>
        </w:rPr>
        <w:t>万人，高于深圳市社康平均服务人数（2.</w:t>
      </w:r>
      <w:r>
        <w:rPr>
          <w:rFonts w:hint="eastAsia" w:ascii="仿宋_GB2312" w:eastAsia="仿宋_GB2312" w:cs="Times New Roman"/>
          <w:color w:val="auto"/>
          <w:kern w:val="2"/>
          <w:sz w:val="32"/>
          <w:szCs w:val="32"/>
          <w:highlight w:val="none"/>
          <w:lang w:val="en-US" w:eastAsia="zh-CN" w:bidi="ar-SA"/>
        </w:rPr>
        <w:t>50</w:t>
      </w:r>
      <w:r>
        <w:rPr>
          <w:rFonts w:hint="eastAsia" w:ascii="仿宋_GB2312" w:hAnsi="Times New Roman" w:eastAsia="仿宋_GB2312" w:cs="Times New Roman"/>
          <w:color w:val="auto"/>
          <w:kern w:val="2"/>
          <w:sz w:val="32"/>
          <w:szCs w:val="32"/>
          <w:highlight w:val="none"/>
          <w:lang w:val="en-US" w:eastAsia="zh-CN" w:bidi="ar-SA"/>
        </w:rPr>
        <w:t>万人），排名全市第四。社康内涵不断得到丰富。3家被评为国家示范社康，3家被评为广东省示范社康，5家被评为深圳市示范社康，建设了7家广东省全科实践教学基地与1家全科技能培训中心。公明社区医院按照省、市卫生健康委部署开展建设。</w:t>
      </w:r>
    </w:p>
    <w:p>
      <w:pPr>
        <w:pStyle w:val="49"/>
        <w:keepNext w:val="0"/>
        <w:keepLines w:val="0"/>
        <w:pageBreakBefore w:val="0"/>
        <w:widowControl w:val="0"/>
        <w:shd w:val="clear"/>
        <w:kinsoku/>
        <w:wordWrap/>
        <w:overflowPunct/>
        <w:topLinePunct w:val="0"/>
        <w:autoSpaceDE/>
        <w:autoSpaceDN/>
        <w:bidi w:val="0"/>
        <w:adjustRightInd w:val="0"/>
        <w:snapToGrid w:val="0"/>
        <w:spacing w:beforeLines="0" w:afterLines="0" w:line="560" w:lineRule="exact"/>
        <w:ind w:firstLine="641"/>
        <w:jc w:val="both"/>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b/>
          <w:bCs/>
          <w:color w:val="auto"/>
          <w:kern w:val="2"/>
          <w:sz w:val="32"/>
          <w:szCs w:val="32"/>
          <w:highlight w:val="none"/>
          <w:lang w:val="en-US" w:eastAsia="zh-CN" w:bidi="ar-SA"/>
        </w:rPr>
        <w:t>社康机构服务</w:t>
      </w:r>
      <w:r>
        <w:rPr>
          <w:rFonts w:hint="eastAsia" w:ascii="仿宋_GB2312" w:eastAsia="仿宋_GB2312" w:cs="Times New Roman"/>
          <w:b/>
          <w:bCs/>
          <w:color w:val="auto"/>
          <w:kern w:val="2"/>
          <w:sz w:val="32"/>
          <w:szCs w:val="32"/>
          <w:highlight w:val="none"/>
          <w:lang w:val="en-US" w:eastAsia="zh-CN" w:bidi="ar-SA"/>
        </w:rPr>
        <w:t>质量</w:t>
      </w:r>
      <w:r>
        <w:rPr>
          <w:rFonts w:hint="eastAsia" w:ascii="仿宋_GB2312" w:hAnsi="Times New Roman" w:eastAsia="仿宋_GB2312" w:cs="Times New Roman"/>
          <w:b/>
          <w:bCs/>
          <w:color w:val="auto"/>
          <w:kern w:val="2"/>
          <w:sz w:val="32"/>
          <w:szCs w:val="32"/>
          <w:highlight w:val="none"/>
          <w:lang w:val="en-US" w:eastAsia="zh-CN" w:bidi="ar-SA"/>
        </w:rPr>
        <w:t>不断</w:t>
      </w:r>
      <w:r>
        <w:rPr>
          <w:rFonts w:hint="eastAsia" w:ascii="仿宋_GB2312" w:eastAsia="仿宋_GB2312" w:cs="Times New Roman"/>
          <w:b/>
          <w:bCs/>
          <w:color w:val="auto"/>
          <w:kern w:val="2"/>
          <w:sz w:val="32"/>
          <w:szCs w:val="32"/>
          <w:highlight w:val="none"/>
          <w:lang w:val="en-US" w:eastAsia="zh-CN" w:bidi="ar-SA"/>
        </w:rPr>
        <w:t>提升</w:t>
      </w:r>
      <w:r>
        <w:rPr>
          <w:rFonts w:hint="eastAsia" w:ascii="仿宋_GB2312" w:hAnsi="Times New Roman" w:eastAsia="仿宋_GB2312" w:cs="Times New Roman"/>
          <w:b/>
          <w:bCs/>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t>初步建立起“区域社康中心+社康中心（站）”分级管理模式，社区健康服务升级为市民提供集预防、医疗、保健、康复、健康教育、家庭健康管理等为一体的医疗卫生服务。“十三五”期间，社康机构基本医疗服务吸引力与质量稳步提升，2020年社康机构诊疗量占比达49.66%。基本公共卫生服务体系得到进一步完善，2020年每万常住人口全科医生数达到</w:t>
      </w:r>
      <w:r>
        <w:rPr>
          <w:rFonts w:hint="eastAsia" w:ascii="仿宋_GB2312" w:eastAsia="仿宋_GB2312" w:cs="Times New Roman"/>
          <w:color w:val="auto"/>
          <w:kern w:val="2"/>
          <w:sz w:val="32"/>
          <w:szCs w:val="32"/>
          <w:highlight w:val="none"/>
          <w:lang w:val="en-US" w:eastAsia="zh-CN" w:bidi="ar-SA"/>
        </w:rPr>
        <w:t>4.35</w:t>
      </w:r>
      <w:r>
        <w:rPr>
          <w:rFonts w:hint="eastAsia" w:ascii="仿宋_GB2312" w:hAnsi="Times New Roman" w:eastAsia="仿宋_GB2312" w:cs="Times New Roman"/>
          <w:color w:val="auto"/>
          <w:kern w:val="2"/>
          <w:sz w:val="32"/>
          <w:szCs w:val="32"/>
          <w:highlight w:val="none"/>
          <w:lang w:val="en-US" w:eastAsia="zh-CN" w:bidi="ar-SA"/>
        </w:rPr>
        <w:t>人，人均基本公共卫生服务经费达</w:t>
      </w:r>
      <w:r>
        <w:rPr>
          <w:rFonts w:hint="eastAsia" w:ascii="仿宋_GB2312" w:eastAsia="仿宋_GB2312" w:cs="Times New Roman"/>
          <w:color w:val="auto"/>
          <w:kern w:val="2"/>
          <w:sz w:val="32"/>
          <w:szCs w:val="32"/>
          <w:highlight w:val="none"/>
          <w:lang w:val="en-US" w:eastAsia="zh-CN" w:bidi="ar-SA"/>
        </w:rPr>
        <w:t>134</w:t>
      </w:r>
      <w:r>
        <w:rPr>
          <w:rFonts w:hint="eastAsia" w:ascii="仿宋_GB2312" w:hAnsi="Times New Roman" w:eastAsia="仿宋_GB2312" w:cs="Times New Roman"/>
          <w:color w:val="auto"/>
          <w:kern w:val="2"/>
          <w:sz w:val="32"/>
          <w:szCs w:val="32"/>
          <w:highlight w:val="none"/>
          <w:lang w:val="en-US" w:eastAsia="zh-CN" w:bidi="ar-SA"/>
        </w:rPr>
        <w:t>元，服务</w:t>
      </w:r>
      <w:r>
        <w:rPr>
          <w:rFonts w:hint="eastAsia" w:ascii="仿宋_GB2312" w:eastAsia="仿宋_GB2312" w:cs="Times New Roman"/>
          <w:color w:val="auto"/>
          <w:kern w:val="2"/>
          <w:sz w:val="32"/>
          <w:szCs w:val="32"/>
          <w:highlight w:val="none"/>
          <w:lang w:val="en-US" w:eastAsia="zh-CN" w:bidi="ar-SA"/>
        </w:rPr>
        <w:t>内容</w:t>
      </w:r>
      <w:r>
        <w:rPr>
          <w:rFonts w:hint="eastAsia" w:ascii="仿宋_GB2312" w:hAnsi="Times New Roman" w:eastAsia="仿宋_GB2312" w:cs="Times New Roman"/>
          <w:color w:val="auto"/>
          <w:kern w:val="2"/>
          <w:sz w:val="32"/>
          <w:szCs w:val="32"/>
          <w:highlight w:val="none"/>
          <w:lang w:val="en-US" w:eastAsia="zh-CN" w:bidi="ar-SA"/>
        </w:rPr>
        <w:t>逐步扩大。家庭医生服务工作不断优化，2020年共组建215个家庭医生服务团队，高血压、糖尿病等10类重点人群签约率达63.65%。家庭病床服务扩容提质。制定了《光明新区家庭病床服务方案》等配套文件，累计建立家庭病床4805张。</w:t>
      </w:r>
    </w:p>
    <w:p>
      <w:pPr>
        <w:pStyle w:val="7"/>
        <w:keepNext w:val="0"/>
        <w:keepLines w:val="0"/>
        <w:pageBreakBefore w:val="0"/>
        <w:widowControl w:val="0"/>
        <w:shd w:val="clear"/>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bCs w:val="0"/>
          <w:snapToGrid w:val="0"/>
          <w:color w:val="auto"/>
          <w:kern w:val="0"/>
          <w:sz w:val="32"/>
          <w:szCs w:val="32"/>
          <w:lang w:val="en-US" w:eastAsia="zh-CN" w:bidi="ar-SA"/>
        </w:rPr>
      </w:pPr>
      <w:bookmarkStart w:id="382" w:name="_Toc31282"/>
      <w:bookmarkStart w:id="383" w:name="_Toc9323_WPSOffice_Level3"/>
      <w:bookmarkStart w:id="384" w:name="_Toc25366"/>
      <w:bookmarkStart w:id="385" w:name="_Toc1132"/>
      <w:bookmarkStart w:id="386" w:name="_Toc18614"/>
      <w:bookmarkStart w:id="387" w:name="_Toc8349"/>
      <w:bookmarkStart w:id="388" w:name="_Toc2921"/>
      <w:bookmarkStart w:id="389" w:name="_Toc14078"/>
      <w:bookmarkStart w:id="390" w:name="_Toc13918"/>
      <w:bookmarkStart w:id="391" w:name="_Toc19050"/>
      <w:bookmarkStart w:id="392" w:name="_Toc26907"/>
      <w:bookmarkStart w:id="393" w:name="_Toc15123"/>
      <w:bookmarkStart w:id="394" w:name="_Toc14325"/>
      <w:bookmarkStart w:id="395" w:name="_Toc10574"/>
      <w:bookmarkStart w:id="396" w:name="_Toc2319"/>
      <w:bookmarkStart w:id="397" w:name="_Toc18402"/>
      <w:bookmarkStart w:id="398" w:name="_Toc29302"/>
      <w:bookmarkStart w:id="399" w:name="_Toc21504"/>
      <w:bookmarkStart w:id="400" w:name="_Toc20348_WPSOffice_Level3"/>
      <w:bookmarkStart w:id="401" w:name="_Toc19317"/>
      <w:bookmarkStart w:id="402" w:name="_Toc9039"/>
      <w:bookmarkStart w:id="403" w:name="_Toc12656"/>
      <w:bookmarkStart w:id="404" w:name="_Toc8206"/>
      <w:bookmarkStart w:id="405" w:name="_Toc28600"/>
      <w:bookmarkStart w:id="406" w:name="_Toc4651"/>
      <w:bookmarkStart w:id="407" w:name="_Toc28425"/>
      <w:bookmarkStart w:id="408" w:name="_Toc30877"/>
      <w:bookmarkStart w:id="409" w:name="_Toc6635"/>
      <w:bookmarkStart w:id="410" w:name="_Toc7322"/>
      <w:bookmarkStart w:id="411" w:name="_Toc773727105_WPSOffice_Level3"/>
      <w:bookmarkStart w:id="412" w:name="_Toc124"/>
      <w:bookmarkStart w:id="413" w:name="_Toc13898"/>
      <w:bookmarkStart w:id="414" w:name="_Toc28686"/>
      <w:bookmarkStart w:id="415" w:name="_Toc16098"/>
      <w:bookmarkStart w:id="416" w:name="_Toc31960"/>
      <w:bookmarkStart w:id="417" w:name="_Toc4561"/>
      <w:bookmarkStart w:id="418" w:name="_Toc10189"/>
      <w:bookmarkStart w:id="419" w:name="_Toc22047"/>
      <w:bookmarkStart w:id="420" w:name="_Toc19952"/>
      <w:bookmarkStart w:id="421" w:name="_Toc7159"/>
      <w:bookmarkStart w:id="422" w:name="_Toc20443"/>
      <w:bookmarkStart w:id="423" w:name="_Toc29275"/>
      <w:bookmarkStart w:id="424" w:name="_Toc29264"/>
      <w:bookmarkStart w:id="425" w:name="_Toc26639"/>
      <w:bookmarkStart w:id="426" w:name="_Toc24613"/>
      <w:bookmarkStart w:id="427" w:name="_Toc9736"/>
      <w:bookmarkStart w:id="428" w:name="_Toc6519"/>
      <w:bookmarkStart w:id="429" w:name="_Toc27938"/>
      <w:bookmarkStart w:id="430" w:name="_Toc14179"/>
      <w:bookmarkStart w:id="431" w:name="_Toc26717"/>
      <w:bookmarkStart w:id="432" w:name="_Toc26728"/>
      <w:bookmarkStart w:id="433" w:name="_Toc10047"/>
      <w:bookmarkStart w:id="434" w:name="_Toc31434"/>
      <w:bookmarkStart w:id="435" w:name="_Toc16996"/>
      <w:bookmarkStart w:id="436" w:name="_Toc24806"/>
      <w:bookmarkStart w:id="437" w:name="_Toc15867"/>
      <w:bookmarkStart w:id="438" w:name="_Toc20698"/>
      <w:bookmarkStart w:id="439" w:name="_Toc29832"/>
      <w:bookmarkStart w:id="440" w:name="_Toc16629"/>
      <w:r>
        <w:rPr>
          <w:rFonts w:hint="eastAsia" w:ascii="黑体" w:hAnsi="黑体" w:eastAsia="黑体" w:cs="黑体"/>
          <w:b w:val="0"/>
          <w:bCs w:val="0"/>
          <w:snapToGrid w:val="0"/>
          <w:color w:val="auto"/>
          <w:kern w:val="0"/>
          <w:sz w:val="32"/>
          <w:szCs w:val="32"/>
          <w:lang w:val="en-US" w:eastAsia="zh-CN" w:bidi="ar-SA"/>
        </w:rPr>
        <w:t>五、中医药事业获长足发展</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pStyle w:val="2"/>
        <w:keepNext w:val="0"/>
        <w:keepLines w:val="0"/>
        <w:pageBreakBefore w:val="0"/>
        <w:widowControl w:val="0"/>
        <w:shd w:val="clear"/>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bookmarkStart w:id="441" w:name="_Toc18288"/>
      <w:bookmarkStart w:id="442" w:name="_Toc32491"/>
      <w:bookmarkStart w:id="443" w:name="_Toc6544"/>
      <w:r>
        <w:rPr>
          <w:rFonts w:hint="eastAsia" w:ascii="仿宋_GB2312" w:hAnsi="仿宋_GB2312" w:eastAsia="仿宋_GB2312" w:cs="仿宋_GB2312"/>
          <w:b/>
          <w:bCs/>
          <w:color w:val="auto"/>
          <w:sz w:val="32"/>
          <w:szCs w:val="32"/>
          <w:highlight w:val="none"/>
          <w:lang w:eastAsia="zh-CN"/>
        </w:rPr>
        <w:t>提升中医医疗服务能力</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kern w:val="0"/>
          <w:sz w:val="32"/>
          <w:szCs w:val="32"/>
        </w:rPr>
        <w:t>开展岗位培训和职业技能人员培养，建立健全区中医“治未病”相关技术标准、服务规范和工作制度，</w:t>
      </w:r>
      <w:r>
        <w:rPr>
          <w:rFonts w:hint="eastAsia" w:ascii="仿宋_GB2312" w:hAnsi="仿宋_GB2312" w:eastAsia="仿宋_GB2312" w:cs="仿宋_GB2312"/>
          <w:color w:val="auto"/>
          <w:kern w:val="0"/>
          <w:sz w:val="32"/>
          <w:szCs w:val="32"/>
          <w:shd w:val="clear" w:color="auto" w:fill="FFFFFF"/>
        </w:rPr>
        <w:t>深入实施中医治未病健</w:t>
      </w:r>
      <w:r>
        <w:rPr>
          <w:rFonts w:hint="eastAsia" w:ascii="仿宋_GB2312" w:hAnsi="仿宋_GB2312" w:eastAsia="仿宋_GB2312" w:cs="仿宋_GB2312"/>
          <w:color w:val="auto"/>
          <w:kern w:val="0"/>
          <w:sz w:val="32"/>
          <w:szCs w:val="32"/>
        </w:rPr>
        <w:t>康工程，有效提高区域中医“治未病”项目的服务水平。</w:t>
      </w:r>
      <w:r>
        <w:rPr>
          <w:rFonts w:hint="eastAsia" w:ascii="仿宋_GB2312" w:hAnsi="仿宋_GB2312" w:eastAsia="仿宋_GB2312" w:cs="仿宋_GB2312"/>
          <w:color w:val="auto"/>
          <w:sz w:val="32"/>
          <w:szCs w:val="32"/>
          <w:highlight w:val="none"/>
        </w:rPr>
        <w:t>开展中医师诊疗服务能力提升、中医药适宜技术培训、“</w:t>
      </w:r>
      <w:r>
        <w:rPr>
          <w:rFonts w:hint="eastAsia" w:ascii="仿宋_GB2312" w:hAnsi="仿宋_GB2312" w:eastAsia="仿宋_GB2312" w:cs="仿宋_GB2312"/>
          <w:color w:val="auto"/>
          <w:sz w:val="32"/>
          <w:szCs w:val="32"/>
          <w:highlight w:val="none"/>
          <w:lang w:eastAsia="zh-CN"/>
        </w:rPr>
        <w:t>中医大讲堂</w:t>
      </w:r>
      <w:r>
        <w:rPr>
          <w:rFonts w:hint="eastAsia" w:ascii="仿宋_GB2312" w:hAnsi="仿宋_GB2312" w:eastAsia="仿宋_GB2312" w:cs="仿宋_GB2312"/>
          <w:color w:val="auto"/>
          <w:sz w:val="32"/>
          <w:szCs w:val="32"/>
          <w:highlight w:val="none"/>
        </w:rPr>
        <w:t>”活动、中医执业资质培训等项目，提升学员的中医药技术水平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rPr>
        <w:t>组织首届</w:t>
      </w:r>
      <w:r>
        <w:rPr>
          <w:rFonts w:hint="eastAsia" w:ascii="仿宋_GB2312" w:hAnsi="仿宋_GB2312" w:eastAsia="仿宋_GB2312" w:cs="仿宋_GB2312"/>
          <w:color w:val="auto"/>
          <w:kern w:val="0"/>
          <w:sz w:val="32"/>
          <w:szCs w:val="32"/>
          <w:highlight w:val="none"/>
          <w:lang w:val="en-US" w:eastAsia="zh-CN"/>
        </w:rPr>
        <w:t>区级</w:t>
      </w:r>
      <w:r>
        <w:rPr>
          <w:rFonts w:hint="eastAsia" w:ascii="仿宋_GB2312" w:hAnsi="仿宋_GB2312" w:eastAsia="仿宋_GB2312" w:cs="仿宋_GB2312"/>
          <w:color w:val="auto"/>
          <w:kern w:val="0"/>
          <w:sz w:val="32"/>
          <w:szCs w:val="32"/>
          <w:highlight w:val="none"/>
        </w:rPr>
        <w:t>“名中医”评选，评</w:t>
      </w:r>
      <w:r>
        <w:rPr>
          <w:rFonts w:hint="eastAsia" w:ascii="仿宋_GB2312" w:hAnsi="仿宋_GB2312" w:eastAsia="仿宋_GB2312" w:cs="仿宋_GB2312"/>
          <w:color w:val="auto"/>
          <w:kern w:val="0"/>
          <w:sz w:val="32"/>
          <w:szCs w:val="32"/>
          <w:highlight w:val="none"/>
          <w:lang w:eastAsia="zh-CN"/>
        </w:rPr>
        <w:t>选</w:t>
      </w:r>
      <w:r>
        <w:rPr>
          <w:rFonts w:hint="eastAsia" w:ascii="仿宋_GB2312" w:hAnsi="仿宋_GB2312" w:eastAsia="仿宋_GB2312" w:cs="仿宋_GB2312"/>
          <w:color w:val="auto"/>
          <w:kern w:val="0"/>
          <w:sz w:val="32"/>
          <w:szCs w:val="32"/>
          <w:highlight w:val="none"/>
        </w:rPr>
        <w:t>出“光明区名中医”4 名、“光明区基层名中医”3名</w:t>
      </w:r>
      <w:r>
        <w:rPr>
          <w:rFonts w:hint="eastAsia" w:ascii="仿宋_GB2312" w:hAnsi="仿宋_GB2312" w:eastAsia="仿宋_GB2312" w:cs="仿宋_GB2312"/>
          <w:color w:val="auto"/>
          <w:kern w:val="0"/>
          <w:sz w:val="32"/>
          <w:szCs w:val="32"/>
          <w:highlight w:val="none"/>
          <w:lang w:val="en-US" w:eastAsia="zh-CN" w:bidi="ar-SA"/>
        </w:rPr>
        <w:t>。建立名中医工作室，做好师承带教工作。</w:t>
      </w:r>
    </w:p>
    <w:p>
      <w:pPr>
        <w:keepNext w:val="0"/>
        <w:keepLines w:val="0"/>
        <w:pageBreakBefore w:val="0"/>
        <w:shd w:val="clear"/>
        <w:kinsoku/>
        <w:wordWrap/>
        <w:overflowPunct/>
        <w:topLinePunct w:val="0"/>
        <w:autoSpaceDN/>
        <w:bidi w:val="0"/>
        <w:spacing w:line="560" w:lineRule="exact"/>
        <w:ind w:left="0" w:firstLine="642" w:firstLineChars="200"/>
        <w:jc w:val="both"/>
        <w:textAlignment w:val="auto"/>
        <w:rPr>
          <w:rFonts w:hint="eastAsia" w:ascii="仿宋_GB2312" w:hAnsi="仿宋_GB2312" w:eastAsia="仿宋_GB2312" w:cs="仿宋_GB2312"/>
          <w:b w:val="0"/>
          <w:bCs w:val="0"/>
          <w:color w:val="auto"/>
          <w:kern w:val="2"/>
          <w:sz w:val="32"/>
          <w:szCs w:val="32"/>
          <w:highlight w:val="none"/>
        </w:rPr>
      </w:pPr>
      <w:bookmarkStart w:id="444" w:name="_Toc3254"/>
      <w:bookmarkStart w:id="445" w:name="_Toc5327"/>
      <w:r>
        <w:rPr>
          <w:rFonts w:hint="eastAsia" w:ascii="仿宋_GB2312" w:hAnsi="仿宋_GB2312" w:eastAsia="仿宋_GB2312" w:cs="仿宋_GB2312"/>
          <w:b/>
          <w:bCs/>
          <w:color w:val="auto"/>
          <w:kern w:val="2"/>
          <w:sz w:val="32"/>
          <w:szCs w:val="32"/>
          <w:highlight w:val="none"/>
        </w:rPr>
        <w:t>创建“全国基层中医药</w:t>
      </w:r>
      <w:r>
        <w:rPr>
          <w:rFonts w:hint="eastAsia" w:ascii="仿宋_GB2312" w:hAnsi="仿宋_GB2312" w:eastAsia="仿宋_GB2312" w:cs="仿宋_GB2312"/>
          <w:b/>
          <w:bCs/>
          <w:color w:val="auto"/>
          <w:kern w:val="2"/>
          <w:sz w:val="32"/>
          <w:szCs w:val="32"/>
          <w:highlight w:val="none"/>
          <w:lang w:eastAsia="zh-CN"/>
        </w:rPr>
        <w:t>工作</w:t>
      </w:r>
      <w:r>
        <w:rPr>
          <w:rFonts w:hint="eastAsia" w:ascii="仿宋_GB2312" w:hAnsi="仿宋_GB2312" w:eastAsia="仿宋_GB2312" w:cs="仿宋_GB2312"/>
          <w:b/>
          <w:bCs/>
          <w:color w:val="auto"/>
          <w:kern w:val="2"/>
          <w:sz w:val="32"/>
          <w:szCs w:val="32"/>
          <w:highlight w:val="none"/>
        </w:rPr>
        <w:t>先进单位”</w:t>
      </w:r>
      <w:r>
        <w:rPr>
          <w:rFonts w:hint="eastAsia" w:ascii="仿宋_GB2312" w:hAnsi="仿宋_GB2312" w:eastAsia="仿宋_GB2312" w:cs="仿宋_GB2312"/>
          <w:b/>
          <w:bCs/>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rPr>
        <w:t>2019年顺利</w:t>
      </w:r>
      <w:r>
        <w:rPr>
          <w:rFonts w:hint="eastAsia" w:ascii="仿宋_GB2312" w:hAnsi="仿宋_GB2312" w:eastAsia="仿宋_GB2312" w:cs="仿宋_GB2312"/>
          <w:b w:val="0"/>
          <w:bCs w:val="0"/>
          <w:color w:val="auto"/>
          <w:kern w:val="2"/>
          <w:sz w:val="32"/>
          <w:szCs w:val="32"/>
          <w:highlight w:val="none"/>
          <w:lang w:eastAsia="zh-CN"/>
        </w:rPr>
        <w:t>通过</w:t>
      </w:r>
      <w:r>
        <w:rPr>
          <w:rFonts w:hint="eastAsia" w:ascii="仿宋_GB2312" w:hAnsi="仿宋_GB2312" w:eastAsia="仿宋_GB2312" w:cs="仿宋_GB2312"/>
          <w:b w:val="0"/>
          <w:bCs w:val="0"/>
          <w:color w:val="auto"/>
          <w:kern w:val="2"/>
          <w:sz w:val="32"/>
          <w:szCs w:val="32"/>
          <w:highlight w:val="none"/>
        </w:rPr>
        <w:t>国家中医药管理局“全国基层中医药工作先进单位”复审工作，</w:t>
      </w:r>
      <w:r>
        <w:rPr>
          <w:rFonts w:hint="eastAsia" w:ascii="仿宋_GB2312" w:hAnsi="仿宋_GB2312" w:eastAsia="仿宋_GB2312" w:cs="仿宋_GB2312"/>
          <w:b w:val="0"/>
          <w:bCs w:val="0"/>
          <w:color w:val="auto"/>
          <w:kern w:val="2"/>
          <w:sz w:val="32"/>
          <w:szCs w:val="32"/>
          <w:highlight w:val="none"/>
          <w:lang w:val="en-US" w:eastAsia="zh-CN"/>
        </w:rPr>
        <w:t>实现</w:t>
      </w:r>
      <w:r>
        <w:rPr>
          <w:rFonts w:hint="eastAsia" w:ascii="仿宋_GB2312" w:hAnsi="仿宋_GB2312" w:eastAsia="仿宋_GB2312" w:cs="仿宋_GB2312"/>
          <w:b w:val="0"/>
          <w:bCs w:val="0"/>
          <w:color w:val="auto"/>
          <w:kern w:val="2"/>
          <w:sz w:val="32"/>
          <w:szCs w:val="32"/>
          <w:highlight w:val="none"/>
        </w:rPr>
        <w:t>基层中医药服务网络全覆盖。光明区医疗集团获 2018年“全国基层妇幼保健机构示范中医馆”称号。举办名中医系列讲座，印制《光明区居民健康手册》、中医养生和治未病、中医老年、妇女和儿童保健等宣传折页，大力推进中医药进社区，广泛宣传中医药文化和养生保健知识，弘扬中医药文化，营造发展基层中医药的良好氛围。</w:t>
      </w:r>
      <w:bookmarkEnd w:id="444"/>
      <w:bookmarkEnd w:id="445"/>
    </w:p>
    <w:p>
      <w:pPr>
        <w:pStyle w:val="31"/>
        <w:keepNext w:val="0"/>
        <w:keepLines w:val="0"/>
        <w:pageBreakBefore w:val="0"/>
        <w:widowControl w:val="0"/>
        <w:kinsoku/>
        <w:wordWrap/>
        <w:overflowPunct/>
        <w:topLinePunct w:val="0"/>
        <w:autoSpaceDN/>
        <w:bidi w:val="0"/>
        <w:snapToGrid/>
        <w:spacing w:line="560" w:lineRule="exact"/>
        <w:ind w:firstLine="642"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成立中医药传承发展研究院。</w:t>
      </w:r>
      <w:r>
        <w:rPr>
          <w:rFonts w:hint="eastAsia" w:ascii="仿宋_GB2312" w:hAnsi="仿宋_GB2312" w:eastAsia="仿宋_GB2312" w:cs="仿宋_GB2312"/>
          <w:b w:val="0"/>
          <w:bCs w:val="0"/>
          <w:color w:val="auto"/>
          <w:kern w:val="2"/>
          <w:sz w:val="32"/>
          <w:szCs w:val="32"/>
          <w:highlight w:val="none"/>
          <w:lang w:val="en-US" w:eastAsia="zh-CN" w:bidi="ar-SA"/>
        </w:rPr>
        <w:t>2020年光明区政府批复成立深圳市光明区中医药传承发展研究院，为独立法人资格的二类事业单位，实行“理事会管理+院长负责”模式，保持公益性，主要从事中医药传承、创新体系、中医药标准制定研究等工作，是深圳市唯一中医药传承发展研究院，以科研为基础，以开发经典名方剂和验方为内容，以中医药传承发展创新科研课题为技术支撑平台，建设光明国际中医药港。</w:t>
      </w:r>
    </w:p>
    <w:p>
      <w:pPr>
        <w:pStyle w:val="7"/>
        <w:keepNext w:val="0"/>
        <w:keepLines w:val="0"/>
        <w:pageBreakBefore w:val="0"/>
        <w:widowControl w:val="0"/>
        <w:shd w:val="clear"/>
        <w:kinsoku/>
        <w:wordWrap/>
        <w:overflowPunct/>
        <w:topLinePunct w:val="0"/>
        <w:autoSpaceDN/>
        <w:bidi w:val="0"/>
        <w:snapToGrid/>
        <w:spacing w:before="0" w:after="0" w:line="560" w:lineRule="exact"/>
        <w:ind w:firstLine="640" w:firstLineChars="200"/>
        <w:jc w:val="both"/>
        <w:textAlignment w:val="auto"/>
        <w:rPr>
          <w:rFonts w:hint="eastAsia" w:ascii="黑体" w:hAnsi="黑体" w:eastAsia="黑体" w:cs="黑体"/>
          <w:b w:val="0"/>
          <w:bCs w:val="0"/>
          <w:snapToGrid w:val="0"/>
          <w:color w:val="auto"/>
          <w:kern w:val="0"/>
          <w:sz w:val="32"/>
          <w:szCs w:val="32"/>
          <w:lang w:val="en-US" w:eastAsia="zh-CN" w:bidi="ar-SA"/>
        </w:rPr>
      </w:pPr>
      <w:bookmarkStart w:id="446" w:name="_Toc16771_WPSOffice_Level3"/>
      <w:bookmarkStart w:id="447" w:name="_Toc12052"/>
      <w:bookmarkStart w:id="448" w:name="_Toc13278"/>
      <w:bookmarkStart w:id="449" w:name="_Toc12539"/>
      <w:bookmarkStart w:id="450" w:name="_Toc26673"/>
      <w:bookmarkStart w:id="451" w:name="_Toc4446"/>
      <w:bookmarkStart w:id="452" w:name="_Toc30585"/>
      <w:bookmarkStart w:id="453" w:name="_Toc19451"/>
      <w:bookmarkStart w:id="454" w:name="_Toc23731"/>
      <w:bookmarkStart w:id="455" w:name="_Toc9474_WPSOffice_Level3"/>
      <w:bookmarkStart w:id="456" w:name="_Toc8640"/>
      <w:bookmarkStart w:id="457" w:name="_Toc19805"/>
      <w:bookmarkStart w:id="458" w:name="_Toc11549"/>
      <w:bookmarkStart w:id="459" w:name="_Toc4535"/>
      <w:bookmarkStart w:id="460" w:name="_Toc26986"/>
      <w:bookmarkStart w:id="461" w:name="_Toc15962"/>
      <w:bookmarkStart w:id="462" w:name="_Toc9726"/>
      <w:bookmarkStart w:id="463" w:name="_Toc2108"/>
      <w:bookmarkStart w:id="464" w:name="_Toc7807"/>
      <w:bookmarkStart w:id="465" w:name="_Toc19431"/>
      <w:bookmarkStart w:id="466" w:name="_Toc7869"/>
      <w:bookmarkStart w:id="467" w:name="_Toc6274"/>
      <w:bookmarkStart w:id="468" w:name="_Toc28439"/>
      <w:bookmarkStart w:id="469" w:name="_Toc7607"/>
      <w:bookmarkStart w:id="470" w:name="_Toc1060"/>
      <w:bookmarkStart w:id="471" w:name="_Toc20273"/>
      <w:bookmarkStart w:id="472" w:name="_Toc3014"/>
      <w:bookmarkStart w:id="473" w:name="_Toc7766"/>
      <w:bookmarkStart w:id="474" w:name="_Toc27320"/>
      <w:bookmarkStart w:id="475" w:name="_Toc14230"/>
      <w:bookmarkStart w:id="476" w:name="_Toc2405"/>
      <w:bookmarkStart w:id="477" w:name="_Toc5421"/>
      <w:bookmarkStart w:id="478" w:name="_Toc25796"/>
      <w:bookmarkStart w:id="479" w:name="_Toc10860"/>
      <w:bookmarkStart w:id="480" w:name="_Toc5174"/>
      <w:bookmarkStart w:id="481" w:name="_Toc13007"/>
      <w:bookmarkStart w:id="482" w:name="_Toc30560"/>
      <w:bookmarkStart w:id="483" w:name="_Toc14251"/>
      <w:bookmarkStart w:id="484" w:name="_Toc24075"/>
      <w:bookmarkStart w:id="485" w:name="_Toc17929"/>
      <w:bookmarkStart w:id="486" w:name="_Toc30741"/>
      <w:bookmarkStart w:id="487" w:name="_Toc15255"/>
      <w:bookmarkStart w:id="488" w:name="_Toc11353"/>
      <w:bookmarkStart w:id="489" w:name="_Toc19363"/>
      <w:bookmarkStart w:id="490" w:name="_Toc28153"/>
      <w:bookmarkStart w:id="491" w:name="_Toc28869"/>
      <w:bookmarkStart w:id="492" w:name="_Toc9958"/>
      <w:bookmarkStart w:id="493" w:name="_Toc20018"/>
      <w:bookmarkStart w:id="494" w:name="_Toc25550"/>
      <w:bookmarkStart w:id="495" w:name="_Toc30046"/>
      <w:bookmarkStart w:id="496" w:name="_Toc2302"/>
      <w:bookmarkStart w:id="497" w:name="_Toc19847"/>
      <w:bookmarkStart w:id="498" w:name="_Toc25573"/>
      <w:bookmarkStart w:id="499" w:name="_Toc1203"/>
      <w:bookmarkStart w:id="500" w:name="_Toc24973"/>
      <w:bookmarkStart w:id="501" w:name="_Toc19356"/>
      <w:bookmarkStart w:id="502" w:name="_Toc27085"/>
      <w:bookmarkStart w:id="503" w:name="_Toc13615"/>
      <w:bookmarkStart w:id="504" w:name="_Toc9674"/>
      <w:bookmarkStart w:id="505" w:name="_Toc20084"/>
      <w:bookmarkStart w:id="506" w:name="_Toc29430"/>
      <w:bookmarkStart w:id="507" w:name="_Toc31354"/>
      <w:bookmarkStart w:id="508" w:name="_Toc26176"/>
      <w:bookmarkStart w:id="509" w:name="_Toc32677"/>
      <w:bookmarkStart w:id="510" w:name="_Toc2338"/>
      <w:bookmarkStart w:id="511" w:name="_Toc13109"/>
      <w:bookmarkStart w:id="512" w:name="_Toc410688021_WPSOffice_Level3"/>
      <w:r>
        <w:rPr>
          <w:rFonts w:hint="eastAsia" w:ascii="黑体" w:hAnsi="黑体" w:eastAsia="黑体" w:cs="黑体"/>
          <w:b w:val="0"/>
          <w:bCs w:val="0"/>
          <w:snapToGrid w:val="0"/>
          <w:color w:val="auto"/>
          <w:kern w:val="0"/>
          <w:sz w:val="32"/>
          <w:szCs w:val="32"/>
          <w:lang w:val="en-US" w:eastAsia="zh-CN" w:bidi="ar-SA"/>
        </w:rPr>
        <w:t>六、</w:t>
      </w:r>
      <w:bookmarkEnd w:id="441"/>
      <w:bookmarkEnd w:id="442"/>
      <w:bookmarkEnd w:id="443"/>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Pr>
          <w:rFonts w:hint="eastAsia" w:ascii="黑体" w:hAnsi="黑体" w:eastAsia="黑体" w:cs="黑体"/>
          <w:b w:val="0"/>
          <w:bCs w:val="0"/>
          <w:snapToGrid w:val="0"/>
          <w:color w:val="auto"/>
          <w:kern w:val="0"/>
          <w:sz w:val="32"/>
          <w:szCs w:val="32"/>
          <w:lang w:val="en-US" w:eastAsia="zh-CN" w:bidi="ar-SA"/>
        </w:rPr>
        <w:t>智慧医疗建设步伐加快</w:t>
      </w:r>
      <w:bookmarkEnd w:id="512"/>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jc w:val="both"/>
        <w:textAlignment w:val="auto"/>
        <w:outlineLvl w:val="1"/>
        <w:rPr>
          <w:rFonts w:ascii="仿宋_GB2312" w:hAnsi="仿宋_GB2312" w:eastAsia="仿宋_GB2312" w:cs="仿宋_GB2312"/>
          <w:b/>
          <w:bCs/>
          <w:color w:val="auto"/>
          <w:sz w:val="32"/>
          <w:szCs w:val="32"/>
        </w:rPr>
      </w:pPr>
      <w:bookmarkStart w:id="513" w:name="_Toc22421"/>
      <w:r>
        <w:rPr>
          <w:rFonts w:hint="eastAsia" w:ascii="仿宋_GB2312" w:hAnsi="仿宋_GB2312" w:eastAsia="仿宋_GB2312" w:cs="仿宋_GB2312"/>
          <w:b/>
          <w:bCs/>
          <w:color w:val="auto"/>
          <w:kern w:val="0"/>
          <w:sz w:val="32"/>
          <w:szCs w:val="32"/>
        </w:rPr>
        <w:t>推动区域卫生数据互联互通。</w:t>
      </w:r>
      <w:r>
        <w:rPr>
          <w:rFonts w:hint="eastAsia" w:ascii="仿宋_GB2312" w:hAnsi="仿宋_GB2312" w:eastAsia="仿宋_GB2312" w:cs="仿宋_GB2312"/>
          <w:color w:val="auto"/>
          <w:kern w:val="0"/>
          <w:sz w:val="32"/>
          <w:szCs w:val="32"/>
        </w:rPr>
        <w:t>在实现区属医院数据互联互</w:t>
      </w:r>
      <w:r>
        <w:rPr>
          <w:rFonts w:hint="eastAsia" w:ascii="仿宋_GB2312" w:hAnsi="仿宋_GB2312" w:eastAsia="仿宋_GB2312" w:cs="仿宋_GB2312"/>
          <w:color w:val="auto"/>
          <w:sz w:val="32"/>
          <w:szCs w:val="32"/>
        </w:rPr>
        <w:t>通的基础上，进一步推进区属医院与其所属社康之间信息互联互通，已完成超声、放射、检验和心电等关键信息系统的一体化建设，为社康与医院开展双向转诊提供了信息基础。建立了光明区妇幼保健信息平台，已完成与中国科学院大学深圳医院（光明）的数据对接，推动区域内的妇幼保健服务业务协同。</w:t>
      </w:r>
      <w:bookmarkEnd w:id="513"/>
    </w:p>
    <w:p>
      <w:pPr>
        <w:pStyle w:val="31"/>
        <w:keepNext w:val="0"/>
        <w:keepLines w:val="0"/>
        <w:pageBreakBefore w:val="0"/>
        <w:widowControl w:val="0"/>
        <w:shd w:val="clear"/>
        <w:kinsoku/>
        <w:wordWrap/>
        <w:overflowPunct/>
        <w:topLinePunct w:val="0"/>
        <w:autoSpaceDE w:val="0"/>
        <w:autoSpaceDN/>
        <w:bidi w:val="0"/>
        <w:adjustRightInd/>
        <w:snapToGrid/>
        <w:spacing w:line="560" w:lineRule="exact"/>
        <w:ind w:firstLine="642" w:firstLineChars="200"/>
        <w:jc w:val="both"/>
        <w:textAlignment w:val="auto"/>
        <w:outlineLvl w:val="1"/>
        <w:rPr>
          <w:rFonts w:hint="eastAsia" w:ascii="仿宋_GB2312" w:hAnsi="仿宋_GB2312" w:eastAsia="仿宋_GB2312" w:cs="仿宋_GB2312"/>
          <w:bCs/>
          <w:color w:val="auto"/>
          <w:kern w:val="0"/>
          <w:sz w:val="32"/>
          <w:szCs w:val="32"/>
          <w:highlight w:val="yellow"/>
          <w:lang w:val="en-US" w:eastAsia="zh-CN" w:bidi="ar-SA"/>
        </w:rPr>
      </w:pPr>
      <w:bookmarkStart w:id="514" w:name="_Toc32071"/>
      <w:r>
        <w:rPr>
          <w:rFonts w:hint="eastAsia" w:ascii="仿宋_GB2312" w:hAnsi="仿宋_GB2312" w:eastAsia="仿宋_GB2312" w:cs="仿宋_GB2312"/>
          <w:b/>
          <w:bCs/>
          <w:color w:val="auto"/>
          <w:sz w:val="32"/>
          <w:szCs w:val="32"/>
          <w:highlight w:val="none"/>
        </w:rPr>
        <w:t>持续推进5G和“互联网+”</w:t>
      </w:r>
      <w:r>
        <w:rPr>
          <w:rFonts w:hint="eastAsia" w:ascii="仿宋_GB2312" w:hAnsi="仿宋_GB2312" w:eastAsia="仿宋_GB2312" w:cs="仿宋_GB2312"/>
          <w:b/>
          <w:bCs/>
          <w:color w:val="auto"/>
          <w:sz w:val="32"/>
          <w:szCs w:val="32"/>
          <w:highlight w:val="none"/>
          <w:lang w:eastAsia="zh-CN"/>
        </w:rPr>
        <w:t>医疗</w:t>
      </w:r>
      <w:r>
        <w:rPr>
          <w:rFonts w:hint="eastAsia" w:ascii="仿宋_GB2312" w:hAnsi="仿宋_GB2312" w:eastAsia="仿宋_GB2312" w:cs="仿宋_GB2312"/>
          <w:b/>
          <w:bCs/>
          <w:color w:val="auto"/>
          <w:sz w:val="32"/>
          <w:szCs w:val="32"/>
          <w:highlight w:val="none"/>
        </w:rPr>
        <w:t>便民服务。</w:t>
      </w:r>
      <w:r>
        <w:rPr>
          <w:rFonts w:hint="eastAsia" w:ascii="仿宋_GB2312" w:hAnsi="仿宋_GB2312" w:eastAsia="仿宋_GB2312" w:cs="仿宋_GB2312"/>
          <w:color w:val="auto"/>
          <w:kern w:val="2"/>
          <w:sz w:val="32"/>
          <w:szCs w:val="32"/>
          <w:highlight w:val="none"/>
        </w:rPr>
        <w:t>2020年辖区医疗机构已经实现5G信号的部分覆盖</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bCs w:val="0"/>
          <w:color w:val="auto"/>
          <w:kern w:val="2"/>
          <w:sz w:val="32"/>
          <w:szCs w:val="32"/>
          <w:highlight w:val="none"/>
          <w:lang w:val="en-US" w:eastAsia="zh-CN" w:bidi="ar-SA"/>
        </w:rPr>
        <w:t>辖区医院积极探索互联网医院建设，中国科学院大学深圳医院（光明）于2020年11月获得互联网医院牌照。</w:t>
      </w:r>
      <w:r>
        <w:rPr>
          <w:rFonts w:hint="eastAsia" w:ascii="仿宋_GB2312" w:hAnsi="仿宋_GB2312" w:eastAsia="仿宋_GB2312" w:cs="仿宋_GB2312"/>
          <w:color w:val="auto"/>
          <w:kern w:val="2"/>
          <w:sz w:val="32"/>
          <w:szCs w:val="32"/>
          <w:highlight w:val="none"/>
        </w:rPr>
        <w:t>推进智慧医院建设，积极运用互联网、物联网、有线网络等技术，围绕患者医疗服务需求，进一步完善和优化服务流程，提供预约诊疗、就诊提醒、</w:t>
      </w:r>
      <w:r>
        <w:rPr>
          <w:rFonts w:hint="eastAsia" w:ascii="仿宋_GB2312" w:hAnsi="仿宋_GB2312" w:eastAsia="仿宋_GB2312" w:cs="仿宋_GB2312"/>
          <w:color w:val="auto"/>
          <w:kern w:val="2"/>
          <w:sz w:val="32"/>
          <w:szCs w:val="32"/>
          <w:highlight w:val="none"/>
          <w:lang w:eastAsia="zh-CN"/>
        </w:rPr>
        <w:t>检查</w:t>
      </w:r>
      <w:r>
        <w:rPr>
          <w:rFonts w:hint="eastAsia" w:ascii="仿宋_GB2312" w:hAnsi="仿宋_GB2312" w:eastAsia="仿宋_GB2312" w:cs="仿宋_GB2312"/>
          <w:color w:val="auto"/>
          <w:kern w:val="2"/>
          <w:sz w:val="32"/>
          <w:szCs w:val="32"/>
          <w:highlight w:val="none"/>
        </w:rPr>
        <w:t>查询、院内导航、停车查询等服务，初步建立起“互联网+医疗健康”服务体系。</w:t>
      </w:r>
    </w:p>
    <w:bookmarkEnd w:id="514"/>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2" w:firstLineChars="200"/>
        <w:textAlignment w:val="auto"/>
        <w:outlineLvl w:val="1"/>
        <w:rPr>
          <w:rFonts w:ascii="仿宋_GB2312" w:hAnsi="仿宋_GB2312" w:eastAsia="仿宋_GB2312" w:cs="仿宋_GB2312"/>
          <w:bCs/>
          <w:color w:val="auto"/>
          <w:kern w:val="0"/>
          <w:sz w:val="32"/>
          <w:szCs w:val="32"/>
        </w:rPr>
      </w:pPr>
      <w:bookmarkStart w:id="515" w:name="_Toc19208"/>
      <w:bookmarkStart w:id="516" w:name="_Toc18014"/>
      <w:bookmarkStart w:id="517" w:name="_Toc16298"/>
      <w:bookmarkStart w:id="518" w:name="_Toc4700"/>
      <w:bookmarkStart w:id="519" w:name="_Toc21454"/>
      <w:bookmarkStart w:id="520" w:name="_Toc19261"/>
      <w:bookmarkStart w:id="521" w:name="_Toc13975"/>
      <w:bookmarkStart w:id="522" w:name="_Toc26608"/>
      <w:bookmarkStart w:id="523" w:name="_Toc32051"/>
      <w:bookmarkStart w:id="524" w:name="_Toc1639"/>
      <w:bookmarkStart w:id="525" w:name="_Toc29026"/>
      <w:bookmarkStart w:id="526" w:name="_Toc6426"/>
      <w:bookmarkStart w:id="527" w:name="_Toc6166"/>
      <w:bookmarkStart w:id="528" w:name="_Toc5200"/>
      <w:bookmarkStart w:id="529" w:name="_Toc1964"/>
      <w:bookmarkStart w:id="530" w:name="_Toc360"/>
      <w:bookmarkStart w:id="531" w:name="_Toc29260"/>
      <w:bookmarkStart w:id="532" w:name="_Toc19327"/>
      <w:bookmarkStart w:id="533" w:name="_Toc14410"/>
      <w:bookmarkStart w:id="534" w:name="_Toc19029"/>
      <w:bookmarkStart w:id="535" w:name="_Toc23109"/>
      <w:bookmarkStart w:id="536" w:name="_Toc12848"/>
      <w:bookmarkStart w:id="537" w:name="_Toc31717"/>
      <w:bookmarkStart w:id="538" w:name="_Toc31617"/>
      <w:bookmarkStart w:id="539" w:name="_Toc21074"/>
      <w:bookmarkStart w:id="540" w:name="_Toc15121"/>
      <w:bookmarkStart w:id="541" w:name="_Toc31088"/>
      <w:r>
        <w:rPr>
          <w:rFonts w:hint="eastAsia" w:ascii="仿宋_GB2312" w:hAnsi="仿宋_GB2312" w:eastAsia="仿宋_GB2312" w:cs="仿宋_GB2312"/>
          <w:b/>
          <w:color w:val="auto"/>
          <w:kern w:val="0"/>
          <w:sz w:val="32"/>
          <w:szCs w:val="32"/>
        </w:rPr>
        <w:t>构建“线上+线下”一体化的服务体系。</w:t>
      </w:r>
      <w:r>
        <w:rPr>
          <w:rFonts w:hint="eastAsia" w:ascii="仿宋_GB2312" w:hAnsi="仿宋_GB2312" w:eastAsia="仿宋_GB2312" w:cs="仿宋_GB2312"/>
          <w:bCs/>
          <w:color w:val="auto"/>
          <w:kern w:val="0"/>
          <w:sz w:val="32"/>
          <w:szCs w:val="32"/>
        </w:rPr>
        <w:t>探索建立“线上+线下”一体化的服务体系，通过居民健康卡、银行金融系统与自助服务系统的集成，在医院设置多功能自助服务机，实现现金、银行卡、线上支付等多种渠道的充值缴费以及居民健康卡发放、诊疗卡发放、挂号、预约挂号、查询、检验报告和费用清单打印等自助服务，进一步改善患者就医体验。</w:t>
      </w:r>
      <w:bookmarkEnd w:id="515"/>
    </w:p>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Pr>
        <w:pStyle w:val="7"/>
        <w:keepNext w:val="0"/>
        <w:keepLines w:val="0"/>
        <w:pageBreakBefore w:val="0"/>
        <w:shd w:val="clear"/>
        <w:kinsoku/>
        <w:wordWrap/>
        <w:overflowPunct/>
        <w:topLinePunct w:val="0"/>
        <w:autoSpaceDN/>
        <w:bidi w:val="0"/>
        <w:spacing w:before="0" w:after="0" w:line="560" w:lineRule="exact"/>
        <w:ind w:firstLine="640" w:firstLineChars="200"/>
        <w:textAlignment w:val="auto"/>
        <w:rPr>
          <w:rFonts w:hint="eastAsia" w:ascii="黑体" w:hAnsi="黑体" w:eastAsia="黑体" w:cs="黑体"/>
          <w:b w:val="0"/>
          <w:bCs w:val="0"/>
          <w:snapToGrid w:val="0"/>
          <w:color w:val="auto"/>
          <w:kern w:val="0"/>
          <w:sz w:val="32"/>
          <w:szCs w:val="32"/>
          <w:lang w:val="en-US" w:eastAsia="zh-CN" w:bidi="ar-SA"/>
        </w:rPr>
      </w:pPr>
      <w:bookmarkStart w:id="542" w:name="_Toc251"/>
      <w:bookmarkStart w:id="543" w:name="_Toc12206"/>
      <w:bookmarkStart w:id="544" w:name="_Toc181"/>
      <w:bookmarkStart w:id="545" w:name="_Toc16523"/>
      <w:bookmarkStart w:id="546" w:name="_Toc8970"/>
      <w:bookmarkStart w:id="547" w:name="_Toc8000"/>
      <w:bookmarkStart w:id="548" w:name="_Toc3352"/>
      <w:bookmarkStart w:id="549" w:name="_Toc17253"/>
      <w:bookmarkStart w:id="550" w:name="_Toc2280"/>
      <w:bookmarkStart w:id="551" w:name="_Toc26225"/>
      <w:bookmarkStart w:id="552" w:name="_Toc3363"/>
      <w:bookmarkStart w:id="553" w:name="_Toc32642"/>
      <w:bookmarkStart w:id="554" w:name="_Toc18072"/>
      <w:bookmarkStart w:id="555" w:name="_Toc4078"/>
      <w:bookmarkStart w:id="556" w:name="_Toc4329"/>
      <w:bookmarkStart w:id="557" w:name="_Toc21993"/>
      <w:bookmarkStart w:id="558" w:name="_Toc15088_WPSOffice_Level3"/>
      <w:bookmarkStart w:id="559" w:name="_Toc19962"/>
      <w:bookmarkStart w:id="560" w:name="_Toc3101"/>
      <w:bookmarkStart w:id="561" w:name="_Toc17420"/>
      <w:bookmarkStart w:id="562" w:name="_Toc6495"/>
      <w:bookmarkStart w:id="563" w:name="_Toc11633"/>
      <w:bookmarkStart w:id="564" w:name="_Toc14854"/>
      <w:bookmarkStart w:id="565" w:name="_Toc4857"/>
      <w:bookmarkStart w:id="566" w:name="_Toc28762"/>
      <w:bookmarkStart w:id="567" w:name="_Toc24313"/>
      <w:bookmarkStart w:id="568" w:name="_Toc26561"/>
      <w:bookmarkStart w:id="569" w:name="_Toc9398"/>
      <w:bookmarkStart w:id="570" w:name="_Toc13212"/>
      <w:bookmarkStart w:id="571" w:name="_Toc23811"/>
      <w:bookmarkStart w:id="572" w:name="_Toc12045"/>
      <w:bookmarkStart w:id="573" w:name="_Toc1864"/>
      <w:bookmarkStart w:id="574" w:name="_Toc24594"/>
      <w:bookmarkStart w:id="575" w:name="_Toc22620"/>
      <w:bookmarkStart w:id="576" w:name="_Toc5088"/>
      <w:bookmarkStart w:id="577" w:name="_Toc21262"/>
      <w:bookmarkStart w:id="578" w:name="_Toc18221"/>
      <w:bookmarkStart w:id="579" w:name="_Toc30753"/>
      <w:bookmarkStart w:id="580" w:name="_Toc30907"/>
      <w:bookmarkStart w:id="581" w:name="_Toc16502"/>
      <w:bookmarkStart w:id="582" w:name="_Toc30579"/>
      <w:bookmarkStart w:id="583" w:name="_Toc12667"/>
      <w:bookmarkStart w:id="584" w:name="_Toc31404"/>
      <w:bookmarkStart w:id="585" w:name="_Toc17261"/>
      <w:bookmarkStart w:id="586" w:name="_Toc26085"/>
      <w:bookmarkStart w:id="587" w:name="_Toc2606"/>
      <w:bookmarkStart w:id="588" w:name="_Toc3733"/>
      <w:bookmarkStart w:id="589" w:name="_Toc9965"/>
      <w:bookmarkStart w:id="590" w:name="_Toc16407"/>
      <w:bookmarkStart w:id="591" w:name="_Toc12759"/>
      <w:bookmarkStart w:id="592" w:name="_Toc7470"/>
      <w:bookmarkStart w:id="593" w:name="_Toc17847"/>
      <w:bookmarkStart w:id="594" w:name="_Toc9047"/>
      <w:bookmarkStart w:id="595" w:name="_Toc6620"/>
      <w:bookmarkStart w:id="596" w:name="_Toc26705_WPSOffice_Level3"/>
      <w:bookmarkStart w:id="597" w:name="_Toc444"/>
      <w:bookmarkStart w:id="598" w:name="_Toc3744"/>
      <w:bookmarkStart w:id="599" w:name="_Toc263"/>
      <w:bookmarkStart w:id="600" w:name="_Toc2004703174_WPSOffice_Level3"/>
      <w:r>
        <w:rPr>
          <w:rFonts w:hint="eastAsia" w:ascii="黑体" w:hAnsi="黑体" w:eastAsia="黑体" w:cs="黑体"/>
          <w:b w:val="0"/>
          <w:bCs w:val="0"/>
          <w:snapToGrid w:val="0"/>
          <w:color w:val="auto"/>
          <w:kern w:val="0"/>
          <w:sz w:val="32"/>
          <w:szCs w:val="32"/>
          <w:lang w:val="en-US" w:eastAsia="zh-CN" w:bidi="ar-SA"/>
        </w:rPr>
        <w:t>七、</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Pr>
          <w:rFonts w:hint="eastAsia" w:ascii="黑体" w:hAnsi="黑体" w:eastAsia="黑体" w:cs="黑体"/>
          <w:b w:val="0"/>
          <w:bCs w:val="0"/>
          <w:snapToGrid w:val="0"/>
          <w:color w:val="auto"/>
          <w:kern w:val="0"/>
          <w:sz w:val="32"/>
          <w:szCs w:val="32"/>
          <w:highlight w:val="none"/>
          <w:lang w:val="en-US" w:eastAsia="zh-CN" w:bidi="ar-SA"/>
        </w:rPr>
        <w:t>家庭妇幼体系逐步健全</w:t>
      </w:r>
      <w:bookmarkEnd w:id="600"/>
    </w:p>
    <w:p>
      <w:pPr>
        <w:pStyle w:val="49"/>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Lines="0" w:afterLines="0" w:line="560" w:lineRule="exact"/>
        <w:ind w:firstLine="642" w:firstLineChars="200"/>
        <w:textAlignment w:val="auto"/>
        <w:rPr>
          <w:rFonts w:hint="eastAsia" w:ascii="仿宋" w:hAnsi="仿宋" w:eastAsia="仿宋" w:cs="仿宋"/>
          <w:color w:val="auto"/>
          <w:kern w:val="2"/>
          <w:sz w:val="32"/>
          <w:szCs w:val="32"/>
          <w:highlight w:val="none"/>
          <w:lang w:val="en-US" w:eastAsia="zh-CN" w:bidi="ar-SA"/>
        </w:rPr>
      </w:pPr>
      <w:bookmarkStart w:id="601" w:name="_Toc12752"/>
      <w:bookmarkStart w:id="602" w:name="_Toc5703"/>
      <w:bookmarkStart w:id="603" w:name="_Toc15936"/>
      <w:bookmarkStart w:id="604" w:name="_Toc858"/>
      <w:bookmarkStart w:id="605" w:name="_Toc22045"/>
      <w:bookmarkStart w:id="606" w:name="_Toc10346"/>
      <w:bookmarkStart w:id="607" w:name="_Toc1488"/>
      <w:bookmarkStart w:id="608" w:name="_Toc31575_WPSOffice_Level3"/>
      <w:bookmarkStart w:id="609" w:name="_Toc14924"/>
      <w:bookmarkStart w:id="610" w:name="_Toc18190"/>
      <w:bookmarkStart w:id="611" w:name="_Toc7735"/>
      <w:bookmarkStart w:id="612" w:name="_Toc10371"/>
      <w:bookmarkStart w:id="613" w:name="_Toc24693"/>
      <w:bookmarkStart w:id="614" w:name="_Toc2547"/>
      <w:bookmarkStart w:id="615" w:name="_Toc4398"/>
      <w:bookmarkStart w:id="616" w:name="_Toc24889"/>
      <w:bookmarkStart w:id="617" w:name="_Toc21559"/>
      <w:bookmarkStart w:id="618" w:name="_Toc28515"/>
      <w:bookmarkStart w:id="619" w:name="_Toc13827"/>
      <w:bookmarkStart w:id="620" w:name="_Toc8661"/>
      <w:bookmarkStart w:id="621" w:name="_Toc13374"/>
      <w:bookmarkStart w:id="622" w:name="_Toc14907"/>
      <w:bookmarkStart w:id="623" w:name="_Toc18558"/>
      <w:bookmarkStart w:id="624" w:name="_Toc25075"/>
      <w:bookmarkStart w:id="625" w:name="_Toc15911"/>
      <w:bookmarkStart w:id="626" w:name="_Toc14200"/>
      <w:bookmarkStart w:id="627" w:name="_Toc7443"/>
      <w:bookmarkStart w:id="628" w:name="_Toc7314"/>
      <w:bookmarkStart w:id="629" w:name="_Toc1538"/>
      <w:bookmarkStart w:id="630" w:name="_Toc6979"/>
      <w:bookmarkStart w:id="631" w:name="_Toc26095"/>
      <w:bookmarkStart w:id="632" w:name="_Toc21257"/>
      <w:bookmarkStart w:id="633" w:name="_Toc9239"/>
      <w:bookmarkStart w:id="634" w:name="_Toc28471"/>
      <w:bookmarkStart w:id="635" w:name="_Toc20217"/>
      <w:bookmarkStart w:id="636" w:name="_Toc14918"/>
      <w:bookmarkStart w:id="637" w:name="_Toc10324"/>
      <w:bookmarkStart w:id="638" w:name="_Toc12663"/>
      <w:bookmarkStart w:id="639" w:name="_Toc30183"/>
      <w:bookmarkStart w:id="640" w:name="_Toc17280"/>
      <w:bookmarkStart w:id="641" w:name="_Toc23099"/>
      <w:bookmarkStart w:id="642" w:name="_Toc7026"/>
      <w:bookmarkStart w:id="643" w:name="_Toc12950"/>
      <w:bookmarkStart w:id="644" w:name="_Toc8177"/>
      <w:bookmarkStart w:id="645" w:name="_Toc24640"/>
      <w:bookmarkStart w:id="646" w:name="_Toc11111"/>
      <w:bookmarkStart w:id="647" w:name="_Toc17972"/>
      <w:bookmarkStart w:id="648" w:name="_Toc25135"/>
      <w:bookmarkStart w:id="649" w:name="_Toc23138"/>
      <w:bookmarkStart w:id="650" w:name="_Toc22725"/>
      <w:bookmarkStart w:id="651" w:name="_Toc729"/>
      <w:bookmarkStart w:id="652" w:name="_Toc26475"/>
      <w:bookmarkStart w:id="653" w:name="_Toc24435"/>
      <w:bookmarkStart w:id="654" w:name="_Toc29605"/>
      <w:bookmarkStart w:id="655" w:name="_Toc26312"/>
      <w:bookmarkStart w:id="656" w:name="_Toc26520"/>
      <w:bookmarkStart w:id="657" w:name="_Toc699"/>
      <w:bookmarkStart w:id="658" w:name="_Toc18745"/>
      <w:bookmarkStart w:id="659" w:name="_Toc19094_WPSOffice_Level3"/>
      <w:bookmarkStart w:id="660" w:name="_Toc17529"/>
      <w:bookmarkStart w:id="661" w:name="_Toc17873"/>
      <w:bookmarkStart w:id="662" w:name="_Toc11203"/>
      <w:bookmarkStart w:id="663" w:name="_Toc785"/>
      <w:bookmarkStart w:id="664" w:name="_Toc31681"/>
      <w:bookmarkStart w:id="665" w:name="_Toc9263"/>
      <w:bookmarkStart w:id="666" w:name="_Toc21548"/>
      <w:bookmarkStart w:id="667" w:name="_Toc20091"/>
      <w:bookmarkStart w:id="668" w:name="_Toc32412"/>
      <w:bookmarkStart w:id="669" w:name="_Toc32232"/>
      <w:bookmarkStart w:id="670" w:name="_Toc16788"/>
      <w:bookmarkStart w:id="671" w:name="_Toc26538"/>
      <w:bookmarkStart w:id="672" w:name="_Toc27448"/>
      <w:bookmarkStart w:id="673" w:name="_Toc16055"/>
      <w:bookmarkStart w:id="674" w:name="_Toc26458"/>
      <w:bookmarkStart w:id="675" w:name="_Toc23061"/>
      <w:bookmarkStart w:id="676" w:name="_Toc31418"/>
      <w:bookmarkStart w:id="677" w:name="_Toc5283"/>
      <w:bookmarkStart w:id="678" w:name="_Toc16622"/>
      <w:bookmarkStart w:id="679" w:name="_Toc32346"/>
      <w:bookmarkStart w:id="680" w:name="_Toc7778"/>
      <w:r>
        <w:rPr>
          <w:rFonts w:hint="eastAsia" w:ascii="仿宋_GB2312" w:hAnsi="仿宋_GB2312" w:eastAsia="仿宋_GB2312" w:cs="仿宋_GB2312"/>
          <w:b/>
          <w:bCs/>
          <w:color w:val="auto"/>
          <w:kern w:val="2"/>
          <w:sz w:val="32"/>
          <w:szCs w:val="32"/>
          <w:highlight w:val="none"/>
          <w:lang w:val="en-US" w:eastAsia="zh-CN" w:bidi="ar-SA"/>
        </w:rPr>
        <w:t>妇幼健康工作持续优化提升。</w:t>
      </w:r>
      <w:r>
        <w:rPr>
          <w:rFonts w:hint="eastAsia" w:ascii="仿宋_GB2312" w:hAnsi="仿宋_GB2312" w:eastAsia="仿宋_GB2312" w:cs="仿宋_GB2312"/>
          <w:bCs/>
          <w:color w:val="auto"/>
          <w:kern w:val="0"/>
          <w:sz w:val="32"/>
          <w:szCs w:val="32"/>
          <w:lang w:val="en-US" w:eastAsia="zh-CN" w:bidi="ar-SA"/>
        </w:rPr>
        <w:t>优化妇幼健康资源配置，建立光明区妇幼保健院，着力加强产科、儿科建设，逐步增加妇产科、儿科医护人员和病床数量。大力保障母婴安全，常住人口孕产妇死亡率连续5年为零，婴儿死亡率和5岁以下儿童死亡率控制在极低水平。强化出生缺陷综合防控，孕妇地贫初筛率96.8%，新生儿听力和遗传代谢疾病筛查率达99%以上。实施母婴阻断，孕产妇艾滋病、梅毒和乙肝检测率均为100%。推进妇女保健工作，共开展免费两癌筛查64879人次。普及妇幼公共卫生服务，孕产妇保健覆盖率98.44%，7岁以下儿童保健管理率99.58%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计划生育服务实现转型发展。</w:t>
      </w:r>
      <w:r>
        <w:rPr>
          <w:rFonts w:hint="eastAsia" w:ascii="仿宋_GB2312" w:hAnsi="仿宋_GB2312" w:eastAsia="仿宋_GB2312" w:cs="仿宋_GB2312"/>
          <w:color w:val="auto"/>
          <w:kern w:val="0"/>
          <w:sz w:val="32"/>
          <w:szCs w:val="32"/>
          <w:lang w:val="en-US" w:eastAsia="zh-CN" w:bidi="ar-SA"/>
        </w:rPr>
        <w:t>稳妥实施全面两孩生育政策，提供优质计划生育服务。完善人口动态监测，提高人口数据质量，积极推动人口基础信息部门互联互通和共享。</w:t>
      </w:r>
      <w:r>
        <w:rPr>
          <w:rFonts w:hint="eastAsia" w:ascii="仿宋_GB2312" w:hAnsi="仿宋_GB2312" w:eastAsia="仿宋_GB2312" w:cs="仿宋_GB2312"/>
          <w:b w:val="0"/>
          <w:bCs w:val="0"/>
          <w:color w:val="auto"/>
          <w:sz w:val="32"/>
          <w:szCs w:val="32"/>
          <w:lang w:val="en-US" w:eastAsia="zh-CN"/>
        </w:rPr>
        <w:t>巡查医疗机构和</w:t>
      </w:r>
      <w:r>
        <w:rPr>
          <w:rFonts w:hint="eastAsia" w:ascii="仿宋_GB2312" w:hAnsi="仿宋_GB2312" w:eastAsia="仿宋_GB2312" w:cs="仿宋_GB2312"/>
          <w:color w:val="auto"/>
          <w:sz w:val="32"/>
          <w:szCs w:val="32"/>
          <w:lang w:val="en-US" w:eastAsia="zh-CN"/>
        </w:rPr>
        <w:t>出租屋、药店、养生美容等场所</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开展</w:t>
      </w:r>
      <w:r>
        <w:rPr>
          <w:rFonts w:hint="eastAsia" w:ascii="仿宋_GB2312" w:hAnsi="仿宋_GB2312" w:eastAsia="仿宋_GB2312" w:cs="仿宋_GB2312"/>
          <w:b w:val="0"/>
          <w:bCs w:val="0"/>
          <w:color w:val="auto"/>
          <w:sz w:val="32"/>
          <w:szCs w:val="32"/>
          <w:lang w:val="en-US" w:eastAsia="zh-CN"/>
        </w:rPr>
        <w:t>打击“两非”及非法代孕专项行动</w:t>
      </w:r>
      <w:r>
        <w:rPr>
          <w:rFonts w:hint="eastAsia" w:ascii="仿宋_GB2312" w:hAnsi="仿宋_GB2312" w:eastAsia="仿宋_GB2312" w:cs="仿宋_GB2312"/>
          <w:color w:val="auto"/>
          <w:sz w:val="32"/>
          <w:szCs w:val="32"/>
          <w:lang w:val="en-US" w:eastAsia="zh-CN"/>
        </w:rPr>
        <w:t>。落实计划生育奖扶制度，发放独生子女父母奖励金，推进独生子女家庭和计划生育特殊家庭保险保障计划。</w:t>
      </w:r>
      <w:r>
        <w:rPr>
          <w:rFonts w:hint="eastAsia" w:ascii="仿宋_GB2312" w:hAnsi="仿宋_GB2312" w:eastAsia="仿宋_GB2312" w:cs="仿宋_GB2312"/>
          <w:color w:val="auto"/>
          <w:kern w:val="0"/>
          <w:sz w:val="32"/>
          <w:szCs w:val="32"/>
          <w:lang w:val="en-US" w:eastAsia="zh-CN" w:bidi="ar-SA"/>
        </w:rPr>
        <w:t>出台覆盖生活、就业、医疗、养老、心理等多方面的计生特殊家庭专项扶助方案，落实22项精准帮扶措施，落实双岗联系人制度，畅通绿色就医通道，“苔花通”爱心卡发放覆盖率100%，家庭医生签约率100%。</w:t>
      </w:r>
    </w:p>
    <w:p>
      <w:pPr>
        <w:pStyle w:val="2"/>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家庭发展服务内涵不断延伸。</w:t>
      </w:r>
      <w:r>
        <w:rPr>
          <w:rFonts w:hint="eastAsia" w:ascii="仿宋_GB2312" w:hAnsi="仿宋_GB2312" w:eastAsia="仿宋_GB2312" w:cs="仿宋_GB2312"/>
          <w:color w:val="auto"/>
          <w:kern w:val="2"/>
          <w:sz w:val="32"/>
          <w:szCs w:val="32"/>
          <w:lang w:val="en-US" w:eastAsia="zh-CN" w:bidi="ar-SA"/>
        </w:rPr>
        <w:t>制定光明区促进3岁以下婴幼儿照护服务发展实施方案（2020—2025年），提出主要任务，建立联席会议制度，推进区级普惠性托育服务示范点建设，推动托育机构完善登记备案，落实卫生评估要求。依托社区家庭发展服务中心、社区党群服务中心等平台，通过亲子活动、家长课堂等多种方式，广泛普及儿童早期发展科学育儿知识，提高家庭科学育儿能力。加强健康监测和服务干预，强化青少年性与生殖健康知识教育，促进儿童和青少年健康全面发展。</w:t>
      </w:r>
    </w:p>
    <w:p>
      <w:pPr>
        <w:pStyle w:val="7"/>
        <w:keepNext w:val="0"/>
        <w:keepLines w:val="0"/>
        <w:pageBreakBefore w:val="0"/>
        <w:shd w:val="clear"/>
        <w:kinsoku/>
        <w:wordWrap/>
        <w:overflowPunct/>
        <w:topLinePunct w:val="0"/>
        <w:autoSpaceDN/>
        <w:bidi w:val="0"/>
        <w:spacing w:before="0" w:after="0" w:line="560" w:lineRule="exact"/>
        <w:ind w:firstLine="640" w:firstLineChars="200"/>
        <w:textAlignment w:val="auto"/>
        <w:rPr>
          <w:rFonts w:hint="eastAsia" w:ascii="黑体" w:hAnsi="黑体" w:eastAsia="黑体" w:cs="黑体"/>
          <w:b w:val="0"/>
          <w:bCs w:val="0"/>
          <w:snapToGrid w:val="0"/>
          <w:color w:val="auto"/>
          <w:kern w:val="0"/>
          <w:sz w:val="32"/>
          <w:szCs w:val="32"/>
          <w:lang w:val="en-US" w:eastAsia="zh-CN" w:bidi="ar-SA"/>
        </w:rPr>
      </w:pPr>
      <w:bookmarkStart w:id="681" w:name="_Toc1797005352_WPSOffice_Level3"/>
      <w:r>
        <w:rPr>
          <w:rFonts w:hint="eastAsia" w:ascii="黑体" w:hAnsi="黑体" w:eastAsia="黑体" w:cs="黑体"/>
          <w:b w:val="0"/>
          <w:bCs w:val="0"/>
          <w:snapToGrid w:val="0"/>
          <w:color w:val="auto"/>
          <w:kern w:val="0"/>
          <w:sz w:val="32"/>
          <w:szCs w:val="32"/>
          <w:lang w:val="en-US" w:eastAsia="zh-CN" w:bidi="ar-SA"/>
        </w:rPr>
        <w:t>八、依法行政效能稳步增强</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pPr>
        <w:pStyle w:val="32"/>
        <w:spacing w:line="560" w:lineRule="exact"/>
        <w:ind w:firstLine="642" w:firstLineChars="200"/>
        <w:outlineLvl w:val="1"/>
        <w:rPr>
          <w:rFonts w:ascii="仿宋_GB2312" w:hAnsi="仿宋_GB2312" w:eastAsia="仿宋_GB2312" w:cs="仿宋_GB2312"/>
          <w:color w:val="auto"/>
          <w:sz w:val="32"/>
          <w:szCs w:val="32"/>
          <w:highlight w:val="none"/>
        </w:rPr>
      </w:pPr>
      <w:bookmarkStart w:id="682" w:name="_Toc23819"/>
      <w:bookmarkStart w:id="683" w:name="_Toc23732"/>
      <w:bookmarkStart w:id="684" w:name="_Toc31940"/>
      <w:bookmarkStart w:id="685" w:name="_Toc23089"/>
      <w:bookmarkStart w:id="686" w:name="_Toc7880"/>
      <w:bookmarkStart w:id="687" w:name="_Toc12028"/>
      <w:bookmarkStart w:id="688" w:name="_Toc30179"/>
      <w:bookmarkStart w:id="689" w:name="_Toc6522"/>
      <w:bookmarkStart w:id="690" w:name="_Toc2612"/>
      <w:bookmarkStart w:id="691" w:name="_Toc31571"/>
      <w:bookmarkStart w:id="692" w:name="_Toc23102"/>
      <w:bookmarkStart w:id="693" w:name="_Toc31071"/>
      <w:bookmarkStart w:id="694" w:name="_Toc22864"/>
      <w:bookmarkStart w:id="695" w:name="_Toc20847"/>
      <w:bookmarkStart w:id="696" w:name="_Toc26422"/>
      <w:bookmarkStart w:id="697" w:name="_Toc20484"/>
      <w:bookmarkStart w:id="698" w:name="_Toc1475"/>
      <w:bookmarkStart w:id="699" w:name="_Toc17869"/>
      <w:bookmarkStart w:id="700" w:name="_Toc18668"/>
      <w:bookmarkStart w:id="701" w:name="_Toc28994"/>
      <w:bookmarkStart w:id="702" w:name="_Toc1846"/>
      <w:bookmarkStart w:id="703" w:name="_Toc15754"/>
      <w:bookmarkStart w:id="704" w:name="_Toc15245"/>
      <w:bookmarkStart w:id="705" w:name="_Toc12908"/>
      <w:bookmarkStart w:id="706" w:name="_Toc2834"/>
      <w:bookmarkStart w:id="707" w:name="_Toc4598"/>
      <w:bookmarkStart w:id="708" w:name="_Toc17829"/>
      <w:bookmarkStart w:id="709" w:name="_Toc2726"/>
      <w:bookmarkStart w:id="710" w:name="_Toc31421"/>
      <w:bookmarkStart w:id="711" w:name="_Toc25250"/>
      <w:bookmarkStart w:id="712" w:name="_Toc32598"/>
      <w:bookmarkStart w:id="713" w:name="_Toc14164"/>
      <w:bookmarkStart w:id="714" w:name="_Toc2270"/>
      <w:bookmarkStart w:id="715" w:name="_Toc9747"/>
      <w:bookmarkStart w:id="716" w:name="_Toc23442"/>
      <w:bookmarkStart w:id="717" w:name="_Toc25283"/>
      <w:bookmarkStart w:id="718" w:name="_Toc10689"/>
      <w:bookmarkStart w:id="719" w:name="_Toc20133"/>
      <w:bookmarkStart w:id="720" w:name="_Toc23577"/>
      <w:bookmarkStart w:id="721" w:name="_Toc17278"/>
      <w:bookmarkStart w:id="722" w:name="_Toc3046"/>
      <w:bookmarkStart w:id="723" w:name="_Toc7563"/>
      <w:bookmarkStart w:id="724" w:name="_Toc7385"/>
      <w:bookmarkStart w:id="725" w:name="_Toc642"/>
      <w:bookmarkStart w:id="726" w:name="_Toc10711"/>
      <w:bookmarkStart w:id="727" w:name="_Toc13953"/>
      <w:bookmarkStart w:id="728" w:name="_Toc2637"/>
      <w:bookmarkStart w:id="729" w:name="_Toc18826"/>
      <w:bookmarkStart w:id="730" w:name="_Toc2763"/>
      <w:bookmarkStart w:id="731" w:name="_Toc7827"/>
      <w:bookmarkStart w:id="732" w:name="_Toc17764"/>
      <w:bookmarkStart w:id="733" w:name="_Toc157"/>
      <w:bookmarkStart w:id="734" w:name="_Toc24193"/>
      <w:bookmarkStart w:id="735" w:name="_Toc8480"/>
      <w:bookmarkStart w:id="736" w:name="_Toc26996"/>
      <w:bookmarkStart w:id="737" w:name="_Toc5977"/>
      <w:bookmarkStart w:id="738" w:name="_Toc17346"/>
      <w:bookmarkStart w:id="739" w:name="_Toc16902"/>
      <w:bookmarkStart w:id="740" w:name="_Toc23158"/>
      <w:bookmarkStart w:id="741" w:name="_Toc29210"/>
      <w:bookmarkStart w:id="742" w:name="_Toc23417"/>
      <w:bookmarkStart w:id="743" w:name="_Toc30211"/>
      <w:bookmarkStart w:id="744" w:name="_Toc739"/>
      <w:bookmarkStart w:id="745" w:name="_Toc12499"/>
      <w:bookmarkStart w:id="746" w:name="_Toc2273"/>
      <w:bookmarkStart w:id="747" w:name="_Toc8150"/>
      <w:bookmarkStart w:id="748" w:name="_Toc618"/>
      <w:bookmarkStart w:id="749" w:name="_Toc23431"/>
      <w:bookmarkStart w:id="750" w:name="_Toc1735"/>
      <w:r>
        <w:rPr>
          <w:rFonts w:hint="eastAsia" w:ascii="仿宋_GB2312" w:eastAsia="仿宋_GB2312"/>
          <w:b/>
          <w:bCs/>
          <w:color w:val="auto"/>
          <w:kern w:val="2"/>
          <w:sz w:val="32"/>
          <w:szCs w:val="32"/>
          <w:highlight w:val="none"/>
        </w:rPr>
        <w:t>健全多渠道监管体系。</w:t>
      </w:r>
      <w:r>
        <w:rPr>
          <w:rFonts w:hint="eastAsia" w:ascii="仿宋_GB2312" w:eastAsia="仿宋_GB2312"/>
          <w:color w:val="auto"/>
          <w:kern w:val="2"/>
          <w:sz w:val="32"/>
          <w:szCs w:val="32"/>
          <w:highlight w:val="none"/>
        </w:rPr>
        <w:t>深化卫生健康领域“放管服”改革，全面落实权责清单制度。行业标准化、规范化等全行业监管</w:t>
      </w:r>
      <w:r>
        <w:rPr>
          <w:rFonts w:hint="eastAsia" w:ascii="仿宋_GB2312" w:hAnsi="仿宋_GB2312" w:eastAsia="仿宋_GB2312" w:cs="仿宋_GB2312"/>
          <w:color w:val="auto"/>
          <w:sz w:val="32"/>
          <w:szCs w:val="32"/>
          <w:highlight w:val="none"/>
        </w:rPr>
        <w:t>职能逐步完善。社会组织参与卫生健康事业建设进一步提高。政府部门、行业部门、社会团体、机构场所之间相互的监督渠道逐步打开。结合光明区医疗卫生行业监管需求，打造“诊所服务监管一体化平台”</w:t>
      </w:r>
      <w:r>
        <w:rPr>
          <w:rFonts w:hint="eastAsia" w:ascii="仿宋_GB2312" w:eastAsia="仿宋_GB2312"/>
          <w:color w:val="auto"/>
          <w:kern w:val="2"/>
          <w:sz w:val="32"/>
          <w:szCs w:val="32"/>
          <w:highlight w:val="none"/>
          <w:lang w:eastAsia="zh-CN"/>
        </w:rPr>
        <w:t>，</w:t>
      </w:r>
      <w:r>
        <w:rPr>
          <w:rFonts w:hint="eastAsia" w:ascii="仿宋_GB2312" w:hAnsi="仿宋_GB2312" w:eastAsia="仿宋_GB2312" w:cs="仿宋_GB2312"/>
          <w:color w:val="auto"/>
          <w:sz w:val="32"/>
          <w:szCs w:val="32"/>
          <w:highlight w:val="none"/>
        </w:rPr>
        <w:t>现有</w:t>
      </w:r>
      <w:r>
        <w:rPr>
          <w:rFonts w:hint="eastAsia" w:ascii="仿宋_GB2312" w:hAnsi="仿宋_GB2312" w:eastAsia="仿宋_GB2312" w:cs="仿宋_GB2312"/>
          <w:color w:val="auto"/>
          <w:sz w:val="32"/>
          <w:szCs w:val="32"/>
          <w:highlight w:val="none"/>
          <w:lang w:val="en-US" w:eastAsia="zh-CN"/>
        </w:rPr>
        <w:t>229</w:t>
      </w:r>
      <w:r>
        <w:rPr>
          <w:rFonts w:hint="eastAsia" w:ascii="仿宋_GB2312" w:hAnsi="仿宋_GB2312" w:eastAsia="仿宋_GB2312" w:cs="仿宋_GB2312"/>
          <w:color w:val="auto"/>
          <w:sz w:val="32"/>
          <w:szCs w:val="32"/>
          <w:highlight w:val="none"/>
        </w:rPr>
        <w:t>间医疗机构已建设信息系统，并接入监管平台</w:t>
      </w:r>
      <w:r>
        <w:rPr>
          <w:rFonts w:hint="eastAsia" w:ascii="仿宋_GB2312" w:eastAsia="仿宋_GB2312"/>
          <w:color w:val="auto"/>
          <w:kern w:val="2"/>
          <w:sz w:val="32"/>
          <w:szCs w:val="32"/>
          <w:highlight w:val="none"/>
        </w:rPr>
        <w:t>。</w:t>
      </w:r>
      <w:r>
        <w:rPr>
          <w:rFonts w:hint="eastAsia" w:ascii="仿宋_GB2312" w:hAnsi="仿宋_GB2312" w:eastAsia="仿宋_GB2312" w:cs="仿宋_GB2312"/>
          <w:color w:val="auto"/>
          <w:sz w:val="32"/>
          <w:szCs w:val="32"/>
          <w:highlight w:val="none"/>
        </w:rPr>
        <w:t>严厉打击非法行医、非法采供血、“两非”违法行为等违法行为，并利用举报奖励制度，提高公众参与监督的积极性。2</w:t>
      </w:r>
      <w:r>
        <w:rPr>
          <w:rFonts w:ascii="仿宋_GB2312" w:hAnsi="仿宋_GB2312" w:eastAsia="仿宋_GB2312" w:cs="仿宋_GB2312"/>
          <w:color w:val="auto"/>
          <w:sz w:val="32"/>
          <w:szCs w:val="32"/>
          <w:highlight w:val="none"/>
        </w:rPr>
        <w:t>016</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年，公开行政处罚数据</w:t>
      </w:r>
      <w:r>
        <w:rPr>
          <w:rFonts w:hint="eastAsia" w:ascii="仿宋_GB2312" w:hAnsi="仿宋_GB2312" w:eastAsia="仿宋_GB2312" w:cs="仿宋_GB2312"/>
          <w:color w:val="auto"/>
          <w:sz w:val="32"/>
          <w:szCs w:val="32"/>
          <w:highlight w:val="none"/>
          <w:lang w:val="en-US" w:eastAsia="zh-CN"/>
        </w:rPr>
        <w:t>671</w:t>
      </w:r>
      <w:r>
        <w:rPr>
          <w:rFonts w:hint="eastAsia" w:ascii="仿宋_GB2312" w:hAnsi="仿宋_GB2312" w:eastAsia="仿宋_GB2312" w:cs="仿宋_GB2312"/>
          <w:color w:val="auto"/>
          <w:sz w:val="32"/>
          <w:szCs w:val="32"/>
          <w:highlight w:val="none"/>
        </w:rPr>
        <w:t>条。继续严格执行《信息公开条例》和政务、院务公开制度，将执法监督信息进行公开，接受社会监督，扩大市民群众知情权、监督权。</w:t>
      </w:r>
      <w:bookmarkEnd w:id="682"/>
    </w:p>
    <w:p>
      <w:pPr>
        <w:pStyle w:val="32"/>
        <w:spacing w:line="560" w:lineRule="exact"/>
        <w:ind w:firstLine="642" w:firstLineChars="200"/>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拓宽多形式的法治格局。</w:t>
      </w:r>
      <w:r>
        <w:rPr>
          <w:rFonts w:hint="eastAsia" w:ascii="仿宋_GB2312" w:hAnsi="仿宋_GB2312" w:eastAsia="仿宋_GB2312" w:cs="仿宋_GB2312"/>
          <w:color w:val="auto"/>
          <w:sz w:val="32"/>
          <w:szCs w:val="32"/>
          <w:highlight w:val="none"/>
        </w:rPr>
        <w:t>严格执行各项法律法规，加强卫生监督综合执法，与医保部门、市场监督部门实现互联互通。2</w:t>
      </w:r>
      <w:r>
        <w:rPr>
          <w:rFonts w:ascii="仿宋_GB2312" w:hAnsi="仿宋_GB2312" w:eastAsia="仿宋_GB2312" w:cs="仿宋_GB2312"/>
          <w:color w:val="auto"/>
          <w:sz w:val="32"/>
          <w:szCs w:val="32"/>
          <w:highlight w:val="none"/>
        </w:rPr>
        <w:t>016</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年，开展双随机监督</w:t>
      </w:r>
      <w:r>
        <w:rPr>
          <w:rFonts w:hint="eastAsia" w:ascii="仿宋_GB2312" w:hAnsi="仿宋_GB2312" w:eastAsia="仿宋_GB2312" w:cs="仿宋_GB2312"/>
          <w:color w:val="auto"/>
          <w:sz w:val="32"/>
          <w:szCs w:val="32"/>
          <w:highlight w:val="none"/>
          <w:lang w:val="en-US" w:eastAsia="zh-CN"/>
        </w:rPr>
        <w:t>1016</w:t>
      </w:r>
      <w:r>
        <w:rPr>
          <w:rFonts w:hint="eastAsia" w:ascii="仿宋_GB2312" w:hAnsi="仿宋_GB2312" w:eastAsia="仿宋_GB2312" w:cs="仿宋_GB2312"/>
          <w:color w:val="auto"/>
          <w:sz w:val="32"/>
          <w:szCs w:val="32"/>
          <w:highlight w:val="none"/>
        </w:rPr>
        <w:t>间次。进一步落实卫生监督“双随机、一公开”制度和执法全过程记录工作模式。2</w:t>
      </w:r>
      <w:r>
        <w:rPr>
          <w:rFonts w:ascii="仿宋_GB2312" w:hAnsi="仿宋_GB2312" w:eastAsia="仿宋_GB2312" w:cs="仿宋_GB2312"/>
          <w:color w:val="auto"/>
          <w:sz w:val="32"/>
          <w:szCs w:val="32"/>
          <w:highlight w:val="none"/>
        </w:rPr>
        <w:t>016</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年，查处非法行医案件</w:t>
      </w:r>
      <w:r>
        <w:rPr>
          <w:rFonts w:hint="eastAsia" w:ascii="仿宋_GB2312" w:hAnsi="仿宋_GB2312" w:eastAsia="仿宋_GB2312" w:cs="仿宋_GB2312"/>
          <w:color w:val="auto"/>
          <w:sz w:val="32"/>
          <w:szCs w:val="32"/>
          <w:highlight w:val="none"/>
          <w:lang w:val="en-US" w:eastAsia="zh-CN"/>
        </w:rPr>
        <w:t>104</w:t>
      </w:r>
      <w:r>
        <w:rPr>
          <w:rFonts w:hint="eastAsia" w:ascii="仿宋_GB2312" w:hAnsi="仿宋_GB2312" w:eastAsia="仿宋_GB2312" w:cs="仿宋_GB2312"/>
          <w:color w:val="auto"/>
          <w:sz w:val="32"/>
          <w:szCs w:val="32"/>
          <w:highlight w:val="none"/>
        </w:rPr>
        <w:t>宗，传统非法行医违法行为逐年减少，2</w:t>
      </w:r>
      <w:r>
        <w:rPr>
          <w:rFonts w:ascii="仿宋_GB2312" w:hAnsi="仿宋_GB2312" w:eastAsia="仿宋_GB2312" w:cs="仿宋_GB2312"/>
          <w:color w:val="auto"/>
          <w:sz w:val="32"/>
          <w:szCs w:val="32"/>
          <w:highlight w:val="none"/>
        </w:rPr>
        <w:t>020</w:t>
      </w:r>
      <w:r>
        <w:rPr>
          <w:rFonts w:hint="eastAsia" w:ascii="仿宋_GB2312" w:hAnsi="仿宋_GB2312" w:eastAsia="仿宋_GB2312" w:cs="仿宋_GB2312"/>
          <w:color w:val="auto"/>
          <w:sz w:val="32"/>
          <w:szCs w:val="32"/>
          <w:highlight w:val="none"/>
        </w:rPr>
        <w:t>年查处的黑诊所案件</w:t>
      </w:r>
      <w:r>
        <w:rPr>
          <w:rFonts w:hint="eastAsia" w:ascii="仿宋_GB2312" w:hAnsi="仿宋_GB2312" w:eastAsia="仿宋_GB2312" w:cs="仿宋_GB2312"/>
          <w:color w:val="auto"/>
          <w:sz w:val="32"/>
          <w:szCs w:val="32"/>
          <w:highlight w:val="none"/>
          <w:lang w:eastAsia="zh-CN"/>
        </w:rPr>
        <w:t>同比</w:t>
      </w:r>
      <w:r>
        <w:rPr>
          <w:rFonts w:hint="eastAsia" w:ascii="仿宋_GB2312" w:hAnsi="仿宋_GB2312" w:eastAsia="仿宋_GB2312" w:cs="仿宋_GB2312"/>
          <w:color w:val="auto"/>
          <w:sz w:val="32"/>
          <w:szCs w:val="32"/>
          <w:highlight w:val="none"/>
        </w:rPr>
        <w:t>减少</w:t>
      </w:r>
      <w:r>
        <w:rPr>
          <w:rFonts w:hint="eastAsia" w:ascii="仿宋_GB2312" w:hAnsi="仿宋_GB2312" w:eastAsia="仿宋_GB2312" w:cs="仿宋_GB2312"/>
          <w:color w:val="auto"/>
          <w:sz w:val="32"/>
          <w:szCs w:val="32"/>
          <w:highlight w:val="none"/>
          <w:lang w:val="en-US" w:eastAsia="zh-CN"/>
        </w:rPr>
        <w:t>52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，对非法行医继续保持高压打击力度</w:t>
      </w:r>
      <w:r>
        <w:rPr>
          <w:rFonts w:hint="eastAsia" w:ascii="仿宋_GB2312" w:hAnsi="仿宋_GB2312" w:eastAsia="仿宋_GB2312" w:cs="仿宋_GB2312"/>
          <w:color w:val="auto"/>
          <w:sz w:val="32"/>
          <w:szCs w:val="32"/>
          <w:highlight w:val="none"/>
        </w:rPr>
        <w:t>。进一步加强非法行医、违法医疗广告等重点领域典型案件查处，利用“以案释法”等方式加大媒体宣传和违法违规行为曝光力度，向市民群众普及卫生法律知识，树立卫生监督执法权威。</w:t>
      </w:r>
      <w:bookmarkEnd w:id="683"/>
    </w:p>
    <w:p>
      <w:pPr>
        <w:pStyle w:val="31"/>
        <w:spacing w:line="560" w:lineRule="exact"/>
        <w:ind w:firstLine="642" w:firstLineChars="200"/>
        <w:jc w:val="both"/>
        <w:outlineLvl w:val="1"/>
        <w:rPr>
          <w:rFonts w:ascii="等线" w:hAnsi="等线" w:eastAsia="等线" w:cs="等线"/>
          <w:color w:val="auto"/>
          <w:highlight w:val="none"/>
        </w:rPr>
      </w:pPr>
      <w:bookmarkStart w:id="751" w:name="_Toc11980"/>
      <w:r>
        <w:rPr>
          <w:rFonts w:hint="eastAsia" w:ascii="仿宋_GB2312" w:hAnsi="仿宋_GB2312" w:eastAsia="仿宋_GB2312" w:cs="仿宋_GB2312"/>
          <w:b/>
          <w:color w:val="auto"/>
          <w:kern w:val="2"/>
          <w:sz w:val="32"/>
          <w:szCs w:val="32"/>
          <w:highlight w:val="none"/>
        </w:rPr>
        <w:t>持续开展扫黑除恶工作。</w:t>
      </w:r>
      <w:r>
        <w:rPr>
          <w:rFonts w:hint="eastAsia" w:ascii="仿宋_GB2312" w:hAnsi="仿宋_GB2312" w:eastAsia="仿宋_GB2312" w:cs="仿宋_GB2312"/>
          <w:color w:val="auto"/>
          <w:sz w:val="32"/>
          <w:szCs w:val="32"/>
          <w:highlight w:val="none"/>
        </w:rPr>
        <w:t>通过2</w:t>
      </w:r>
      <w:r>
        <w:rPr>
          <w:rFonts w:ascii="仿宋_GB2312" w:hAnsi="仿宋_GB2312" w:eastAsia="仿宋_GB2312" w:cs="仿宋_GB2312"/>
          <w:color w:val="auto"/>
          <w:sz w:val="32"/>
          <w:szCs w:val="32"/>
          <w:highlight w:val="none"/>
        </w:rPr>
        <w:t>018</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年扫黑除恶三年专项整治，辖区涉“莆田系”机构</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间均被扫除。落实医疗机构监管长效机制，预防涉黑涉恶违法犯罪工作机</w:t>
      </w:r>
      <w:r>
        <w:rPr>
          <w:rFonts w:hint="eastAsia" w:ascii="仿宋_GB2312" w:hAnsi="仿宋_GB2312" w:eastAsia="仿宋_GB2312" w:cs="仿宋_GB2312"/>
          <w:color w:val="auto"/>
          <w:kern w:val="2"/>
          <w:sz w:val="32"/>
          <w:szCs w:val="32"/>
          <w:highlight w:val="none"/>
        </w:rPr>
        <w:t>制更加健全。严厉打击违法行为，整顿医疗行业秩序，对妇科、男科</w:t>
      </w:r>
      <w:r>
        <w:rPr>
          <w:rFonts w:ascii="仿宋_GB2312" w:hAnsi="仿宋_GB2312" w:eastAsia="仿宋_GB2312" w:cs="仿宋_GB2312"/>
          <w:color w:val="auto"/>
          <w:sz w:val="32"/>
          <w:szCs w:val="32"/>
          <w:highlight w:val="none"/>
        </w:rPr>
        <w:t>（泌尿外科）等领域进行重点排查，对“莆田系”医疗机构进行拉网式排查，对群众投诉集中的医疗机构进行追踪调查，发现涉及医疗欺诈、强迫医疗，术中加价等线索及时移送区扫黑除恶办。</w:t>
      </w:r>
      <w:r>
        <w:rPr>
          <w:rFonts w:hint="eastAsia" w:ascii="仿宋_GB2312" w:hAnsi="仿宋_GB2312" w:eastAsia="仿宋_GB2312" w:cs="仿宋_GB2312"/>
          <w:color w:val="auto"/>
          <w:kern w:val="2"/>
          <w:sz w:val="32"/>
          <w:szCs w:val="32"/>
          <w:highlight w:val="none"/>
        </w:rPr>
        <w:t>加强准入管理，对涉恶医疗机构吊销或注销《医疗机构执业许可证》实行“黑名单”机制，</w:t>
      </w:r>
      <w:r>
        <w:rPr>
          <w:rFonts w:hint="eastAsia" w:ascii="仿宋_GB2312" w:hAnsi="仿宋_GB2312" w:eastAsia="仿宋_GB2312" w:cs="仿宋_GB2312"/>
          <w:color w:val="auto"/>
          <w:sz w:val="32"/>
          <w:szCs w:val="32"/>
          <w:highlight w:val="none"/>
        </w:rPr>
        <w:t>严禁涉恶医疗机构改头换面，“换个马甲”继续经营。深入开展扫黑除恶宣传发动，营造风清气正的氛围。</w:t>
      </w:r>
      <w:bookmarkEnd w:id="751"/>
    </w:p>
    <w:p>
      <w:pPr>
        <w:pStyle w:val="6"/>
        <w:keepNext w:val="0"/>
        <w:keepLines w:val="0"/>
        <w:pageBreakBefore w:val="0"/>
        <w:shd w:val="clear"/>
        <w:kinsoku/>
        <w:wordWrap/>
        <w:overflowPunct/>
        <w:topLinePunct w:val="0"/>
        <w:autoSpaceDN/>
        <w:bidi w:val="0"/>
        <w:snapToGrid w:val="0"/>
        <w:spacing w:before="0" w:after="0" w:line="560" w:lineRule="exact"/>
        <w:ind w:firstLine="200" w:firstLineChars="0"/>
        <w:jc w:val="center"/>
        <w:textAlignment w:val="auto"/>
        <w:rPr>
          <w:rFonts w:hint="eastAsia" w:ascii="黑体" w:hAnsi="黑体" w:eastAsia="黑体" w:cs="黑体"/>
          <w:b w:val="0"/>
          <w:bCs w:val="0"/>
          <w:color w:val="auto"/>
          <w:kern w:val="2"/>
          <w:sz w:val="32"/>
          <w:szCs w:val="32"/>
          <w:lang w:val="en-US" w:eastAsia="zh-CN" w:bidi="ar-SA"/>
        </w:rPr>
      </w:pPr>
    </w:p>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Pr>
        <w:pStyle w:val="6"/>
        <w:keepNext w:val="0"/>
        <w:keepLines w:val="0"/>
        <w:snapToGrid w:val="0"/>
        <w:spacing w:before="0" w:after="0" w:line="560" w:lineRule="exact"/>
        <w:ind w:firstLine="200"/>
        <w:jc w:val="center"/>
        <w:rPr>
          <w:rFonts w:ascii="黑体" w:hAnsi="黑体" w:eastAsia="黑体" w:cs="黑体"/>
          <w:b w:val="0"/>
          <w:bCs w:val="0"/>
          <w:color w:val="auto"/>
        </w:rPr>
      </w:pPr>
      <w:bookmarkStart w:id="752" w:name="_Toc149719036_WPSOffice_Level2"/>
      <w:r>
        <w:rPr>
          <w:rFonts w:hint="eastAsia" w:ascii="黑体" w:hAnsi="黑体" w:eastAsia="黑体" w:cs="黑体"/>
          <w:b w:val="0"/>
          <w:bCs w:val="0"/>
          <w:color w:val="auto"/>
        </w:rPr>
        <w:t>第二节 面临的挑战和机遇</w:t>
      </w:r>
      <w:bookmarkEnd w:id="752"/>
    </w:p>
    <w:p>
      <w:pPr>
        <w:pStyle w:val="31"/>
        <w:spacing w:line="560" w:lineRule="exact"/>
        <w:ind w:firstLine="640" w:firstLineChars="200"/>
        <w:jc w:val="both"/>
        <w:outlineLvl w:val="1"/>
        <w:rPr>
          <w:rFonts w:ascii="仿宋_GB2312" w:eastAsia="仿宋_GB2312" w:cstheme="minorBidi"/>
          <w:color w:val="auto"/>
          <w:kern w:val="2"/>
          <w:sz w:val="32"/>
          <w:szCs w:val="32"/>
        </w:rPr>
      </w:pPr>
      <w:bookmarkStart w:id="753" w:name="_Toc25583"/>
      <w:r>
        <w:rPr>
          <w:rFonts w:hint="eastAsia" w:ascii="仿宋_GB2312" w:hAnsi="仿宋_GB2312" w:eastAsia="仿宋_GB2312" w:cs="仿宋_GB2312"/>
          <w:color w:val="auto"/>
          <w:sz w:val="32"/>
          <w:szCs w:val="32"/>
        </w:rPr>
        <w:t>“十四五”时期，国家全面开启现代化强国建设新征程，深圳市进入建设中国特色社会主义先行示范区、粤港澳大湾区</w:t>
      </w:r>
      <w:r>
        <w:rPr>
          <w:rFonts w:hint="eastAsia" w:ascii="仿宋_GB2312" w:hAnsi="仿宋_GB2312" w:eastAsia="仿宋_GB2312" w:cs="仿宋_GB2312"/>
          <w:color w:val="auto"/>
          <w:sz w:val="32"/>
          <w:szCs w:val="32"/>
          <w:shd w:val="clear" w:color="auto" w:fill="FFFFFF"/>
        </w:rPr>
        <w:t>攻坚期，打造健康中国“深圳样本”重要时期，光明建设医疗卫生高地进入关键时期</w:t>
      </w:r>
      <w:r>
        <w:rPr>
          <w:rFonts w:hint="eastAsia" w:ascii="仿宋_GB2312" w:eastAsia="仿宋_GB2312" w:cstheme="minorBidi"/>
          <w:color w:val="auto"/>
          <w:kern w:val="2"/>
          <w:sz w:val="32"/>
          <w:szCs w:val="32"/>
        </w:rPr>
        <w:t>。</w:t>
      </w:r>
      <w:bookmarkEnd w:id="753"/>
    </w:p>
    <w:p>
      <w:pPr>
        <w:pStyle w:val="7"/>
        <w:keepNext w:val="0"/>
        <w:keepLines w:val="0"/>
        <w:spacing w:before="0" w:after="0" w:line="560" w:lineRule="exact"/>
        <w:ind w:firstLine="640" w:firstLineChars="200"/>
        <w:rPr>
          <w:rFonts w:ascii="黑体" w:hAnsi="黑体" w:eastAsia="黑体" w:cs="黑体"/>
          <w:bCs w:val="0"/>
          <w:snapToGrid w:val="0"/>
          <w:color w:val="auto"/>
          <w:kern w:val="0"/>
          <w:sz w:val="32"/>
          <w:highlight w:val="none"/>
        </w:rPr>
      </w:pPr>
      <w:bookmarkStart w:id="754" w:name="_Toc26337_WPSOffice_Level3"/>
      <w:bookmarkStart w:id="755" w:name="_Toc157368804_WPSOffice_Level3"/>
      <w:bookmarkStart w:id="756" w:name="_Toc17934"/>
      <w:bookmarkStart w:id="757" w:name="_Toc10376_WPSOffice_Level3"/>
      <w:bookmarkStart w:id="758" w:name="_Toc6620_WPSOffice_Level3"/>
      <w:r>
        <w:rPr>
          <w:rFonts w:hint="eastAsia" w:ascii="黑体" w:hAnsi="黑体" w:eastAsia="黑体" w:cs="黑体"/>
          <w:bCs w:val="0"/>
          <w:snapToGrid w:val="0"/>
          <w:color w:val="auto"/>
          <w:kern w:val="0"/>
          <w:sz w:val="32"/>
          <w:highlight w:val="none"/>
        </w:rPr>
        <w:t>一、面临的挑战</w:t>
      </w:r>
      <w:bookmarkEnd w:id="754"/>
      <w:bookmarkEnd w:id="755"/>
      <w:bookmarkEnd w:id="756"/>
      <w:bookmarkEnd w:id="757"/>
      <w:bookmarkEnd w:id="758"/>
    </w:p>
    <w:p>
      <w:pPr>
        <w:spacing w:line="560" w:lineRule="exact"/>
        <w:ind w:firstLine="642" w:firstLineChars="200"/>
        <w:outlineLvl w:val="1"/>
        <w:rPr>
          <w:rFonts w:hint="eastAsia" w:ascii="仿宋_GB2312" w:eastAsia="仿宋_GB2312" w:cs="Times New Roman"/>
          <w:color w:val="auto"/>
          <w:sz w:val="32"/>
          <w:szCs w:val="32"/>
          <w:highlight w:val="none"/>
          <w:lang w:val="en-US" w:eastAsia="zh-CN"/>
        </w:rPr>
      </w:pPr>
      <w:bookmarkStart w:id="759" w:name="_Toc30359"/>
      <w:bookmarkStart w:id="760" w:name="_Toc28190"/>
      <w:bookmarkStart w:id="761" w:name="_Toc28983"/>
      <w:bookmarkStart w:id="762" w:name="_Toc1420"/>
      <w:bookmarkStart w:id="763" w:name="_Toc29500"/>
      <w:bookmarkStart w:id="764" w:name="_Toc11066"/>
      <w:bookmarkStart w:id="765" w:name="_Toc7772"/>
      <w:bookmarkStart w:id="766" w:name="_Toc30879"/>
      <w:bookmarkStart w:id="767" w:name="_Toc24850"/>
      <w:bookmarkStart w:id="768" w:name="_Toc12888"/>
      <w:bookmarkStart w:id="769" w:name="_Toc16758"/>
      <w:bookmarkStart w:id="770" w:name="_Toc18359"/>
      <w:bookmarkStart w:id="771" w:name="_Toc24058"/>
      <w:bookmarkStart w:id="772" w:name="_Toc17829_WPSOffice_Level3"/>
      <w:bookmarkStart w:id="773" w:name="_Toc16602"/>
      <w:bookmarkStart w:id="774" w:name="_Toc19874"/>
      <w:bookmarkStart w:id="775" w:name="_Toc10373"/>
      <w:bookmarkStart w:id="776" w:name="_Toc2669"/>
      <w:bookmarkStart w:id="777" w:name="_Toc13702"/>
      <w:bookmarkStart w:id="778" w:name="_Toc5250"/>
      <w:bookmarkStart w:id="779" w:name="_Toc5123"/>
      <w:bookmarkStart w:id="780" w:name="_Toc13961"/>
      <w:bookmarkStart w:id="781" w:name="_Toc3982"/>
      <w:bookmarkStart w:id="782" w:name="_Toc27562"/>
      <w:bookmarkStart w:id="783" w:name="_Toc13210"/>
      <w:bookmarkStart w:id="784" w:name="_Toc23150"/>
      <w:bookmarkStart w:id="785" w:name="_Toc802"/>
      <w:bookmarkStart w:id="786" w:name="_Toc21910"/>
      <w:bookmarkStart w:id="787" w:name="_Toc14537"/>
      <w:bookmarkStart w:id="788" w:name="_Toc3421"/>
      <w:bookmarkStart w:id="789" w:name="_Toc19664"/>
      <w:bookmarkStart w:id="790" w:name="_Toc4214"/>
      <w:bookmarkStart w:id="791" w:name="_Toc26684"/>
      <w:bookmarkStart w:id="792" w:name="_Toc18137"/>
      <w:bookmarkStart w:id="793" w:name="_Toc6469"/>
      <w:bookmarkStart w:id="794" w:name="_Toc26898"/>
      <w:bookmarkStart w:id="795" w:name="_Toc15402"/>
      <w:bookmarkStart w:id="796" w:name="_Toc15237"/>
      <w:bookmarkStart w:id="797" w:name="_Toc5465"/>
      <w:bookmarkStart w:id="798" w:name="_Toc17533"/>
      <w:bookmarkStart w:id="799" w:name="_Toc13661"/>
      <w:bookmarkStart w:id="800" w:name="_Toc27731"/>
      <w:bookmarkStart w:id="801" w:name="_Toc23922"/>
      <w:bookmarkStart w:id="802" w:name="_Toc30403"/>
      <w:bookmarkStart w:id="803" w:name="_Toc10397"/>
      <w:bookmarkStart w:id="804" w:name="_Toc6178_WPSOffice_Level3"/>
      <w:bookmarkStart w:id="805" w:name="_Toc16068"/>
      <w:bookmarkStart w:id="806" w:name="_Toc29130"/>
      <w:bookmarkStart w:id="807" w:name="_Toc9331_WPSOffice_Level3"/>
      <w:bookmarkStart w:id="808" w:name="_Toc20899"/>
      <w:bookmarkStart w:id="809" w:name="_Toc2039"/>
      <w:bookmarkStart w:id="810" w:name="_Toc7720"/>
      <w:bookmarkStart w:id="811" w:name="_Toc5711"/>
      <w:r>
        <w:rPr>
          <w:rFonts w:hint="eastAsia" w:ascii="仿宋_GB2312" w:eastAsia="仿宋_GB2312" w:cstheme="minorBidi"/>
          <w:b/>
          <w:bCs/>
          <w:color w:val="auto"/>
          <w:sz w:val="32"/>
          <w:szCs w:val="32"/>
          <w:highlight w:val="none"/>
          <w:lang w:eastAsia="zh-CN"/>
        </w:rPr>
        <w:t>“</w:t>
      </w:r>
      <w:r>
        <w:rPr>
          <w:rFonts w:hint="eastAsia" w:ascii="仿宋_GB2312" w:eastAsia="仿宋_GB2312" w:cstheme="minorBidi"/>
          <w:b/>
          <w:bCs/>
          <w:color w:val="auto"/>
          <w:sz w:val="32"/>
          <w:szCs w:val="32"/>
          <w:highlight w:val="none"/>
        </w:rPr>
        <w:t>健康光明</w:t>
      </w:r>
      <w:r>
        <w:rPr>
          <w:rFonts w:hint="eastAsia" w:ascii="仿宋_GB2312" w:eastAsia="仿宋_GB2312" w:cstheme="minorBidi"/>
          <w:b/>
          <w:bCs/>
          <w:color w:val="auto"/>
          <w:sz w:val="32"/>
          <w:szCs w:val="32"/>
          <w:highlight w:val="none"/>
          <w:lang w:eastAsia="zh-CN"/>
        </w:rPr>
        <w:t>”建设存在短板</w:t>
      </w:r>
      <w:r>
        <w:rPr>
          <w:rFonts w:hint="eastAsia" w:ascii="仿宋_GB2312" w:eastAsia="仿宋_GB2312" w:cstheme="minorBidi"/>
          <w:b/>
          <w:bCs/>
          <w:color w:val="auto"/>
          <w:sz w:val="32"/>
          <w:szCs w:val="32"/>
          <w:highlight w:val="none"/>
        </w:rPr>
        <w:t>。</w:t>
      </w:r>
      <w:r>
        <w:rPr>
          <w:rFonts w:hint="eastAsia" w:ascii="仿宋_GB2312" w:eastAsia="仿宋_GB2312" w:cstheme="minorBidi"/>
          <w:color w:val="auto"/>
          <w:sz w:val="32"/>
          <w:szCs w:val="32"/>
          <w:highlight w:val="none"/>
        </w:rPr>
        <w:t>健康光明建设的社会动员、部门协同联动和评价机制尚不健全，“把健康融入所有政策”未</w:t>
      </w:r>
      <w:r>
        <w:rPr>
          <w:rFonts w:hint="eastAsia" w:ascii="仿宋_GB2312" w:hAnsi="仿宋" w:eastAsia="仿宋_GB2312" w:cs="仿宋_GB2312"/>
          <w:color w:val="auto"/>
          <w:sz w:val="32"/>
          <w:szCs w:val="32"/>
          <w:highlight w:val="none"/>
        </w:rPr>
        <w:t>能有效实施</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对健康领域各项事业发展缺乏整体理念指导，各业务线融合程度不够</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rPr>
        <w:t>在创建“健康细胞工程</w:t>
      </w:r>
      <w:r>
        <w:rPr>
          <w:rFonts w:hint="eastAsia" w:ascii="仿宋_GB2312" w:eastAsia="仿宋_GB2312" w:cstheme="minorBidi"/>
          <w:color w:val="auto"/>
          <w:sz w:val="32"/>
          <w:szCs w:val="32"/>
          <w:highlight w:val="none"/>
        </w:rPr>
        <w:t>”中，推进健康社区较</w:t>
      </w:r>
      <w:r>
        <w:rPr>
          <w:rFonts w:hint="eastAsia" w:ascii="仿宋_GB2312" w:eastAsia="仿宋_GB2312" w:cstheme="minorBidi"/>
          <w:color w:val="auto"/>
          <w:sz w:val="32"/>
          <w:szCs w:val="32"/>
          <w:highlight w:val="none"/>
          <w:lang w:eastAsia="zh-CN"/>
        </w:rPr>
        <w:t>为</w:t>
      </w:r>
      <w:r>
        <w:rPr>
          <w:rFonts w:hint="eastAsia" w:ascii="仿宋_GB2312" w:eastAsia="仿宋_GB2312" w:cstheme="minorBidi"/>
          <w:color w:val="auto"/>
          <w:sz w:val="32"/>
          <w:szCs w:val="32"/>
          <w:highlight w:val="none"/>
        </w:rPr>
        <w:t>缓慢</w:t>
      </w:r>
      <w:r>
        <w:rPr>
          <w:rFonts w:hint="eastAsia" w:ascii="仿宋_GB2312" w:eastAsia="仿宋_GB2312" w:cstheme="minorBidi"/>
          <w:color w:val="auto"/>
          <w:sz w:val="32"/>
          <w:szCs w:val="32"/>
          <w:highlight w:val="none"/>
          <w:lang w:eastAsia="zh-CN"/>
        </w:rPr>
        <w:t>，</w:t>
      </w:r>
      <w:r>
        <w:rPr>
          <w:rFonts w:hint="eastAsia" w:ascii="仿宋_GB2312" w:eastAsia="仿宋_GB2312" w:cs="Times New Roman"/>
          <w:color w:val="auto"/>
          <w:sz w:val="32"/>
          <w:szCs w:val="32"/>
          <w:highlight w:val="none"/>
          <w:lang w:val="en-US" w:eastAsia="zh-CN"/>
        </w:rPr>
        <w:t>2020年光明区健康社区创建比例仅为22.60%</w:t>
      </w:r>
      <w:r>
        <w:rPr>
          <w:rFonts w:hint="eastAsia" w:ascii="仿宋_GB2312" w:eastAsia="仿宋_GB2312" w:cstheme="minorBidi"/>
          <w:color w:val="auto"/>
          <w:sz w:val="32"/>
          <w:szCs w:val="32"/>
          <w:highlight w:val="none"/>
          <w:lang w:eastAsia="zh-CN"/>
        </w:rPr>
        <w:t>。</w:t>
      </w:r>
      <w:r>
        <w:rPr>
          <w:rFonts w:hint="eastAsia" w:ascii="仿宋_GB2312" w:eastAsia="仿宋_GB2312" w:cstheme="minorBidi"/>
          <w:color w:val="auto"/>
          <w:sz w:val="32"/>
          <w:szCs w:val="32"/>
          <w:highlight w:val="none"/>
        </w:rPr>
        <w:t>健康知识宣传广度和深度不够，居民群众仍存在“重医轻防”观念，对健康教育重视程度不足</w:t>
      </w:r>
      <w:r>
        <w:rPr>
          <w:rFonts w:hint="eastAsia" w:ascii="仿宋_GB2312" w:eastAsia="仿宋_GB2312" w:cstheme="minorBidi"/>
          <w:color w:val="auto"/>
          <w:sz w:val="32"/>
          <w:szCs w:val="32"/>
          <w:highlight w:val="none"/>
          <w:lang w:eastAsia="zh-CN"/>
        </w:rPr>
        <w:t>，</w:t>
      </w:r>
      <w:r>
        <w:rPr>
          <w:rFonts w:hint="eastAsia" w:ascii="仿宋_GB2312" w:eastAsia="仿宋_GB2312" w:cs="Times New Roman"/>
          <w:color w:val="auto"/>
          <w:sz w:val="32"/>
          <w:szCs w:val="32"/>
          <w:highlight w:val="none"/>
          <w:lang w:val="en-US" w:eastAsia="zh-CN"/>
        </w:rPr>
        <w:t>2020年我区居民健康素养中健康行为指标仅为53.53%，慢性病防治指标为52.55%，仍需进一步提升。</w:t>
      </w:r>
      <w:bookmarkEnd w:id="759"/>
    </w:p>
    <w:p>
      <w:pPr>
        <w:spacing w:line="560" w:lineRule="exact"/>
        <w:ind w:firstLine="642" w:firstLineChars="200"/>
        <w:outlineLvl w:val="1"/>
        <w:rPr>
          <w:rFonts w:ascii="仿宋_GB2312" w:hAnsi="仿宋" w:eastAsia="仿宋_GB2312" w:cs="仿宋_GB2312"/>
          <w:color w:val="auto"/>
          <w:sz w:val="32"/>
          <w:szCs w:val="32"/>
          <w:highlight w:val="none"/>
        </w:rPr>
      </w:pPr>
      <w:bookmarkStart w:id="812" w:name="_Toc3385"/>
      <w:r>
        <w:rPr>
          <w:rFonts w:hint="eastAsia" w:ascii="仿宋_GB2312" w:hAnsi="仿宋" w:eastAsia="仿宋_GB2312" w:cs="仿宋_GB2312"/>
          <w:b/>
          <w:bCs/>
          <w:color w:val="auto"/>
          <w:sz w:val="32"/>
          <w:szCs w:val="32"/>
          <w:highlight w:val="none"/>
        </w:rPr>
        <w:t>公共卫生</w:t>
      </w:r>
      <w:r>
        <w:rPr>
          <w:rFonts w:hint="eastAsia" w:ascii="仿宋_GB2312" w:hAnsi="仿宋" w:eastAsia="仿宋_GB2312" w:cs="仿宋_GB2312"/>
          <w:b/>
          <w:bCs/>
          <w:color w:val="auto"/>
          <w:sz w:val="32"/>
          <w:szCs w:val="32"/>
          <w:highlight w:val="none"/>
          <w:lang w:eastAsia="zh-CN"/>
        </w:rPr>
        <w:t>服务</w:t>
      </w:r>
      <w:r>
        <w:rPr>
          <w:rFonts w:hint="eastAsia" w:ascii="仿宋_GB2312" w:hAnsi="仿宋" w:eastAsia="仿宋_GB2312" w:cs="仿宋_GB2312"/>
          <w:b/>
          <w:bCs/>
          <w:color w:val="auto"/>
          <w:sz w:val="32"/>
          <w:szCs w:val="32"/>
          <w:highlight w:val="none"/>
        </w:rPr>
        <w:t>体系</w:t>
      </w:r>
      <w:r>
        <w:rPr>
          <w:rFonts w:hint="eastAsia" w:ascii="仿宋_GB2312" w:hAnsi="仿宋" w:eastAsia="仿宋_GB2312" w:cs="仿宋_GB2312"/>
          <w:b/>
          <w:bCs/>
          <w:color w:val="auto"/>
          <w:sz w:val="32"/>
          <w:szCs w:val="32"/>
          <w:highlight w:val="none"/>
          <w:lang w:eastAsia="zh-CN"/>
        </w:rPr>
        <w:t>与发展需求不匹配</w:t>
      </w:r>
      <w:r>
        <w:rPr>
          <w:rFonts w:hint="eastAsia" w:ascii="仿宋_GB2312" w:hAnsi="仿宋" w:eastAsia="仿宋_GB2312" w:cs="仿宋_GB2312"/>
          <w:b/>
          <w:bCs/>
          <w:color w:val="auto"/>
          <w:sz w:val="32"/>
          <w:szCs w:val="32"/>
          <w:highlight w:val="none"/>
        </w:rPr>
        <w:t>。</w:t>
      </w:r>
      <w:r>
        <w:rPr>
          <w:rFonts w:hint="eastAsia" w:ascii="仿宋_GB2312" w:hAnsi="仿宋" w:eastAsia="仿宋_GB2312" w:cs="仿宋_GB2312"/>
          <w:color w:val="auto"/>
          <w:sz w:val="32"/>
          <w:szCs w:val="32"/>
          <w:highlight w:val="none"/>
        </w:rPr>
        <w:t>突发公共卫生应急管理体系不够完善，早期监测预警能力有待提高，新冠肺炎疫情出现后，暴露出各部门之间的分工合作、联合行动、物资调配、应急队伍组建等方面运转不畅问题，公共卫生机构和医疗机构协同联合机制也有待建立，需重点完善疾病预防控制体系和重大疫情防控体系。</w:t>
      </w:r>
      <w:r>
        <w:rPr>
          <w:rFonts w:hint="eastAsia" w:ascii="仿宋_GB2312" w:eastAsia="仿宋_GB2312"/>
          <w:color w:val="auto"/>
          <w:sz w:val="32"/>
          <w:szCs w:val="32"/>
          <w:highlight w:val="none"/>
        </w:rPr>
        <w:t>公卫资源配置存在较大缺口，每</w:t>
      </w:r>
      <w:r>
        <w:rPr>
          <w:rFonts w:hint="eastAsia" w:ascii="仿宋_GB2312" w:eastAsia="仿宋_GB2312"/>
          <w:color w:val="auto"/>
          <w:sz w:val="32"/>
          <w:szCs w:val="32"/>
          <w:highlight w:val="none"/>
          <w:lang w:eastAsia="zh-CN"/>
        </w:rPr>
        <w:t>万</w:t>
      </w:r>
      <w:r>
        <w:rPr>
          <w:rFonts w:hint="eastAsia" w:ascii="仿宋_GB2312" w:eastAsia="仿宋_GB2312"/>
          <w:color w:val="auto"/>
          <w:sz w:val="32"/>
          <w:szCs w:val="32"/>
          <w:highlight w:val="none"/>
        </w:rPr>
        <w:t>常住人口公卫人员数仅为</w:t>
      </w:r>
      <w:r>
        <w:rPr>
          <w:rFonts w:hint="eastAsia" w:ascii="仿宋_GB2312" w:eastAsia="仿宋_GB2312"/>
          <w:color w:val="auto"/>
          <w:sz w:val="32"/>
          <w:szCs w:val="32"/>
          <w:highlight w:val="none"/>
          <w:lang w:val="en-US" w:eastAsia="zh-CN"/>
        </w:rPr>
        <w:t>1.01</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w:t>
      </w:r>
      <w:r>
        <w:rPr>
          <w:rFonts w:hint="eastAsia" w:ascii="仿宋_GB2312" w:hAnsi="仿宋" w:eastAsia="仿宋_GB2312" w:cs="仿宋_GB2312"/>
          <w:color w:val="auto"/>
          <w:sz w:val="32"/>
          <w:szCs w:val="32"/>
          <w:highlight w:val="none"/>
        </w:rPr>
        <w:t>公共卫生队伍应急力量薄弱、人才缺乏</w:t>
      </w:r>
      <w:r>
        <w:rPr>
          <w:rFonts w:hint="eastAsia" w:ascii="仿宋_GB2312" w:hAnsi="仿宋" w:eastAsia="仿宋_GB2312" w:cs="仿宋_GB2312"/>
          <w:color w:val="auto"/>
          <w:sz w:val="32"/>
          <w:szCs w:val="32"/>
          <w:highlight w:val="none"/>
          <w:lang w:eastAsia="zh-CN"/>
        </w:rPr>
        <w:t>，</w:t>
      </w:r>
      <w:r>
        <w:rPr>
          <w:rFonts w:hint="eastAsia" w:ascii="仿宋_GB2312" w:hAnsi="Times New Roman" w:eastAsia="仿宋_GB2312" w:cs="Times New Roman"/>
          <w:color w:val="auto"/>
          <w:sz w:val="32"/>
          <w:szCs w:val="32"/>
          <w:highlight w:val="none"/>
        </w:rPr>
        <w:t>且人员流动性大，学科、科研等方面基础较为薄弱</w:t>
      </w:r>
      <w:r>
        <w:rPr>
          <w:rFonts w:hint="eastAsia" w:ascii="仿宋_GB2312" w:eastAsia="仿宋_GB2312"/>
          <w:color w:val="auto"/>
          <w:sz w:val="32"/>
          <w:szCs w:val="32"/>
          <w:highlight w:val="none"/>
          <w:lang w:eastAsia="zh-CN"/>
        </w:rPr>
        <w:t>。</w:t>
      </w:r>
      <w:bookmarkEnd w:id="812"/>
    </w:p>
    <w:p>
      <w:pPr>
        <w:adjustRightInd w:val="0"/>
        <w:snapToGrid w:val="0"/>
        <w:spacing w:line="560" w:lineRule="exact"/>
        <w:ind w:firstLine="642" w:firstLineChars="200"/>
        <w:outlineLvl w:val="1"/>
        <w:rPr>
          <w:rFonts w:hint="eastAsia" w:ascii="仿宋_GB2312" w:hAnsi="仿宋" w:eastAsia="仿宋_GB2312" w:cs="仿宋_GB2312"/>
          <w:color w:val="auto"/>
          <w:sz w:val="32"/>
          <w:szCs w:val="32"/>
          <w:highlight w:val="none"/>
        </w:rPr>
      </w:pPr>
      <w:bookmarkStart w:id="813" w:name="_Toc2510"/>
      <w:r>
        <w:rPr>
          <w:rFonts w:hint="eastAsia" w:ascii="仿宋_GB2312" w:hAnsi="仿宋" w:eastAsia="仿宋_GB2312" w:cs="仿宋_GB2312"/>
          <w:b/>
          <w:bCs/>
          <w:color w:val="auto"/>
          <w:sz w:val="32"/>
          <w:szCs w:val="32"/>
          <w:highlight w:val="none"/>
        </w:rPr>
        <w:t>医疗卫生资源整体发展</w:t>
      </w:r>
      <w:r>
        <w:rPr>
          <w:rFonts w:hint="eastAsia" w:ascii="仿宋_GB2312" w:hAnsi="仿宋" w:eastAsia="仿宋_GB2312" w:cs="仿宋_GB2312"/>
          <w:b/>
          <w:bCs/>
          <w:color w:val="auto"/>
          <w:sz w:val="32"/>
          <w:szCs w:val="32"/>
          <w:highlight w:val="none"/>
          <w:lang w:eastAsia="zh-CN"/>
        </w:rPr>
        <w:t>不均衡</w:t>
      </w:r>
      <w:r>
        <w:rPr>
          <w:rFonts w:hint="eastAsia" w:ascii="仿宋_GB2312" w:hAnsi="仿宋" w:eastAsia="仿宋_GB2312" w:cs="仿宋_GB2312"/>
          <w:b/>
          <w:bCs/>
          <w:color w:val="auto"/>
          <w:sz w:val="32"/>
          <w:szCs w:val="32"/>
          <w:highlight w:val="none"/>
        </w:rPr>
        <w:t>。</w:t>
      </w:r>
      <w:r>
        <w:rPr>
          <w:rFonts w:hint="eastAsia" w:ascii="仿宋_GB2312" w:hAnsi="仿宋" w:eastAsia="仿宋_GB2312" w:cs="仿宋_GB2312"/>
          <w:b w:val="0"/>
          <w:bCs w:val="0"/>
          <w:color w:val="auto"/>
          <w:sz w:val="32"/>
          <w:szCs w:val="32"/>
          <w:highlight w:val="none"/>
          <w:lang w:eastAsia="zh-CN"/>
        </w:rPr>
        <w:t>医疗服务资源总量不足，人均资源较为紧张，每</w:t>
      </w:r>
      <w:r>
        <w:rPr>
          <w:rFonts w:hint="eastAsia" w:ascii="仿宋_GB2312" w:hAnsi="仿宋" w:eastAsia="仿宋_GB2312" w:cs="仿宋_GB2312"/>
          <w:color w:val="auto"/>
          <w:sz w:val="32"/>
          <w:szCs w:val="32"/>
          <w:highlight w:val="none"/>
        </w:rPr>
        <w:t>千</w:t>
      </w:r>
      <w:r>
        <w:rPr>
          <w:rFonts w:hint="eastAsia" w:ascii="仿宋_GB2312" w:hAnsi="仿宋" w:eastAsia="仿宋_GB2312" w:cs="仿宋_GB2312"/>
          <w:color w:val="auto"/>
          <w:sz w:val="32"/>
          <w:szCs w:val="32"/>
          <w:highlight w:val="none"/>
          <w:lang w:eastAsia="zh-CN"/>
        </w:rPr>
        <w:t>常住人口</w:t>
      </w:r>
      <w:r>
        <w:rPr>
          <w:rFonts w:hint="eastAsia" w:ascii="仿宋_GB2312" w:hAnsi="仿宋" w:eastAsia="仿宋_GB2312" w:cs="仿宋_GB2312"/>
          <w:color w:val="auto"/>
          <w:sz w:val="32"/>
          <w:szCs w:val="32"/>
          <w:highlight w:val="none"/>
        </w:rPr>
        <w:t>床位数仅有2.59张，千人医生数为</w:t>
      </w:r>
      <w:r>
        <w:rPr>
          <w:rFonts w:hint="eastAsia" w:ascii="仿宋_GB2312" w:hAnsi="仿宋" w:eastAsia="仿宋_GB2312" w:cs="仿宋_GB2312"/>
          <w:color w:val="auto"/>
          <w:sz w:val="32"/>
          <w:szCs w:val="32"/>
          <w:highlight w:val="none"/>
          <w:lang w:val="en-US" w:eastAsia="zh-CN"/>
        </w:rPr>
        <w:t>2.16</w:t>
      </w:r>
      <w:r>
        <w:rPr>
          <w:rFonts w:hint="eastAsia" w:ascii="仿宋_GB2312" w:hAnsi="仿宋" w:eastAsia="仿宋_GB2312" w:cs="仿宋_GB2312"/>
          <w:color w:val="auto"/>
          <w:sz w:val="32"/>
          <w:szCs w:val="32"/>
          <w:highlight w:val="none"/>
        </w:rPr>
        <w:t>名，千人护士数</w:t>
      </w:r>
      <w:r>
        <w:rPr>
          <w:rFonts w:hint="eastAsia" w:ascii="仿宋_GB2312" w:hAnsi="仿宋" w:eastAsia="仿宋_GB2312" w:cs="仿宋_GB2312"/>
          <w:color w:val="auto"/>
          <w:sz w:val="32"/>
          <w:szCs w:val="32"/>
          <w:highlight w:val="none"/>
          <w:lang w:val="en-US" w:eastAsia="zh-CN"/>
        </w:rPr>
        <w:t>2.41</w:t>
      </w:r>
      <w:r>
        <w:rPr>
          <w:rFonts w:hint="eastAsia" w:ascii="仿宋_GB2312" w:hAnsi="仿宋" w:eastAsia="仿宋_GB2312" w:cs="仿宋_GB2312"/>
          <w:color w:val="auto"/>
          <w:sz w:val="32"/>
          <w:szCs w:val="32"/>
          <w:highlight w:val="none"/>
        </w:rPr>
        <w:t>名，千人托位数</w:t>
      </w:r>
      <w:r>
        <w:rPr>
          <w:rFonts w:hint="eastAsia" w:ascii="仿宋_GB2312" w:hAnsi="仿宋" w:eastAsia="仿宋_GB2312" w:cs="仿宋_GB2312"/>
          <w:color w:val="auto"/>
          <w:sz w:val="32"/>
          <w:szCs w:val="32"/>
          <w:highlight w:val="none"/>
          <w:lang w:val="en-US" w:eastAsia="zh-CN"/>
        </w:rPr>
        <w:t>0.3个，</w:t>
      </w:r>
      <w:r>
        <w:rPr>
          <w:rFonts w:hint="eastAsia" w:ascii="仿宋_GB2312" w:hAnsi="仿宋" w:eastAsia="仿宋_GB2312" w:cs="仿宋_GB2312"/>
          <w:color w:val="auto"/>
          <w:sz w:val="32"/>
          <w:szCs w:val="32"/>
          <w:highlight w:val="none"/>
        </w:rPr>
        <w:t>万人全科医生数2.61</w:t>
      </w:r>
      <w:r>
        <w:rPr>
          <w:rFonts w:hint="eastAsia" w:ascii="仿宋_GB2312" w:hAnsi="仿宋" w:eastAsia="仿宋_GB2312" w:cs="仿宋_GB2312"/>
          <w:color w:val="auto"/>
          <w:sz w:val="32"/>
          <w:szCs w:val="32"/>
          <w:highlight w:val="none"/>
          <w:lang w:eastAsia="zh-CN"/>
        </w:rPr>
        <w:t>名，</w:t>
      </w:r>
      <w:r>
        <w:rPr>
          <w:rFonts w:hint="eastAsia" w:ascii="仿宋_GB2312" w:hAnsi="仿宋" w:eastAsia="仿宋_GB2312" w:cs="仿宋_GB2312"/>
          <w:color w:val="auto"/>
          <w:sz w:val="32"/>
          <w:szCs w:val="32"/>
          <w:highlight w:val="none"/>
          <w:lang w:val="en-US" w:eastAsia="zh-CN"/>
        </w:rPr>
        <w:t>距离市级有较大差距</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rPr>
        <w:t>医疗卫生资源整体发展水平不高，优质医疗资源</w:t>
      </w:r>
      <w:r>
        <w:rPr>
          <w:rFonts w:hint="eastAsia" w:ascii="仿宋_GB2312" w:hAnsi="仿宋" w:eastAsia="仿宋_GB2312" w:cs="仿宋_GB2312"/>
          <w:color w:val="auto"/>
          <w:sz w:val="32"/>
          <w:szCs w:val="32"/>
          <w:highlight w:val="none"/>
          <w:lang w:eastAsia="zh-CN"/>
        </w:rPr>
        <w:t>不足</w:t>
      </w: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eastAsia="zh-CN"/>
        </w:rPr>
        <w:t>资源配置不均衡，辖区内尚未有</w:t>
      </w:r>
      <w:r>
        <w:rPr>
          <w:rFonts w:hint="eastAsia" w:ascii="仿宋_GB2312" w:hAnsi="仿宋" w:eastAsia="仿宋_GB2312" w:cs="仿宋_GB2312"/>
          <w:color w:val="auto"/>
          <w:sz w:val="32"/>
          <w:szCs w:val="32"/>
          <w:highlight w:val="none"/>
        </w:rPr>
        <w:t>三级甲等医院，</w:t>
      </w:r>
      <w:r>
        <w:rPr>
          <w:rFonts w:hint="eastAsia" w:ascii="仿宋_GB2312" w:hAnsi="仿宋" w:eastAsia="仿宋_GB2312" w:cs="仿宋_GB2312"/>
          <w:color w:val="auto"/>
          <w:sz w:val="32"/>
          <w:szCs w:val="32"/>
          <w:highlight w:val="none"/>
          <w:lang w:eastAsia="zh-CN"/>
        </w:rPr>
        <w:t>专科医院缺乏，难以</w:t>
      </w:r>
      <w:r>
        <w:rPr>
          <w:rFonts w:hint="eastAsia" w:ascii="仿宋_GB2312" w:hAnsi="仿宋" w:eastAsia="仿宋_GB2312" w:cs="仿宋_GB2312"/>
          <w:color w:val="auto"/>
          <w:sz w:val="32"/>
          <w:szCs w:val="32"/>
          <w:highlight w:val="none"/>
        </w:rPr>
        <w:t>满足建设世界一流科学城和深圳北部中心群众的多层次和个性化服务需求。</w:t>
      </w:r>
      <w:bookmarkEnd w:id="813"/>
      <w:bookmarkStart w:id="814" w:name="_Toc26384"/>
    </w:p>
    <w:p>
      <w:pPr>
        <w:spacing w:line="560" w:lineRule="exact"/>
        <w:ind w:firstLine="642" w:firstLineChars="200"/>
        <w:outlineLvl w:val="1"/>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eastAsia="zh-CN"/>
        </w:rPr>
        <w:t>基层</w:t>
      </w:r>
      <w:r>
        <w:rPr>
          <w:rFonts w:hint="eastAsia" w:ascii="仿宋_GB2312" w:eastAsia="仿宋_GB2312"/>
          <w:b/>
          <w:bCs/>
          <w:color w:val="auto"/>
          <w:sz w:val="32"/>
          <w:szCs w:val="32"/>
          <w:highlight w:val="none"/>
        </w:rPr>
        <w:t>医疗卫生</w:t>
      </w:r>
      <w:r>
        <w:rPr>
          <w:rFonts w:hint="eastAsia" w:ascii="仿宋_GB2312" w:eastAsia="仿宋_GB2312"/>
          <w:b/>
          <w:bCs/>
          <w:color w:val="auto"/>
          <w:sz w:val="32"/>
          <w:szCs w:val="32"/>
          <w:highlight w:val="none"/>
          <w:lang w:eastAsia="zh-CN"/>
        </w:rPr>
        <w:t>服务与群众需求有差距</w:t>
      </w:r>
      <w:r>
        <w:rPr>
          <w:rFonts w:hint="eastAsia" w:ascii="仿宋_GB2312" w:eastAsia="仿宋_GB2312"/>
          <w:b/>
          <w:bCs/>
          <w:color w:val="auto"/>
          <w:sz w:val="32"/>
          <w:szCs w:val="32"/>
          <w:highlight w:val="none"/>
        </w:rPr>
        <w:t>。</w:t>
      </w:r>
      <w:r>
        <w:rPr>
          <w:rFonts w:hint="eastAsia" w:ascii="仿宋_GB2312" w:eastAsia="仿宋_GB2312"/>
          <w:color w:val="auto"/>
          <w:sz w:val="32"/>
          <w:szCs w:val="32"/>
          <w:highlight w:val="none"/>
          <w:lang w:eastAsia="zh-CN"/>
        </w:rPr>
        <w:t>社康机构资源总量不足，</w:t>
      </w:r>
      <w:r>
        <w:rPr>
          <w:rFonts w:hint="eastAsia" w:ascii="仿宋_GB2312" w:eastAsia="仿宋_GB2312"/>
          <w:color w:val="auto"/>
          <w:sz w:val="32"/>
          <w:szCs w:val="32"/>
          <w:highlight w:val="none"/>
        </w:rPr>
        <w:t>布局</w:t>
      </w:r>
      <w:r>
        <w:rPr>
          <w:rFonts w:hint="eastAsia" w:ascii="仿宋_GB2312" w:eastAsia="仿宋_GB2312"/>
          <w:color w:val="auto"/>
          <w:sz w:val="32"/>
          <w:szCs w:val="32"/>
          <w:highlight w:val="none"/>
          <w:lang w:eastAsia="zh-CN"/>
        </w:rPr>
        <w:t>不够</w:t>
      </w:r>
      <w:r>
        <w:rPr>
          <w:rFonts w:hint="eastAsia" w:ascii="仿宋_GB2312" w:eastAsia="仿宋_GB2312"/>
          <w:color w:val="auto"/>
          <w:sz w:val="32"/>
          <w:szCs w:val="32"/>
          <w:highlight w:val="none"/>
        </w:rPr>
        <w:t>完善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资源配置与服务量不匹配。</w:t>
      </w:r>
      <w:r>
        <w:rPr>
          <w:rFonts w:hint="eastAsia" w:ascii="仿宋_GB2312" w:eastAsia="仿宋_GB2312"/>
          <w:color w:val="auto"/>
          <w:sz w:val="32"/>
          <w:szCs w:val="32"/>
          <w:highlight w:val="none"/>
          <w:lang w:eastAsia="zh-CN"/>
        </w:rPr>
        <w:t>社康机构服务人口多，</w:t>
      </w:r>
      <w:r>
        <w:rPr>
          <w:rFonts w:hint="eastAsia" w:ascii="仿宋_GB2312" w:eastAsia="仿宋_GB2312"/>
          <w:color w:val="auto"/>
          <w:sz w:val="32"/>
          <w:szCs w:val="32"/>
          <w:highlight w:val="none"/>
          <w:lang w:val="en-US" w:eastAsia="zh-CN"/>
        </w:rPr>
        <w:t>平均服务人口（2.67万人）高于深圳市平均水平（2.50万人）；设备设施配置不强，业务用房平均面积</w:t>
      </w:r>
      <w:r>
        <w:rPr>
          <w:rFonts w:hint="eastAsia" w:ascii="仿宋_GB2312" w:hAnsi="仿宋_GB2312" w:eastAsia="仿宋_GB2312" w:cs="仿宋_GB2312"/>
          <w:color w:val="auto"/>
          <w:sz w:val="32"/>
          <w:szCs w:val="32"/>
          <w:highlight w:val="none"/>
          <w:lang w:val="en-US" w:eastAsia="zh-CN"/>
        </w:rPr>
        <w:t>1123.26㎡</w:t>
      </w:r>
      <w:r>
        <w:rPr>
          <w:rFonts w:hint="eastAsia" w:ascii="仿宋_GB2312" w:eastAsia="仿宋_GB2312"/>
          <w:color w:val="auto"/>
          <w:sz w:val="32"/>
          <w:szCs w:val="32"/>
          <w:highlight w:val="none"/>
          <w:lang w:val="en-US" w:eastAsia="zh-CN"/>
        </w:rPr>
        <w:t>；人员不足，每万人社区卫生技术人员仅</w:t>
      </w:r>
      <w:r>
        <w:rPr>
          <w:rFonts w:hint="eastAsia" w:ascii="仿宋_GB2312" w:hAnsi="仿宋_GB2312" w:eastAsia="仿宋_GB2312" w:cs="仿宋_GB2312"/>
          <w:color w:val="auto"/>
          <w:sz w:val="32"/>
          <w:szCs w:val="32"/>
          <w:highlight w:val="none"/>
          <w:lang w:val="en-US" w:eastAsia="zh-CN"/>
        </w:rPr>
        <w:t>12.07</w:t>
      </w:r>
      <w:r>
        <w:rPr>
          <w:rFonts w:hint="eastAsia" w:ascii="仿宋_GB2312" w:eastAsia="仿宋_GB2312"/>
          <w:color w:val="auto"/>
          <w:sz w:val="32"/>
          <w:szCs w:val="32"/>
          <w:highlight w:val="none"/>
          <w:lang w:val="en-US" w:eastAsia="zh-CN"/>
        </w:rPr>
        <w:t>名；</w:t>
      </w:r>
      <w:r>
        <w:rPr>
          <w:rFonts w:hint="eastAsia" w:ascii="仿宋_GB2312" w:eastAsia="仿宋_GB2312"/>
          <w:color w:val="auto"/>
          <w:sz w:val="32"/>
          <w:szCs w:val="32"/>
          <w:highlight w:val="none"/>
          <w:lang w:eastAsia="zh-CN"/>
        </w:rPr>
        <w:t>业务用房保障不到位，租赁业务用房比例高达</w:t>
      </w:r>
      <w:r>
        <w:rPr>
          <w:rFonts w:hint="eastAsia" w:ascii="仿宋_GB2312" w:eastAsia="仿宋_GB2312"/>
          <w:color w:val="auto"/>
          <w:sz w:val="32"/>
          <w:szCs w:val="32"/>
          <w:highlight w:val="none"/>
          <w:lang w:val="en-US" w:eastAsia="zh-CN"/>
        </w:rPr>
        <w:t>65.22%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区域医疗中心和基层医疗集团的实际运营能力尚在建设中，基层医疗集团管理体制和运行机制还要深化改革，医院与社康机构融合发展协同服务能力不足，医疗服务体系整体服务效能与全方位全周期保障健康的要求还有较大差距，医联体合作内涵可进一步丰富。</w:t>
      </w:r>
      <w:bookmarkEnd w:id="814"/>
    </w:p>
    <w:p>
      <w:pPr>
        <w:spacing w:line="560" w:lineRule="exact"/>
        <w:ind w:firstLine="642" w:firstLineChars="200"/>
        <w:outlineLvl w:val="1"/>
        <w:rPr>
          <w:rFonts w:hint="default" w:ascii="仿宋_GB2312" w:hAnsi="仿宋" w:eastAsia="仿宋_GB2312" w:cs="仿宋_GB2312"/>
          <w:color w:val="auto"/>
          <w:sz w:val="32"/>
          <w:szCs w:val="32"/>
          <w:highlight w:val="none"/>
          <w:lang w:val="en-US" w:eastAsia="zh-CN"/>
        </w:rPr>
      </w:pPr>
      <w:r>
        <w:rPr>
          <w:rFonts w:hint="eastAsia" w:ascii="仿宋_GB2312" w:hAnsi="仿宋" w:eastAsia="仿宋_GB2312" w:cs="仿宋_GB2312"/>
          <w:b/>
          <w:bCs/>
          <w:color w:val="auto"/>
          <w:sz w:val="32"/>
          <w:szCs w:val="32"/>
          <w:highlight w:val="none"/>
        </w:rPr>
        <w:t>医疗服务能力和技术水平仍待提升</w:t>
      </w:r>
      <w:r>
        <w:rPr>
          <w:rFonts w:hint="eastAsia" w:ascii="仿宋_GB2312" w:hAnsi="仿宋" w:eastAsia="仿宋_GB2312" w:cs="仿宋_GB2312"/>
          <w:b/>
          <w:bCs/>
          <w:color w:val="auto"/>
          <w:sz w:val="32"/>
          <w:szCs w:val="32"/>
          <w:highlight w:val="none"/>
          <w:lang w:eastAsia="zh-CN"/>
        </w:rPr>
        <w:t>。</w:t>
      </w:r>
      <w:r>
        <w:rPr>
          <w:rFonts w:hint="eastAsia" w:ascii="仿宋_GB2312" w:hAnsi="仿宋" w:eastAsia="仿宋_GB2312" w:cs="仿宋_GB2312"/>
          <w:b w:val="0"/>
          <w:bCs w:val="0"/>
          <w:color w:val="auto"/>
          <w:sz w:val="32"/>
          <w:szCs w:val="32"/>
          <w:highlight w:val="none"/>
          <w:lang w:eastAsia="zh-CN"/>
        </w:rPr>
        <w:t>高层次医疗人才不足，医疗卫生人才引进力度和自我培养能力不足，</w:t>
      </w:r>
      <w:r>
        <w:rPr>
          <w:rFonts w:hint="eastAsia" w:ascii="仿宋_GB2312" w:eastAsia="仿宋_GB2312" w:cs="Times New Roman"/>
          <w:color w:val="auto"/>
          <w:sz w:val="32"/>
          <w:szCs w:val="32"/>
          <w:highlight w:val="none"/>
          <w:lang w:eastAsia="zh-CN"/>
        </w:rPr>
        <w:t>目前我区高级职称人员比例为</w:t>
      </w:r>
      <w:r>
        <w:rPr>
          <w:rFonts w:hint="eastAsia" w:ascii="仿宋_GB2312" w:eastAsia="仿宋_GB2312" w:cs="Times New Roman"/>
          <w:color w:val="auto"/>
          <w:sz w:val="32"/>
          <w:szCs w:val="32"/>
          <w:highlight w:val="none"/>
          <w:lang w:val="en-US" w:eastAsia="zh-CN"/>
        </w:rPr>
        <w:t>14.6%、硕博比例为11%，</w:t>
      </w:r>
      <w:r>
        <w:rPr>
          <w:rFonts w:hint="eastAsia" w:ascii="仿宋_GB2312" w:hAnsi="仿宋" w:eastAsia="仿宋_GB2312" w:cs="仿宋_GB2312"/>
          <w:b w:val="0"/>
          <w:bCs w:val="0"/>
          <w:color w:val="auto"/>
          <w:sz w:val="32"/>
          <w:szCs w:val="32"/>
          <w:highlight w:val="none"/>
          <w:lang w:eastAsia="zh-CN"/>
        </w:rPr>
        <w:t>卫生技术人员中高职称、高学历占比较低，人才队伍结构不合理。医教研协同不紧密，学科体系发展不充分，</w:t>
      </w:r>
      <w:r>
        <w:rPr>
          <w:rFonts w:hint="eastAsia" w:ascii="仿宋_GB2312" w:hAnsi="仿宋" w:eastAsia="仿宋_GB2312" w:cs="仿宋_GB2312"/>
          <w:color w:val="auto"/>
          <w:sz w:val="32"/>
          <w:szCs w:val="32"/>
          <w:highlight w:val="none"/>
        </w:rPr>
        <w:t>缺乏具有全市影响力的医学重点学科，</w:t>
      </w:r>
      <w:r>
        <w:rPr>
          <w:rFonts w:hint="eastAsia" w:ascii="仿宋_GB2312" w:hAnsi="仿宋_GB2312" w:eastAsia="仿宋_GB2312" w:cs="仿宋_GB2312"/>
          <w:color w:val="auto"/>
          <w:sz w:val="32"/>
          <w:szCs w:val="32"/>
          <w:highlight w:val="none"/>
          <w:lang w:eastAsia="zh-CN"/>
        </w:rPr>
        <w:t>无国家、省级</w:t>
      </w:r>
      <w:r>
        <w:rPr>
          <w:rFonts w:hint="eastAsia" w:ascii="仿宋_GB2312" w:hAnsi="仿宋_GB2312" w:eastAsia="仿宋_GB2312" w:cs="仿宋_GB2312"/>
          <w:color w:val="auto"/>
          <w:sz w:val="32"/>
          <w:szCs w:val="32"/>
          <w:highlight w:val="none"/>
        </w:rPr>
        <w:t>重点学科</w:t>
      </w:r>
      <w:r>
        <w:rPr>
          <w:rFonts w:hint="eastAsia" w:ascii="仿宋_GB2312" w:hAnsi="Calibri" w:eastAsia="仿宋_GB2312" w:cs="宋体"/>
          <w:bCs/>
          <w:color w:val="auto"/>
          <w:sz w:val="32"/>
          <w:szCs w:val="32"/>
          <w:highlight w:val="none"/>
          <w:lang w:eastAsia="zh-CN"/>
        </w:rPr>
        <w:t>。</w:t>
      </w:r>
      <w:r>
        <w:rPr>
          <w:rFonts w:hint="eastAsia" w:ascii="仿宋_GB2312" w:hAnsi="仿宋" w:eastAsia="仿宋_GB2312" w:cs="仿宋_GB2312"/>
          <w:color w:val="auto"/>
          <w:sz w:val="32"/>
          <w:szCs w:val="32"/>
          <w:highlight w:val="none"/>
        </w:rPr>
        <w:t>学科带头人引进力度、实验室建设等需进一步加强，卫生科研</w:t>
      </w:r>
      <w:r>
        <w:rPr>
          <w:rFonts w:hint="eastAsia" w:ascii="仿宋_GB2312" w:hAnsi="仿宋" w:eastAsia="仿宋_GB2312" w:cs="仿宋_GB2312"/>
          <w:color w:val="auto"/>
          <w:sz w:val="32"/>
          <w:szCs w:val="32"/>
          <w:highlight w:val="none"/>
          <w:lang w:eastAsia="zh-CN"/>
        </w:rPr>
        <w:t>和</w:t>
      </w:r>
      <w:r>
        <w:rPr>
          <w:rFonts w:hint="eastAsia" w:ascii="仿宋_GB2312" w:hAnsi="仿宋" w:eastAsia="仿宋_GB2312" w:cs="仿宋_GB2312"/>
          <w:color w:val="auto"/>
          <w:sz w:val="32"/>
          <w:szCs w:val="32"/>
          <w:highlight w:val="none"/>
        </w:rPr>
        <w:t>医学教育等能力水平仍需进一步提高。</w:t>
      </w:r>
      <w:r>
        <w:rPr>
          <w:rFonts w:hint="eastAsia" w:ascii="仿宋_GB2312" w:hAnsi="仿宋" w:eastAsia="仿宋_GB2312" w:cs="仿宋_GB2312"/>
          <w:color w:val="auto"/>
          <w:sz w:val="32"/>
          <w:szCs w:val="32"/>
          <w:highlight w:val="none"/>
          <w:lang w:eastAsia="zh-CN"/>
        </w:rPr>
        <w:t>卫生健康数字化水平对数字健康产业支撑带动力度不够，群众在看病就医、健康管理、公共卫生服务等方面的智慧化服务应用场景有待进一步拓展。</w:t>
      </w:r>
    </w:p>
    <w:p>
      <w:pPr>
        <w:pStyle w:val="7"/>
        <w:keepNext w:val="0"/>
        <w:keepLines w:val="0"/>
        <w:spacing w:before="0" w:after="0" w:line="560" w:lineRule="exact"/>
        <w:ind w:firstLine="640" w:firstLineChars="200"/>
        <w:rPr>
          <w:rFonts w:ascii="黑体" w:hAnsi="黑体" w:eastAsia="黑体" w:cs="黑体"/>
          <w:bCs w:val="0"/>
          <w:snapToGrid w:val="0"/>
          <w:color w:val="auto"/>
          <w:kern w:val="0"/>
          <w:sz w:val="32"/>
        </w:rPr>
      </w:pPr>
      <w:bookmarkStart w:id="815" w:name="_Toc1020353298_WPSOffice_Level3"/>
      <w:r>
        <w:rPr>
          <w:rFonts w:hint="eastAsia" w:ascii="黑体" w:hAnsi="黑体" w:eastAsia="黑体" w:cs="黑体"/>
          <w:bCs w:val="0"/>
          <w:snapToGrid w:val="0"/>
          <w:color w:val="auto"/>
          <w:kern w:val="0"/>
          <w:sz w:val="32"/>
        </w:rPr>
        <w:t>二、面临的机遇</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5"/>
    </w:p>
    <w:p>
      <w:pPr>
        <w:adjustRightInd w:val="0"/>
        <w:snapToGrid w:val="0"/>
        <w:spacing w:line="560" w:lineRule="exact"/>
        <w:ind w:firstLine="642" w:firstLineChars="200"/>
        <w:outlineLvl w:val="1"/>
        <w:rPr>
          <w:rFonts w:ascii="仿宋_GB2312" w:eastAsia="仿宋_GB2312"/>
          <w:color w:val="auto"/>
          <w:sz w:val="32"/>
          <w:szCs w:val="32"/>
        </w:rPr>
      </w:pPr>
      <w:bookmarkStart w:id="816" w:name="_Toc5647"/>
      <w:r>
        <w:rPr>
          <w:rFonts w:hint="eastAsia" w:ascii="仿宋_GB2312" w:eastAsia="仿宋_GB2312"/>
          <w:b/>
          <w:bCs/>
          <w:color w:val="auto"/>
          <w:sz w:val="32"/>
          <w:szCs w:val="32"/>
        </w:rPr>
        <w:t>“双区驱动”迎发展。</w:t>
      </w:r>
      <w:r>
        <w:rPr>
          <w:rFonts w:hint="eastAsia" w:ascii="仿宋_GB2312" w:eastAsia="仿宋_GB2312"/>
          <w:color w:val="auto"/>
          <w:sz w:val="32"/>
          <w:szCs w:val="32"/>
        </w:rPr>
        <w:t>中国特色社会主义先行示范区、粤港澳大湾区建设，深圳努力打造民生幸福标杆，深化与港澳、国际医疗的研究和机制对接，高起点规划、高标准建设光明国际中医药港，推动健康领域对外开放，促进要素资源汇聚，实现“病有良医”，加快构建国际一流的整合型优质医疗服务体系、中医药传承创新城市和粤港澳大湾区中医医疗高地。光明区卫生健康事业迎来中西并重高端化、国际化发展机遇。</w:t>
      </w:r>
      <w:bookmarkEnd w:id="816"/>
    </w:p>
    <w:p>
      <w:pPr>
        <w:pStyle w:val="34"/>
        <w:adjustRightInd w:val="0"/>
        <w:snapToGrid w:val="0"/>
        <w:spacing w:line="560" w:lineRule="exact"/>
        <w:ind w:firstLine="642" w:firstLineChars="200"/>
        <w:outlineLvl w:val="1"/>
        <w:rPr>
          <w:rFonts w:ascii="仿宋_GB2312" w:eastAsia="仿宋_GB2312"/>
          <w:b/>
          <w:bCs/>
          <w:color w:val="auto"/>
          <w:sz w:val="32"/>
          <w:szCs w:val="32"/>
        </w:rPr>
      </w:pPr>
      <w:bookmarkStart w:id="817" w:name="_Toc20323"/>
      <w:r>
        <w:rPr>
          <w:rFonts w:hint="eastAsia" w:ascii="仿宋_GB2312" w:eastAsia="仿宋_GB2312"/>
          <w:b/>
          <w:bCs/>
          <w:color w:val="auto"/>
          <w:sz w:val="32"/>
          <w:szCs w:val="32"/>
        </w:rPr>
        <w:t>健康中国“深圳样板”实施。</w:t>
      </w:r>
      <w:r>
        <w:rPr>
          <w:rFonts w:hint="eastAsia" w:ascii="仿宋_GB2312" w:eastAsia="仿宋_GB2312"/>
          <w:color w:val="auto"/>
          <w:sz w:val="32"/>
          <w:szCs w:val="32"/>
        </w:rPr>
        <w:t>加快推进卫生健康工作理念、服务方式从“以治病为中心”向“以人民健康为中心”转变，普及健康生活、优化健康服务、完善健康保障、建设健康环境、发展健康产业，全方位干预健康影响因素，全周期保障市民健康，加强重大疾病防控，形成有利于健康的生活方式、生态环境和社会环境，实现健康与经济社会良性协调发展，建设绿色宜居家园。</w:t>
      </w:r>
      <w:bookmarkEnd w:id="817"/>
    </w:p>
    <w:p>
      <w:pPr>
        <w:pStyle w:val="34"/>
        <w:adjustRightInd w:val="0"/>
        <w:snapToGrid w:val="0"/>
        <w:spacing w:line="560" w:lineRule="exact"/>
        <w:ind w:firstLine="642" w:firstLineChars="200"/>
        <w:outlineLvl w:val="1"/>
        <w:rPr>
          <w:rFonts w:ascii="仿宋_GB2312" w:eastAsia="仿宋_GB2312"/>
          <w:b/>
          <w:bCs/>
          <w:color w:val="auto"/>
          <w:sz w:val="32"/>
          <w:szCs w:val="32"/>
        </w:rPr>
      </w:pPr>
      <w:bookmarkStart w:id="818" w:name="_Toc6647"/>
      <w:r>
        <w:rPr>
          <w:rFonts w:hint="eastAsia" w:ascii="仿宋_GB2312" w:eastAsia="仿宋_GB2312"/>
          <w:b/>
          <w:bCs/>
          <w:color w:val="auto"/>
          <w:sz w:val="32"/>
          <w:szCs w:val="32"/>
        </w:rPr>
        <w:t>保障群众身体健康提出新要求。</w:t>
      </w:r>
      <w:r>
        <w:rPr>
          <w:rFonts w:hint="eastAsia" w:ascii="仿宋_GB2312" w:eastAsia="仿宋_GB2312"/>
          <w:color w:val="auto"/>
          <w:sz w:val="32"/>
          <w:szCs w:val="32"/>
        </w:rPr>
        <w:t>随着人口疾病谱变化，老龄化进程加速、人口流动日益频繁，市民健康面临多重疾病威胁，病媒生物等重大传染病防控、慢性非传染性疾病管理工作均面临挑战，要求卫生健康事业发展从以疾病为中心向以健康为重心转变，坚持中西医并重，建设良好的公共卫生服务体系，提升应对重大疫情医疗救治和卫生应急处置能力</w:t>
      </w:r>
      <w:r>
        <w:rPr>
          <w:rFonts w:hint="eastAsia" w:ascii="仿宋_GB2312" w:eastAsia="仿宋_GB2312"/>
          <w:b/>
          <w:bCs/>
          <w:color w:val="auto"/>
          <w:sz w:val="32"/>
          <w:szCs w:val="32"/>
        </w:rPr>
        <w:t>。</w:t>
      </w:r>
      <w:bookmarkEnd w:id="818"/>
    </w:p>
    <w:p>
      <w:pPr>
        <w:pStyle w:val="34"/>
        <w:adjustRightInd w:val="0"/>
        <w:snapToGrid w:val="0"/>
        <w:spacing w:line="560" w:lineRule="exact"/>
        <w:ind w:firstLine="642" w:firstLineChars="200"/>
        <w:outlineLvl w:val="1"/>
        <w:rPr>
          <w:rFonts w:ascii="仿宋_GB2312" w:eastAsia="仿宋_GB2312"/>
          <w:color w:val="auto"/>
          <w:sz w:val="32"/>
          <w:szCs w:val="32"/>
        </w:rPr>
      </w:pPr>
      <w:bookmarkStart w:id="819" w:name="_Toc2428"/>
      <w:r>
        <w:rPr>
          <w:rFonts w:hint="eastAsia" w:ascii="仿宋_GB2312" w:eastAsia="仿宋_GB2312"/>
          <w:b/>
          <w:bCs/>
          <w:color w:val="auto"/>
          <w:sz w:val="32"/>
          <w:szCs w:val="32"/>
        </w:rPr>
        <w:t>光明科学城建设带来新</w:t>
      </w:r>
      <w:r>
        <w:rPr>
          <w:rFonts w:hint="eastAsia" w:ascii="仿宋_GB2312" w:eastAsia="仿宋_GB2312"/>
          <w:b/>
          <w:bCs/>
          <w:color w:val="auto"/>
          <w:sz w:val="32"/>
          <w:szCs w:val="32"/>
          <w:lang w:eastAsia="zh-CN"/>
        </w:rPr>
        <w:t>需求。</w:t>
      </w:r>
      <w:r>
        <w:rPr>
          <w:rFonts w:hint="eastAsia" w:ascii="仿宋_GB2312" w:eastAsia="仿宋_GB2312"/>
          <w:color w:val="auto"/>
          <w:sz w:val="32"/>
          <w:szCs w:val="32"/>
        </w:rPr>
        <w:t>光明区进入打造竞争力影响力卓著的世界一流科学城和具有强大辐射带动能力的深圳北部中心起步期，各种优质资源不断集聚光明区，优质的医疗卫生资源公共配套服务需求将持续增加，需求更趋多样化、高端化、个性化，需要深化医疗卫生体制改革，加大优质医疗卫生资源供给和加快卫生强区建设。</w:t>
      </w:r>
      <w:bookmarkEnd w:id="819"/>
    </w:p>
    <w:p>
      <w:pPr>
        <w:pStyle w:val="34"/>
        <w:keepNext w:val="0"/>
        <w:keepLines w:val="0"/>
        <w:pageBreakBefore w:val="0"/>
        <w:widowControl w:val="0"/>
        <w:shd w:val="clear"/>
        <w:kinsoku/>
        <w:wordWrap/>
        <w:overflowPunct/>
        <w:topLinePunct w:val="0"/>
        <w:autoSpaceDE/>
        <w:autoSpaceDN/>
        <w:bidi w:val="0"/>
        <w:adjustRightInd w:val="0"/>
        <w:snapToGrid w:val="0"/>
        <w:spacing w:line="560" w:lineRule="exact"/>
        <w:ind w:firstLine="642" w:firstLineChars="200"/>
        <w:textAlignment w:val="auto"/>
        <w:outlineLvl w:val="1"/>
        <w:rPr>
          <w:rFonts w:ascii="仿宋_GB2312" w:eastAsia="仿宋_GB2312"/>
          <w:color w:val="auto"/>
          <w:sz w:val="32"/>
          <w:szCs w:val="32"/>
        </w:rPr>
      </w:pPr>
      <w:bookmarkStart w:id="820" w:name="_Toc29790"/>
      <w:r>
        <w:rPr>
          <w:rFonts w:hint="eastAsia" w:ascii="仿宋_GB2312" w:eastAsia="仿宋_GB2312"/>
          <w:b/>
          <w:bCs/>
          <w:color w:val="auto"/>
          <w:sz w:val="32"/>
          <w:szCs w:val="32"/>
        </w:rPr>
        <w:t>信息化新技术赋能未来医疗。</w:t>
      </w:r>
      <w:r>
        <w:rPr>
          <w:rFonts w:hint="eastAsia" w:ascii="仿宋_GB2312" w:eastAsia="仿宋_GB2312"/>
          <w:b w:val="0"/>
          <w:bCs w:val="0"/>
          <w:color w:val="auto"/>
          <w:sz w:val="32"/>
          <w:szCs w:val="32"/>
        </w:rPr>
        <w:t>互联网、5G、人工智能、大数据、物联网等信息技术、可穿戴设备等的快速发展，5G医疗健康越来越呈现出强大的影响力和生命力，对推进进一步改善医疗服务、深化医药卫生体制改革、加快“健康中国”建设和推动医疗健康产业发展，起到重要的促进作用。</w:t>
      </w:r>
      <w:bookmarkEnd w:id="820"/>
    </w:p>
    <w:p>
      <w:pPr>
        <w:pageBreakBefore w:val="0"/>
        <w:shd w:val="clear"/>
        <w:kinsoku/>
        <w:wordWrap/>
        <w:overflowPunct/>
        <w:topLinePunct w:val="0"/>
        <w:autoSpaceDN/>
        <w:bidi w:val="0"/>
        <w:adjustRightInd w:val="0"/>
        <w:snapToGrid w:val="0"/>
        <w:spacing w:line="560" w:lineRule="exact"/>
        <w:ind w:firstLine="108" w:firstLineChars="34"/>
        <w:jc w:val="center"/>
        <w:textAlignment w:val="auto"/>
        <w:outlineLvl w:val="1"/>
        <w:rPr>
          <w:rFonts w:hint="eastAsia" w:asciiTheme="majorEastAsia" w:hAnsiTheme="majorEastAsia" w:eastAsiaTheme="majorEastAsia" w:cstheme="majorEastAsia"/>
          <w:b w:val="0"/>
          <w:color w:val="auto"/>
          <w:sz w:val="21"/>
          <w:szCs w:val="21"/>
        </w:rPr>
      </w:pPr>
      <w:bookmarkStart w:id="821" w:name="_Toc12763"/>
      <w:bookmarkStart w:id="822" w:name="_Toc17197"/>
      <w:bookmarkStart w:id="823" w:name="_Toc31137"/>
      <w:bookmarkStart w:id="824" w:name="_Toc11445"/>
      <w:bookmarkStart w:id="825" w:name="_Toc29325"/>
      <w:bookmarkStart w:id="826" w:name="_Toc27406"/>
      <w:bookmarkStart w:id="827" w:name="_Toc6577"/>
      <w:bookmarkStart w:id="828" w:name="_Toc15411"/>
      <w:bookmarkStart w:id="829" w:name="_Toc31425"/>
      <w:bookmarkStart w:id="830" w:name="_Toc28559"/>
      <w:bookmarkStart w:id="831" w:name="_Toc30602"/>
      <w:r>
        <w:rPr>
          <w:rFonts w:hint="eastAsia" w:ascii="黑体" w:hAnsi="黑体" w:eastAsia="黑体"/>
          <w:color w:val="auto"/>
          <w:sz w:val="32"/>
          <w:szCs w:val="32"/>
        </w:rPr>
        <w:br w:type="page"/>
      </w:r>
      <w:bookmarkStart w:id="832" w:name="_Toc2920"/>
      <w:bookmarkStart w:id="833" w:name="_Toc26226"/>
      <w:bookmarkStart w:id="834" w:name="_Toc26785"/>
      <w:bookmarkStart w:id="835" w:name="_Toc14716"/>
      <w:bookmarkStart w:id="836" w:name="_Toc30282"/>
      <w:bookmarkStart w:id="837" w:name="_Toc10525"/>
      <w:bookmarkStart w:id="838" w:name="_Toc32019"/>
      <w:bookmarkStart w:id="839" w:name="_Toc28336"/>
      <w:bookmarkStart w:id="840" w:name="_Toc8595"/>
      <w:bookmarkStart w:id="841" w:name="_Toc8023"/>
      <w:bookmarkStart w:id="842" w:name="_Toc21423"/>
      <w:bookmarkStart w:id="843" w:name="_Toc25458"/>
      <w:bookmarkStart w:id="844" w:name="_Toc3998"/>
      <w:bookmarkStart w:id="845" w:name="_Toc13260"/>
      <w:bookmarkStart w:id="846" w:name="_Toc12716"/>
      <w:bookmarkStart w:id="847" w:name="_Toc7150"/>
      <w:bookmarkStart w:id="848" w:name="_Toc20527"/>
      <w:bookmarkStart w:id="849" w:name="_Toc4540"/>
      <w:bookmarkStart w:id="850" w:name="_Toc31580"/>
      <w:bookmarkStart w:id="851" w:name="_Toc2067"/>
      <w:bookmarkStart w:id="852" w:name="_Toc18719"/>
      <w:bookmarkStart w:id="853" w:name="_Toc3887"/>
      <w:bookmarkStart w:id="854" w:name="_Toc9973"/>
      <w:bookmarkStart w:id="855" w:name="_Toc29493"/>
      <w:bookmarkStart w:id="856" w:name="_Toc9146"/>
      <w:bookmarkStart w:id="857" w:name="_Toc25013"/>
      <w:bookmarkStart w:id="858" w:name="_Toc29611"/>
      <w:bookmarkStart w:id="859" w:name="_Toc7276"/>
      <w:bookmarkStart w:id="860" w:name="_Toc16214"/>
      <w:bookmarkStart w:id="861" w:name="_Toc14614"/>
      <w:bookmarkStart w:id="862" w:name="_Toc6860"/>
      <w:bookmarkStart w:id="863" w:name="_Toc25878"/>
      <w:bookmarkStart w:id="864" w:name="_Toc28450"/>
      <w:bookmarkStart w:id="865" w:name="_Toc4445"/>
      <w:bookmarkStart w:id="866" w:name="_Toc4583"/>
      <w:bookmarkStart w:id="867" w:name="_Toc21463"/>
      <w:bookmarkStart w:id="868" w:name="_Toc30253"/>
      <w:bookmarkStart w:id="869" w:name="_Toc22436"/>
      <w:bookmarkStart w:id="870" w:name="_Toc5349"/>
      <w:bookmarkStart w:id="871" w:name="_Toc26644"/>
      <w:bookmarkStart w:id="872" w:name="_Toc16586"/>
      <w:bookmarkStart w:id="873" w:name="_Toc11277"/>
      <w:bookmarkStart w:id="874" w:name="_Toc18414"/>
      <w:bookmarkStart w:id="875" w:name="_Toc22696"/>
      <w:bookmarkStart w:id="876" w:name="_Toc5924"/>
      <w:bookmarkStart w:id="877" w:name="_Toc16172"/>
      <w:bookmarkStart w:id="878" w:name="_Toc6232"/>
      <w:bookmarkStart w:id="879" w:name="_Toc25288"/>
      <w:bookmarkStart w:id="880" w:name="_Toc4021"/>
      <w:bookmarkStart w:id="881" w:name="_Toc6361"/>
      <w:bookmarkStart w:id="882" w:name="_Toc10591"/>
      <w:bookmarkStart w:id="883" w:name="_Toc18245"/>
      <w:bookmarkStart w:id="884" w:name="_Toc31795"/>
      <w:bookmarkStart w:id="885" w:name="_Toc12531"/>
      <w:bookmarkStart w:id="886" w:name="_Toc28707"/>
    </w:p>
    <w:p>
      <w:pPr>
        <w:pStyle w:val="4"/>
        <w:keepNext w:val="0"/>
        <w:keepLines w:val="0"/>
        <w:pageBreakBefore w:val="0"/>
        <w:widowControl/>
        <w:shd w:val="clear"/>
        <w:kinsoku/>
        <w:wordWrap/>
        <w:overflowPunct/>
        <w:topLinePunct w:val="0"/>
        <w:autoSpaceDN/>
        <w:bidi w:val="0"/>
        <w:spacing w:before="0" w:after="0" w:line="560" w:lineRule="exact"/>
        <w:jc w:val="center"/>
        <w:textAlignment w:val="auto"/>
        <w:rPr>
          <w:rFonts w:hint="eastAsia" w:ascii="仿宋_GB2312" w:hAnsi="仿宋_GB2312" w:eastAsia="仿宋_GB2312" w:cs="仿宋_GB2312"/>
          <w:b w:val="0"/>
          <w:color w:val="auto"/>
          <w:sz w:val="36"/>
          <w:szCs w:val="36"/>
        </w:rPr>
      </w:pPr>
      <w:bookmarkStart w:id="887" w:name="_Toc2145365265_WPSOffice_Level1"/>
      <w:bookmarkStart w:id="888" w:name="_Toc20952"/>
      <w:r>
        <w:rPr>
          <w:rFonts w:hint="eastAsia" w:ascii="黑体" w:hAnsi="黑体" w:eastAsia="黑体" w:cs="黑体"/>
          <w:bCs w:val="0"/>
          <w:color w:val="auto"/>
          <w:kern w:val="2"/>
          <w:sz w:val="36"/>
          <w:szCs w:val="36"/>
          <w:lang w:val="en-US" w:eastAsia="zh-CN" w:bidi="ar-SA"/>
        </w:rPr>
        <w:t>第二章  指导思想、基本原则和发展目标</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Start w:id="889" w:name="_Toc18018"/>
      <w:bookmarkStart w:id="890" w:name="_Toc5195"/>
      <w:bookmarkStart w:id="891" w:name="_Toc3176"/>
      <w:bookmarkStart w:id="892" w:name="_Toc31350"/>
      <w:bookmarkStart w:id="893" w:name="_Toc4209"/>
      <w:bookmarkStart w:id="894" w:name="_Toc1272"/>
      <w:bookmarkStart w:id="895" w:name="_Toc20204"/>
      <w:bookmarkStart w:id="896" w:name="_Toc6741"/>
      <w:bookmarkStart w:id="897" w:name="_Toc11221"/>
      <w:bookmarkStart w:id="898" w:name="_Toc15472"/>
      <w:bookmarkStart w:id="899" w:name="_Toc10587"/>
      <w:bookmarkStart w:id="900" w:name="_Toc600"/>
      <w:bookmarkStart w:id="901" w:name="_Toc30457"/>
      <w:bookmarkStart w:id="902" w:name="_Toc22919"/>
      <w:bookmarkStart w:id="903" w:name="_Toc79"/>
      <w:bookmarkStart w:id="904" w:name="_Toc16154"/>
      <w:bookmarkStart w:id="905" w:name="_Toc32558"/>
      <w:bookmarkStart w:id="906" w:name="_Toc7200"/>
      <w:bookmarkStart w:id="907" w:name="_Toc13883"/>
      <w:bookmarkStart w:id="908" w:name="_Toc16572"/>
      <w:bookmarkStart w:id="909" w:name="_Toc24810"/>
      <w:bookmarkStart w:id="910" w:name="_Toc13624"/>
      <w:bookmarkStart w:id="911" w:name="_Toc29207"/>
      <w:bookmarkStart w:id="912" w:name="_Toc16040"/>
      <w:bookmarkStart w:id="913" w:name="_Toc31788"/>
      <w:bookmarkStart w:id="914" w:name="_Toc231"/>
      <w:bookmarkStart w:id="915" w:name="_Toc18400"/>
      <w:bookmarkStart w:id="916" w:name="_Toc16002"/>
      <w:bookmarkStart w:id="917" w:name="_Toc17816"/>
      <w:bookmarkStart w:id="918" w:name="_Toc27831"/>
      <w:bookmarkStart w:id="919" w:name="_Toc296"/>
      <w:bookmarkStart w:id="920" w:name="_Toc4978"/>
      <w:bookmarkStart w:id="921" w:name="_Toc13878"/>
      <w:bookmarkStart w:id="922" w:name="_Toc7080"/>
      <w:bookmarkStart w:id="923" w:name="_Toc26012"/>
      <w:bookmarkStart w:id="924" w:name="_Toc9205"/>
      <w:bookmarkStart w:id="925" w:name="_Toc26515"/>
      <w:bookmarkStart w:id="926" w:name="_Toc19343"/>
      <w:bookmarkStart w:id="927" w:name="_Toc3224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黑体"/>
          <w:color w:val="auto"/>
          <w:sz w:val="32"/>
          <w:szCs w:val="32"/>
          <w:lang w:val="en-US" w:eastAsia="zh-CN"/>
        </w:rPr>
      </w:pPr>
      <w:bookmarkStart w:id="928" w:name="_Toc6338"/>
      <w:bookmarkStart w:id="929" w:name="_Toc28003"/>
      <w:bookmarkStart w:id="930" w:name="_Toc12038"/>
      <w:bookmarkStart w:id="931" w:name="_Toc27075"/>
      <w:bookmarkStart w:id="932" w:name="_Toc20756"/>
      <w:bookmarkStart w:id="933" w:name="_Toc4342"/>
      <w:bookmarkStart w:id="934" w:name="_Toc8383"/>
      <w:bookmarkStart w:id="935" w:name="_Toc3223"/>
      <w:bookmarkStart w:id="936" w:name="_Toc5324"/>
      <w:bookmarkStart w:id="937" w:name="_Toc14444"/>
      <w:bookmarkStart w:id="938" w:name="_Toc9700"/>
      <w:bookmarkStart w:id="939" w:name="_Toc898"/>
      <w:bookmarkStart w:id="940" w:name="_Toc18495"/>
      <w:bookmarkStart w:id="941" w:name="_Toc19244"/>
      <w:bookmarkStart w:id="942" w:name="_Toc24591"/>
      <w:bookmarkStart w:id="943" w:name="_Toc14084"/>
      <w:bookmarkStart w:id="944" w:name="_Toc24647"/>
      <w:bookmarkStart w:id="945" w:name="_Toc21351"/>
      <w:bookmarkStart w:id="946" w:name="_Toc31201"/>
      <w:bookmarkStart w:id="947" w:name="_Toc31103"/>
      <w:bookmarkStart w:id="948" w:name="_Toc5491"/>
      <w:bookmarkStart w:id="949" w:name="_Toc2408"/>
      <w:bookmarkStart w:id="950" w:name="_Toc3324"/>
      <w:bookmarkStart w:id="951" w:name="_Toc16314"/>
      <w:bookmarkStart w:id="952" w:name="_Toc19166"/>
      <w:bookmarkStart w:id="953" w:name="_Toc7911"/>
      <w:bookmarkStart w:id="954" w:name="_Toc31692"/>
      <w:bookmarkStart w:id="955" w:name="_Toc632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黑体"/>
          <w:color w:val="auto"/>
          <w:sz w:val="32"/>
          <w:szCs w:val="32"/>
          <w:lang w:val="en-US" w:eastAsia="zh-CN"/>
        </w:rPr>
      </w:pPr>
      <w:bookmarkStart w:id="956" w:name="_Toc472447777_WPSOffice_Level2"/>
      <w:r>
        <w:rPr>
          <w:rFonts w:hint="eastAsia" w:ascii="黑体" w:hAnsi="黑体" w:eastAsia="黑体" w:cs="黑体"/>
          <w:color w:val="auto"/>
          <w:sz w:val="32"/>
          <w:szCs w:val="32"/>
          <w:lang w:val="en-US" w:eastAsia="zh-CN"/>
        </w:rPr>
        <w:t>第一节 指导思想</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pPr>
        <w:pStyle w:val="34"/>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宋体" w:eastAsia="仿宋_GB2312"/>
          <w:color w:val="auto"/>
          <w:kern w:val="0"/>
          <w:sz w:val="32"/>
          <w:szCs w:val="32"/>
        </w:rPr>
      </w:pPr>
      <w:bookmarkStart w:id="957" w:name="_Toc278"/>
      <w:r>
        <w:rPr>
          <w:rFonts w:hint="eastAsia" w:ascii="仿宋_GB2312" w:eastAsia="仿宋_GB2312"/>
          <w:color w:val="auto"/>
          <w:sz w:val="32"/>
          <w:szCs w:val="32"/>
          <w:lang w:val="en-US" w:eastAsia="zh-CN"/>
        </w:rPr>
        <w:t>以习近平新时代中国特色社会主义思想为指导，深入贯彻习近平总书记出席深圳经济特区建立40周年庆祝大会和视察广东、深圳重要讲话、重要指示精神</w:t>
      </w:r>
      <w:r>
        <w:rPr>
          <w:rFonts w:hint="eastAsia" w:ascii="仿宋_GB2312" w:hAnsi="宋体" w:eastAsia="仿宋_GB2312"/>
          <w:color w:val="auto"/>
          <w:kern w:val="0"/>
          <w:sz w:val="32"/>
          <w:szCs w:val="32"/>
        </w:rPr>
        <w:t>，坚持以人民为中心的发展思想，贯彻新时代卫生健康工作方针，抓住“双区驱动”和打造世界一流科学城、深圳北部中心发展契机，服务光明区</w:t>
      </w:r>
      <w:r>
        <w:rPr>
          <w:rFonts w:hint="eastAsia" w:ascii="仿宋_GB2312" w:hAnsi="宋体" w:eastAsia="仿宋_GB2312"/>
          <w:b w:val="0"/>
          <w:bCs w:val="0"/>
          <w:color w:val="auto"/>
          <w:kern w:val="0"/>
          <w:sz w:val="32"/>
          <w:szCs w:val="32"/>
        </w:rPr>
        <w:t>“五位一体”总体布局和“四个全面”战略布局</w:t>
      </w:r>
      <w:r>
        <w:rPr>
          <w:rFonts w:hint="eastAsia" w:ascii="仿宋_GB2312" w:hAnsi="宋体" w:eastAsia="仿宋_GB2312"/>
          <w:b w:val="0"/>
          <w:bCs w:val="0"/>
          <w:color w:val="auto"/>
          <w:kern w:val="0"/>
          <w:sz w:val="32"/>
          <w:szCs w:val="32"/>
          <w:lang w:eastAsia="zh-CN"/>
        </w:rPr>
        <w:t>。</w:t>
      </w:r>
      <w:r>
        <w:rPr>
          <w:rFonts w:hint="eastAsia" w:ascii="仿宋_GB2312" w:eastAsia="仿宋_GB2312"/>
          <w:b w:val="0"/>
          <w:bCs w:val="0"/>
          <w:color w:val="auto"/>
          <w:sz w:val="32"/>
          <w:szCs w:val="32"/>
        </w:rPr>
        <w:t>把保障人民健康放在优先发展的战略位置，</w:t>
      </w:r>
      <w:r>
        <w:rPr>
          <w:rFonts w:hint="eastAsia" w:ascii="仿宋_GB2312" w:hAnsi="宋体" w:eastAsia="仿宋_GB2312"/>
          <w:b w:val="0"/>
          <w:bCs w:val="0"/>
          <w:color w:val="auto"/>
          <w:kern w:val="0"/>
          <w:sz w:val="32"/>
          <w:szCs w:val="32"/>
          <w:lang w:eastAsia="zh-CN"/>
        </w:rPr>
        <w:t>将</w:t>
      </w:r>
      <w:r>
        <w:rPr>
          <w:rFonts w:hint="eastAsia" w:ascii="仿宋_GB2312" w:hAnsi="宋体" w:eastAsia="仿宋_GB2312"/>
          <w:color w:val="auto"/>
          <w:kern w:val="0"/>
          <w:sz w:val="32"/>
          <w:szCs w:val="32"/>
        </w:rPr>
        <w:t>健康融入所有政策，进一步完善卫生健康服务体系，提升服务品质</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以确保人人享有基本医疗卫生服务和人民群众的医疗卫生服务需求为导向，建设深圳北部医疗高地，立足实际、科学务实、与时俱进，全面推进我区卫生健康事业协调、有序、科学发展，为全方位全周期保障人民健康、建设“健康光明”</w:t>
      </w:r>
      <w:r>
        <w:rPr>
          <w:rFonts w:hint="eastAsia" w:ascii="仿宋_GB2312" w:hAnsi="宋体" w:eastAsia="仿宋_GB2312"/>
          <w:color w:val="auto"/>
          <w:kern w:val="0"/>
          <w:sz w:val="32"/>
          <w:szCs w:val="32"/>
          <w:lang w:eastAsia="zh-CN"/>
        </w:rPr>
        <w:t>、打造</w:t>
      </w:r>
      <w:r>
        <w:rPr>
          <w:rFonts w:hint="eastAsia" w:ascii="仿宋_GB2312" w:hAnsi="宋体" w:eastAsia="仿宋_GB2312"/>
          <w:color w:val="auto"/>
          <w:kern w:val="0"/>
          <w:sz w:val="32"/>
          <w:szCs w:val="32"/>
        </w:rPr>
        <w:t>卫生强区奠定坚实基础。</w:t>
      </w:r>
      <w:bookmarkEnd w:id="957"/>
    </w:p>
    <w:p>
      <w:pPr>
        <w:pStyle w:val="34"/>
        <w:keepNext w:val="0"/>
        <w:keepLines w:val="0"/>
        <w:pageBreakBefore w:val="0"/>
        <w:widowControl w:val="0"/>
        <w:shd w:val="clear"/>
        <w:kinsoku/>
        <w:wordWrap/>
        <w:overflowPunct/>
        <w:topLinePunct w:val="0"/>
        <w:autoSpaceDE/>
        <w:autoSpaceDN/>
        <w:bidi w:val="0"/>
        <w:adjustRightInd w:val="0"/>
        <w:snapToGrid w:val="0"/>
        <w:spacing w:line="560" w:lineRule="exact"/>
        <w:ind w:firstLine="480" w:firstLineChars="200"/>
        <w:textAlignment w:val="auto"/>
        <w:outlineLvl w:val="1"/>
        <w:rPr>
          <w:rFonts w:hint="eastAsia" w:ascii="仿宋_GB2312" w:hAnsi="宋体" w:eastAsia="仿宋_GB2312"/>
          <w:color w:val="auto"/>
          <w:kern w:val="0"/>
          <w:sz w:val="24"/>
          <w:szCs w:val="24"/>
        </w:rPr>
      </w:pPr>
    </w:p>
    <w:p>
      <w:pPr>
        <w:pStyle w:val="6"/>
        <w:keepNext w:val="0"/>
        <w:keepLines w:val="0"/>
        <w:pageBreakBefore w:val="0"/>
        <w:shd w:val="clear"/>
        <w:kinsoku/>
        <w:wordWrap/>
        <w:overflowPunct/>
        <w:topLinePunct w:val="0"/>
        <w:autoSpaceDN/>
        <w:bidi w:val="0"/>
        <w:snapToGrid w:val="0"/>
        <w:spacing w:before="0" w:after="0" w:line="560" w:lineRule="exact"/>
        <w:ind w:firstLine="200" w:firstLineChars="0"/>
        <w:jc w:val="center"/>
        <w:textAlignment w:val="auto"/>
        <w:rPr>
          <w:rFonts w:hint="eastAsia" w:ascii="黑体" w:hAnsi="黑体" w:eastAsia="黑体" w:cs="黑体"/>
          <w:b w:val="0"/>
          <w:bCs w:val="0"/>
          <w:color w:val="auto"/>
          <w:kern w:val="2"/>
          <w:sz w:val="32"/>
          <w:szCs w:val="32"/>
          <w:lang w:val="en-US" w:eastAsia="zh-CN" w:bidi="ar-SA"/>
        </w:rPr>
      </w:pPr>
      <w:bookmarkStart w:id="958" w:name="_Toc28877"/>
      <w:bookmarkStart w:id="959" w:name="_Toc15912"/>
      <w:bookmarkStart w:id="960" w:name="_Toc12244"/>
      <w:bookmarkStart w:id="961" w:name="_Toc20250"/>
      <w:bookmarkStart w:id="962" w:name="_Toc30449"/>
      <w:bookmarkStart w:id="963" w:name="_Toc22573"/>
      <w:bookmarkStart w:id="964" w:name="_Toc27700"/>
      <w:bookmarkStart w:id="965" w:name="_Toc32417"/>
      <w:bookmarkStart w:id="966" w:name="_Toc550"/>
      <w:bookmarkStart w:id="967" w:name="_Toc15310"/>
      <w:bookmarkStart w:id="968" w:name="_Toc10879"/>
      <w:bookmarkStart w:id="969" w:name="_Toc19924"/>
      <w:bookmarkStart w:id="970" w:name="_Toc1736"/>
      <w:bookmarkStart w:id="971" w:name="_Toc29564"/>
      <w:bookmarkStart w:id="972" w:name="_Toc27271"/>
      <w:bookmarkStart w:id="973" w:name="_Toc21534"/>
      <w:bookmarkStart w:id="974" w:name="_Toc7731"/>
      <w:bookmarkStart w:id="975" w:name="_Toc27869"/>
      <w:bookmarkStart w:id="976" w:name="_Toc12877"/>
      <w:bookmarkStart w:id="977" w:name="_Toc5886"/>
      <w:bookmarkStart w:id="978" w:name="_Toc1591187832_WPSOffice_Level2"/>
      <w:bookmarkStart w:id="979" w:name="_Toc3519"/>
      <w:bookmarkStart w:id="980" w:name="_Toc2666"/>
      <w:bookmarkStart w:id="981" w:name="_Toc7608"/>
      <w:bookmarkStart w:id="982" w:name="_Toc11329"/>
      <w:bookmarkStart w:id="983" w:name="_Toc1732"/>
      <w:bookmarkStart w:id="984" w:name="_Toc18761"/>
      <w:bookmarkStart w:id="985" w:name="_Toc15648"/>
      <w:bookmarkStart w:id="986" w:name="_Toc18979"/>
      <w:bookmarkStart w:id="987" w:name="_Toc620"/>
      <w:bookmarkStart w:id="988" w:name="_Toc32001"/>
      <w:bookmarkStart w:id="989" w:name="_Toc2369"/>
      <w:bookmarkStart w:id="990" w:name="_Toc972"/>
      <w:bookmarkStart w:id="991" w:name="_Toc30105"/>
      <w:bookmarkStart w:id="992" w:name="_Toc11494"/>
      <w:bookmarkStart w:id="993" w:name="_Toc31289"/>
      <w:bookmarkStart w:id="994" w:name="_Toc19575"/>
      <w:bookmarkStart w:id="995" w:name="_Toc25125"/>
      <w:bookmarkStart w:id="996" w:name="_Toc4613"/>
      <w:bookmarkStart w:id="997" w:name="_Toc27401"/>
      <w:bookmarkStart w:id="998" w:name="_Toc31214"/>
      <w:bookmarkStart w:id="999" w:name="_Toc24050"/>
      <w:bookmarkStart w:id="1000" w:name="_Toc1578"/>
      <w:bookmarkStart w:id="1001" w:name="_Toc14914"/>
      <w:bookmarkStart w:id="1002" w:name="_Toc5602"/>
      <w:bookmarkStart w:id="1003" w:name="_Toc32161"/>
      <w:bookmarkStart w:id="1004" w:name="_Toc31397"/>
      <w:bookmarkStart w:id="1005" w:name="_Toc29991"/>
      <w:bookmarkStart w:id="1006" w:name="_Toc17996"/>
      <w:bookmarkStart w:id="1007" w:name="_Toc27453"/>
      <w:bookmarkStart w:id="1008" w:name="_Toc10042"/>
      <w:r>
        <w:rPr>
          <w:rFonts w:hint="eastAsia" w:ascii="黑体" w:hAnsi="黑体" w:eastAsia="黑体" w:cs="黑体"/>
          <w:b w:val="0"/>
          <w:bCs w:val="0"/>
          <w:color w:val="auto"/>
          <w:kern w:val="2"/>
          <w:sz w:val="32"/>
          <w:szCs w:val="32"/>
          <w:lang w:val="en-US" w:eastAsia="zh-CN" w:bidi="ar-SA"/>
        </w:rPr>
        <w:t>第二节 基本原则</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pPr>
        <w:pStyle w:val="34"/>
        <w:keepNext w:val="0"/>
        <w:keepLines w:val="0"/>
        <w:pageBreakBefore w:val="0"/>
        <w:widowControl w:val="0"/>
        <w:shd w:val="clear"/>
        <w:kinsoku/>
        <w:wordWrap/>
        <w:overflowPunct/>
        <w:topLinePunct w:val="0"/>
        <w:autoSpaceDE/>
        <w:autoSpaceDN/>
        <w:bidi w:val="0"/>
        <w:adjustRightInd w:val="0"/>
        <w:snapToGrid w:val="0"/>
        <w:spacing w:line="560" w:lineRule="exact"/>
        <w:ind w:firstLine="642" w:firstLineChars="200"/>
        <w:textAlignment w:val="auto"/>
        <w:outlineLvl w:val="1"/>
        <w:rPr>
          <w:rFonts w:ascii="仿宋_GB2312" w:hAnsi="宋体" w:eastAsia="仿宋_GB2312"/>
          <w:color w:val="auto"/>
          <w:kern w:val="0"/>
          <w:sz w:val="32"/>
          <w:szCs w:val="32"/>
        </w:rPr>
      </w:pPr>
      <w:bookmarkStart w:id="1009" w:name="_Toc15610"/>
      <w:r>
        <w:rPr>
          <w:rFonts w:hint="eastAsia" w:ascii="仿宋_GB2312" w:hAnsi="宋体" w:eastAsia="仿宋_GB2312"/>
          <w:b/>
          <w:bCs/>
          <w:color w:val="auto"/>
          <w:kern w:val="0"/>
          <w:sz w:val="32"/>
          <w:szCs w:val="32"/>
        </w:rPr>
        <w:t>坚持预防为主。</w:t>
      </w:r>
      <w:r>
        <w:rPr>
          <w:rFonts w:hint="eastAsia" w:ascii="仿宋_GB2312" w:hAnsi="宋体" w:eastAsia="仿宋_GB2312"/>
          <w:color w:val="auto"/>
          <w:kern w:val="0"/>
          <w:sz w:val="32"/>
          <w:szCs w:val="32"/>
        </w:rPr>
        <w:t>推进“健康光明”建设，坚持预防为主，推动卫生健康发展方式从“以治病为中心”向“以健康为中心”转变，提高疾病预防控制和公共卫生安全保障能力，坚持以人为本、系统治理、平</w:t>
      </w:r>
      <w:r>
        <w:rPr>
          <w:rFonts w:hint="eastAsia" w:ascii="仿宋_GB2312" w:hAnsi="宋体" w:eastAsia="仿宋_GB2312"/>
          <w:color w:val="auto"/>
          <w:kern w:val="0"/>
          <w:sz w:val="32"/>
          <w:szCs w:val="32"/>
          <w:lang w:eastAsia="zh-CN"/>
        </w:rPr>
        <w:t>急</w:t>
      </w:r>
      <w:r>
        <w:rPr>
          <w:rFonts w:hint="eastAsia" w:ascii="仿宋_GB2312" w:hAnsi="宋体" w:eastAsia="仿宋_GB2312"/>
          <w:color w:val="auto"/>
          <w:kern w:val="0"/>
          <w:sz w:val="32"/>
          <w:szCs w:val="32"/>
        </w:rPr>
        <w:t>结合，着力推进公共卫生应急管理体系和能力建设现代化，深化公共卫生运行保障机制改革，努力为人民群众提供全生命周期的卫生与健康服务。</w:t>
      </w:r>
      <w:bookmarkEnd w:id="1009"/>
    </w:p>
    <w:p>
      <w:pPr>
        <w:pStyle w:val="34"/>
        <w:keepNext w:val="0"/>
        <w:keepLines w:val="0"/>
        <w:pageBreakBefore w:val="0"/>
        <w:widowControl w:val="0"/>
        <w:shd w:val="clear"/>
        <w:kinsoku/>
        <w:wordWrap/>
        <w:overflowPunct/>
        <w:topLinePunct w:val="0"/>
        <w:autoSpaceDE/>
        <w:autoSpaceDN/>
        <w:bidi w:val="0"/>
        <w:adjustRightInd w:val="0"/>
        <w:snapToGrid w:val="0"/>
        <w:spacing w:line="560" w:lineRule="exact"/>
        <w:ind w:firstLine="642" w:firstLineChars="200"/>
        <w:textAlignment w:val="auto"/>
        <w:outlineLvl w:val="1"/>
        <w:rPr>
          <w:rFonts w:ascii="仿宋_GB2312" w:hAnsi="宋体" w:eastAsia="仿宋_GB2312"/>
          <w:color w:val="auto"/>
          <w:kern w:val="0"/>
          <w:sz w:val="32"/>
          <w:szCs w:val="32"/>
        </w:rPr>
      </w:pPr>
      <w:bookmarkStart w:id="1010" w:name="_Toc27175"/>
      <w:r>
        <w:rPr>
          <w:rFonts w:hint="eastAsia" w:ascii="仿宋_GB2312" w:hAnsi="宋体" w:eastAsia="仿宋_GB2312"/>
          <w:b/>
          <w:bCs/>
          <w:color w:val="auto"/>
          <w:kern w:val="0"/>
          <w:sz w:val="32"/>
          <w:szCs w:val="32"/>
        </w:rPr>
        <w:t>坚持基本保障优先。</w:t>
      </w:r>
      <w:r>
        <w:rPr>
          <w:rFonts w:hint="eastAsia" w:ascii="仿宋_GB2312" w:hAnsi="宋体" w:eastAsia="仿宋_GB2312"/>
          <w:color w:val="auto"/>
          <w:kern w:val="0"/>
          <w:sz w:val="32"/>
          <w:szCs w:val="32"/>
        </w:rPr>
        <w:t>优先保障居民的基本医疗服务需求，在此基础上发展多元化医疗服务，满足多层次医疗需求。把实现好、维护好、发展好人民群众健康权益作为卫生健康工作的根本出发点，发挥政府主导作用，把基本医疗卫生服务作为公共产品向全区居民提供，让人民群众共享卫生健康事业发展成果。</w:t>
      </w:r>
      <w:bookmarkEnd w:id="1010"/>
    </w:p>
    <w:p>
      <w:pPr>
        <w:pStyle w:val="34"/>
        <w:keepNext w:val="0"/>
        <w:keepLines w:val="0"/>
        <w:pageBreakBefore w:val="0"/>
        <w:widowControl w:val="0"/>
        <w:shd w:val="clear"/>
        <w:kinsoku/>
        <w:wordWrap/>
        <w:overflowPunct/>
        <w:topLinePunct w:val="0"/>
        <w:autoSpaceDE/>
        <w:autoSpaceDN/>
        <w:bidi w:val="0"/>
        <w:adjustRightInd w:val="0"/>
        <w:snapToGrid w:val="0"/>
        <w:spacing w:line="560" w:lineRule="exact"/>
        <w:ind w:firstLine="642" w:firstLineChars="200"/>
        <w:textAlignment w:val="auto"/>
        <w:outlineLvl w:val="1"/>
        <w:rPr>
          <w:rFonts w:ascii="仿宋_GB2312" w:hAnsi="宋体" w:eastAsia="仿宋_GB2312"/>
          <w:color w:val="auto"/>
          <w:kern w:val="0"/>
          <w:sz w:val="32"/>
          <w:szCs w:val="32"/>
        </w:rPr>
      </w:pPr>
      <w:bookmarkStart w:id="1011" w:name="_Toc17043"/>
      <w:r>
        <w:rPr>
          <w:rFonts w:hint="eastAsia" w:ascii="仿宋_GB2312" w:hAnsi="宋体" w:eastAsia="仿宋_GB2312"/>
          <w:b/>
          <w:bCs/>
          <w:color w:val="auto"/>
          <w:kern w:val="0"/>
          <w:sz w:val="32"/>
          <w:szCs w:val="32"/>
        </w:rPr>
        <w:t>坚持资源协同发展。</w:t>
      </w:r>
      <w:r>
        <w:rPr>
          <w:rFonts w:hint="eastAsia" w:ascii="仿宋_GB2312" w:hAnsi="宋体" w:eastAsia="仿宋_GB2312"/>
          <w:color w:val="auto"/>
          <w:kern w:val="0"/>
          <w:sz w:val="32"/>
          <w:szCs w:val="32"/>
        </w:rPr>
        <w:t>完善卫生健康服务体系，实现医疗机构、公共卫生机构、基层医疗机构的资源共享、联动发展，推动医疗、教学和科研协同发展，推进预防、医疗和康复护理服务链条整合，构建优质高效卫生健康服务体系，实现资源配置效益最大化和效率最优化。加强区域医疗中心和基层医疗集团建设，提升基层医疗卫生服务能力，完善分级诊疗模式。</w:t>
      </w:r>
      <w:bookmarkEnd w:id="1011"/>
    </w:p>
    <w:p>
      <w:pPr>
        <w:pStyle w:val="34"/>
        <w:keepNext w:val="0"/>
        <w:keepLines w:val="0"/>
        <w:pageBreakBefore w:val="0"/>
        <w:widowControl w:val="0"/>
        <w:shd w:val="clear"/>
        <w:kinsoku/>
        <w:wordWrap/>
        <w:overflowPunct/>
        <w:topLinePunct w:val="0"/>
        <w:autoSpaceDE/>
        <w:autoSpaceDN/>
        <w:bidi w:val="0"/>
        <w:adjustRightInd w:val="0"/>
        <w:snapToGrid w:val="0"/>
        <w:spacing w:line="560" w:lineRule="exact"/>
        <w:ind w:firstLine="642" w:firstLineChars="200"/>
        <w:textAlignment w:val="auto"/>
        <w:outlineLvl w:val="1"/>
        <w:rPr>
          <w:rFonts w:ascii="仿宋_GB2312" w:hAnsi="宋体" w:eastAsia="仿宋_GB2312"/>
          <w:color w:val="auto"/>
          <w:kern w:val="0"/>
          <w:sz w:val="32"/>
          <w:szCs w:val="32"/>
        </w:rPr>
      </w:pPr>
      <w:bookmarkStart w:id="1012" w:name="_Toc28326"/>
      <w:r>
        <w:rPr>
          <w:rFonts w:hint="eastAsia" w:ascii="仿宋_GB2312" w:hAnsi="宋体" w:eastAsia="仿宋_GB2312"/>
          <w:b/>
          <w:bCs/>
          <w:color w:val="auto"/>
          <w:kern w:val="0"/>
          <w:sz w:val="32"/>
          <w:szCs w:val="32"/>
        </w:rPr>
        <w:t>坚持创新提质增效。</w:t>
      </w:r>
      <w:r>
        <w:rPr>
          <w:rFonts w:hint="eastAsia" w:ascii="仿宋_GB2312" w:hAnsi="宋体" w:eastAsia="仿宋_GB2312"/>
          <w:color w:val="auto"/>
          <w:kern w:val="0"/>
          <w:sz w:val="32"/>
          <w:szCs w:val="32"/>
        </w:rPr>
        <w:t>促进医疗卫生事业与生命健康产业联动发展，促进生物医学、互联网＋等新技术向医疗行业渗透，促进新技术、新服务、新业态的快速转化利用，推动服务模式变革、提升服务供给效率。</w:t>
      </w:r>
      <w:bookmarkEnd w:id="1012"/>
    </w:p>
    <w:p>
      <w:pPr>
        <w:pStyle w:val="34"/>
        <w:keepNext w:val="0"/>
        <w:keepLines w:val="0"/>
        <w:pageBreakBefore w:val="0"/>
        <w:widowControl w:val="0"/>
        <w:shd w:val="clear"/>
        <w:kinsoku/>
        <w:wordWrap/>
        <w:overflowPunct/>
        <w:topLinePunct w:val="0"/>
        <w:autoSpaceDE/>
        <w:autoSpaceDN/>
        <w:bidi w:val="0"/>
        <w:adjustRightInd w:val="0"/>
        <w:snapToGrid w:val="0"/>
        <w:spacing w:line="560" w:lineRule="exact"/>
        <w:ind w:firstLine="642" w:firstLineChars="200"/>
        <w:textAlignment w:val="auto"/>
        <w:outlineLvl w:val="1"/>
        <w:rPr>
          <w:rFonts w:ascii="仿宋_GB2312" w:hAnsi="仿宋_GB2312" w:eastAsia="仿宋_GB2312" w:cs="仿宋_GB2312"/>
          <w:color w:val="auto"/>
          <w:sz w:val="32"/>
          <w:szCs w:val="32"/>
        </w:rPr>
      </w:pPr>
      <w:bookmarkStart w:id="1013" w:name="_Toc2779"/>
      <w:bookmarkStart w:id="1014" w:name="_Toc20154"/>
      <w:bookmarkStart w:id="1015" w:name="_Toc18911"/>
      <w:bookmarkStart w:id="1016" w:name="_Toc5472"/>
      <w:bookmarkStart w:id="1017" w:name="_Toc11789"/>
      <w:bookmarkStart w:id="1018" w:name="_Toc22922"/>
      <w:bookmarkStart w:id="1019" w:name="_Toc2069"/>
      <w:bookmarkStart w:id="1020" w:name="_Toc28341"/>
      <w:bookmarkStart w:id="1021" w:name="_Toc31387"/>
      <w:bookmarkStart w:id="1022" w:name="_Toc27433"/>
      <w:bookmarkStart w:id="1023" w:name="_Toc8784"/>
      <w:bookmarkStart w:id="1024" w:name="_Toc2778"/>
      <w:bookmarkStart w:id="1025" w:name="_Toc23534"/>
      <w:bookmarkStart w:id="1026" w:name="_Toc4771"/>
      <w:bookmarkStart w:id="1027" w:name="_Toc10796"/>
      <w:bookmarkStart w:id="1028" w:name="_Toc18664"/>
      <w:bookmarkStart w:id="1029" w:name="_Toc28815"/>
      <w:bookmarkStart w:id="1030" w:name="_Toc1262"/>
      <w:bookmarkStart w:id="1031" w:name="_Toc11577"/>
      <w:bookmarkStart w:id="1032" w:name="_Toc13595"/>
      <w:bookmarkStart w:id="1033" w:name="_Toc18394"/>
      <w:bookmarkStart w:id="1034" w:name="_Toc27571"/>
      <w:bookmarkStart w:id="1035" w:name="_Toc28629"/>
      <w:bookmarkStart w:id="1036" w:name="_Toc15624"/>
      <w:bookmarkStart w:id="1037" w:name="_Toc29058"/>
      <w:bookmarkStart w:id="1038" w:name="_Toc6339"/>
      <w:bookmarkStart w:id="1039" w:name="_Toc27213"/>
      <w:bookmarkStart w:id="1040" w:name="_Toc4460"/>
      <w:bookmarkStart w:id="1041" w:name="_Toc27345"/>
      <w:bookmarkStart w:id="1042" w:name="_Toc18480"/>
      <w:bookmarkStart w:id="1043" w:name="_Toc15436"/>
      <w:bookmarkStart w:id="1044" w:name="_Toc24663"/>
      <w:bookmarkStart w:id="1045" w:name="_Toc31828"/>
      <w:bookmarkStart w:id="1046" w:name="_Toc4811"/>
      <w:bookmarkStart w:id="1047" w:name="_Toc16885"/>
      <w:bookmarkStart w:id="1048" w:name="_Toc10894"/>
      <w:bookmarkStart w:id="1049" w:name="_Toc7379"/>
      <w:bookmarkStart w:id="1050" w:name="_Toc2116"/>
      <w:bookmarkStart w:id="1051" w:name="_Toc26369"/>
      <w:bookmarkStart w:id="1052" w:name="_Toc29532"/>
      <w:bookmarkStart w:id="1053" w:name="_Toc13736"/>
      <w:bookmarkStart w:id="1054" w:name="_Toc20660"/>
      <w:bookmarkStart w:id="1055" w:name="_Toc6558"/>
      <w:bookmarkStart w:id="1056" w:name="_Toc11849"/>
      <w:r>
        <w:rPr>
          <w:rFonts w:hint="eastAsia" w:ascii="仿宋_GB2312" w:hAnsi="仿宋_GB2312" w:eastAsia="仿宋_GB2312" w:cs="仿宋_GB2312"/>
          <w:b/>
          <w:bCs/>
          <w:color w:val="auto"/>
          <w:sz w:val="32"/>
          <w:szCs w:val="32"/>
        </w:rPr>
        <w:t>坚持中西医并重。</w:t>
      </w:r>
      <w:r>
        <w:rPr>
          <w:rFonts w:hint="eastAsia" w:ascii="仿宋_GB2312" w:hAnsi="仿宋_GB2312" w:eastAsia="仿宋_GB2312" w:cs="仿宋_GB2312"/>
          <w:color w:val="auto"/>
          <w:sz w:val="32"/>
          <w:szCs w:val="32"/>
        </w:rPr>
        <w:t>传承创新发展中医药是新时代中国特色社会主义事业的重要内容，是中华民族伟大复兴的大事，坚持中西医并重，发挥中医药原创优势，打造中医药和西医</w:t>
      </w:r>
      <w:bookmarkEnd w:id="1013"/>
    </w:p>
    <w:p>
      <w:pPr>
        <w:pStyle w:val="32"/>
        <w:pageBreakBefore w:val="0"/>
        <w:shd w:val="clear"/>
        <w:kinsoku/>
        <w:wordWrap/>
        <w:overflowPunct/>
        <w:topLinePunct w:val="0"/>
        <w:autoSpaceDN/>
        <w:bidi w:val="0"/>
        <w:adjustRightInd w:val="0"/>
        <w:snapToGrid w:val="0"/>
        <w:spacing w:line="560" w:lineRule="exact"/>
        <w:ind w:firstLine="108" w:firstLineChars="34"/>
        <w:textAlignment w:val="auto"/>
        <w:outlineLvl w:val="1"/>
        <w:rPr>
          <w:rFonts w:hint="eastAsia" w:ascii="仿宋_GB2312" w:hAnsi="仿宋_GB2312" w:eastAsia="仿宋_GB2312" w:cs="仿宋_GB2312"/>
          <w:color w:val="auto"/>
          <w:kern w:val="2"/>
          <w:sz w:val="32"/>
          <w:szCs w:val="32"/>
        </w:rPr>
      </w:pPr>
      <w:bookmarkStart w:id="1057" w:name="_Toc21404"/>
      <w:r>
        <w:rPr>
          <w:rFonts w:hint="eastAsia" w:ascii="仿宋_GB2312" w:hAnsi="仿宋_GB2312" w:eastAsia="仿宋_GB2312" w:cs="仿宋_GB2312"/>
          <w:color w:val="auto"/>
          <w:kern w:val="2"/>
          <w:sz w:val="32"/>
          <w:szCs w:val="32"/>
        </w:rPr>
        <w:t>药相互补充协调发展的光明特色发展模式。</w:t>
      </w:r>
      <w:bookmarkEnd w:id="1014"/>
      <w:bookmarkEnd w:id="1015"/>
      <w:bookmarkEnd w:id="1016"/>
      <w:bookmarkEnd w:id="1017"/>
      <w:bookmarkEnd w:id="1057"/>
    </w:p>
    <w:p>
      <w:pPr>
        <w:pStyle w:val="32"/>
        <w:pageBreakBefore w:val="0"/>
        <w:shd w:val="clear"/>
        <w:kinsoku/>
        <w:wordWrap/>
        <w:overflowPunct/>
        <w:topLinePunct w:val="0"/>
        <w:autoSpaceDN/>
        <w:bidi w:val="0"/>
        <w:adjustRightInd w:val="0"/>
        <w:snapToGrid w:val="0"/>
        <w:spacing w:line="560" w:lineRule="exact"/>
        <w:ind w:firstLine="108" w:firstLineChars="34"/>
        <w:textAlignment w:val="auto"/>
        <w:outlineLvl w:val="1"/>
        <w:rPr>
          <w:rFonts w:hint="eastAsia" w:ascii="仿宋_GB2312" w:hAnsi="仿宋_GB2312" w:eastAsia="仿宋_GB2312" w:cs="仿宋_GB2312"/>
          <w:color w:val="auto"/>
          <w:kern w:val="2"/>
          <w:sz w:val="32"/>
          <w:szCs w:val="32"/>
        </w:rPr>
      </w:pPr>
    </w:p>
    <w:p>
      <w:pPr>
        <w:pStyle w:val="6"/>
        <w:keepNext w:val="0"/>
        <w:keepLines w:val="0"/>
        <w:pageBreakBefore w:val="0"/>
        <w:shd w:val="clear"/>
        <w:kinsoku/>
        <w:wordWrap/>
        <w:overflowPunct/>
        <w:topLinePunct w:val="0"/>
        <w:autoSpaceDN/>
        <w:bidi w:val="0"/>
        <w:snapToGrid w:val="0"/>
        <w:spacing w:before="0" w:after="0" w:line="560" w:lineRule="exact"/>
        <w:ind w:firstLine="200" w:firstLineChars="0"/>
        <w:jc w:val="center"/>
        <w:textAlignment w:val="auto"/>
        <w:rPr>
          <w:rFonts w:hint="eastAsia" w:ascii="黑体" w:hAnsi="黑体" w:eastAsia="黑体" w:cs="黑体"/>
          <w:b w:val="0"/>
          <w:bCs w:val="0"/>
          <w:color w:val="auto"/>
          <w:kern w:val="2"/>
          <w:sz w:val="32"/>
          <w:szCs w:val="32"/>
          <w:lang w:val="en-US" w:eastAsia="zh-CN" w:bidi="ar-SA"/>
        </w:rPr>
      </w:pPr>
      <w:bookmarkStart w:id="1058" w:name="_Toc29351"/>
      <w:bookmarkStart w:id="1059" w:name="_Toc773727105_WPSOffice_Level2"/>
      <w:bookmarkStart w:id="1060" w:name="_Toc28724"/>
      <w:bookmarkStart w:id="1061" w:name="_Toc16613"/>
      <w:bookmarkStart w:id="1062" w:name="_Toc22719"/>
      <w:bookmarkStart w:id="1063" w:name="_Toc23725"/>
      <w:bookmarkStart w:id="1064" w:name="_Toc5011"/>
      <w:bookmarkStart w:id="1065" w:name="_Toc15384"/>
      <w:bookmarkStart w:id="1066" w:name="_Toc15073"/>
      <w:bookmarkStart w:id="1067" w:name="_Toc10680"/>
      <w:bookmarkStart w:id="1068" w:name="_Toc25896"/>
      <w:bookmarkStart w:id="1069" w:name="_Toc28343"/>
      <w:bookmarkStart w:id="1070" w:name="_Toc32625"/>
      <w:bookmarkStart w:id="1071" w:name="_Toc11146"/>
      <w:bookmarkStart w:id="1072" w:name="_Toc30078"/>
      <w:bookmarkStart w:id="1073" w:name="_Toc9357"/>
      <w:bookmarkStart w:id="1074" w:name="_Toc5629"/>
      <w:bookmarkStart w:id="1075" w:name="_Toc13964"/>
      <w:bookmarkStart w:id="1076" w:name="_Toc12866"/>
      <w:bookmarkStart w:id="1077" w:name="_Toc20246"/>
      <w:bookmarkStart w:id="1078" w:name="_Toc29185"/>
      <w:bookmarkStart w:id="1079" w:name="_Toc13511"/>
      <w:bookmarkStart w:id="1080" w:name="_Toc31149"/>
      <w:bookmarkStart w:id="1081" w:name="_Toc11041"/>
      <w:bookmarkStart w:id="1082" w:name="_Toc31912"/>
      <w:bookmarkStart w:id="1083" w:name="_Toc18095"/>
      <w:bookmarkStart w:id="1084" w:name="_Toc7139"/>
      <w:bookmarkStart w:id="1085" w:name="_Toc4409"/>
      <w:bookmarkStart w:id="1086" w:name="_Toc21785"/>
      <w:r>
        <w:rPr>
          <w:rFonts w:hint="eastAsia" w:ascii="黑体" w:hAnsi="黑体" w:eastAsia="黑体" w:cs="黑体"/>
          <w:b w:val="0"/>
          <w:bCs w:val="0"/>
          <w:color w:val="auto"/>
          <w:kern w:val="2"/>
          <w:sz w:val="32"/>
          <w:szCs w:val="32"/>
          <w:lang w:val="en-US" w:eastAsia="zh-CN" w:bidi="ar-SA"/>
        </w:rPr>
        <w:t>第三节 发展目标</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Start w:id="1087" w:name="_Toc29888"/>
      <w:bookmarkStart w:id="1088" w:name="_Toc2796"/>
      <w:bookmarkStart w:id="1089" w:name="_Toc10955"/>
      <w:bookmarkStart w:id="1090" w:name="_Toc18856"/>
      <w:bookmarkStart w:id="1091" w:name="_Toc652"/>
      <w:bookmarkStart w:id="1092" w:name="_Toc22385"/>
      <w:bookmarkStart w:id="1093" w:name="_Toc31429"/>
      <w:bookmarkStart w:id="1094" w:name="_Toc13854"/>
      <w:bookmarkStart w:id="1095" w:name="_Toc9561"/>
      <w:bookmarkStart w:id="1096" w:name="_Toc6933"/>
      <w:bookmarkStart w:id="1097" w:name="_Toc15107"/>
      <w:bookmarkStart w:id="1098" w:name="_Toc31384"/>
      <w:bookmarkStart w:id="1099" w:name="_Toc27637"/>
      <w:bookmarkStart w:id="1100" w:name="_Toc20790"/>
      <w:bookmarkStart w:id="1101" w:name="_Toc17761"/>
      <w:bookmarkStart w:id="1102" w:name="_Toc12318"/>
      <w:bookmarkStart w:id="1103" w:name="_Toc14241"/>
      <w:bookmarkStart w:id="1104" w:name="_Toc28415"/>
      <w:bookmarkStart w:id="1105" w:name="_Toc28626"/>
      <w:bookmarkStart w:id="1106" w:name="_Toc3326"/>
      <w:bookmarkStart w:id="1107" w:name="_Toc8336"/>
      <w:bookmarkStart w:id="1108" w:name="_Toc22379"/>
      <w:bookmarkStart w:id="1109" w:name="_Toc10532"/>
      <w:bookmarkStart w:id="1110" w:name="_Toc13266"/>
      <w:bookmarkStart w:id="1111" w:name="_Toc16371"/>
      <w:bookmarkStart w:id="1112" w:name="_Toc8091"/>
      <w:bookmarkStart w:id="1113" w:name="_Toc13744"/>
      <w:bookmarkStart w:id="1114" w:name="_Toc26793"/>
      <w:bookmarkStart w:id="1115" w:name="_Toc3364"/>
      <w:bookmarkStart w:id="1116" w:name="_Toc6203"/>
      <w:bookmarkStart w:id="1117" w:name="_Toc13018"/>
      <w:bookmarkStart w:id="1118" w:name="_Toc2700"/>
      <w:bookmarkStart w:id="1119" w:name="_Toc17418"/>
      <w:bookmarkStart w:id="1120" w:name="_Toc16680"/>
      <w:bookmarkStart w:id="1121" w:name="_Toc24220"/>
      <w:bookmarkStart w:id="1122" w:name="_Toc7662"/>
      <w:bookmarkStart w:id="1123" w:name="_Toc19323"/>
      <w:bookmarkStart w:id="1124" w:name="_Toc28152"/>
      <w:bookmarkStart w:id="1125" w:name="_Toc12991"/>
      <w:bookmarkStart w:id="1126" w:name="_Toc9852"/>
      <w:bookmarkStart w:id="1127" w:name="_Toc4534"/>
      <w:bookmarkStart w:id="1128" w:name="_Toc18646"/>
      <w:bookmarkStart w:id="1129" w:name="_Toc17723"/>
      <w:bookmarkStart w:id="1130" w:name="_Toc20803"/>
    </w:p>
    <w:p>
      <w:pPr>
        <w:pStyle w:val="7"/>
        <w:keepNext w:val="0"/>
        <w:keepLines w:val="0"/>
        <w:pageBreakBefore w:val="0"/>
        <w:shd w:val="clear"/>
        <w:kinsoku/>
        <w:wordWrap/>
        <w:overflowPunct/>
        <w:topLinePunct w:val="0"/>
        <w:autoSpaceDN/>
        <w:bidi w:val="0"/>
        <w:spacing w:before="0" w:after="0" w:line="560" w:lineRule="exact"/>
        <w:ind w:firstLine="640" w:firstLineChars="200"/>
        <w:textAlignment w:val="auto"/>
        <w:rPr>
          <w:rFonts w:hint="eastAsia" w:ascii="黑体" w:hAnsi="黑体" w:eastAsia="黑体" w:cs="黑体"/>
          <w:bCs w:val="0"/>
          <w:color w:val="auto"/>
          <w:sz w:val="32"/>
          <w:szCs w:val="32"/>
          <w:lang w:val="en-US" w:eastAsia="zh-CN"/>
        </w:rPr>
      </w:pPr>
      <w:bookmarkStart w:id="1131" w:name="_Toc23192"/>
      <w:bookmarkStart w:id="1132" w:name="_Toc22434_WPSOffice_Level3"/>
      <w:bookmarkStart w:id="1133" w:name="_Toc29380"/>
      <w:bookmarkStart w:id="1134" w:name="_Toc24903"/>
      <w:bookmarkStart w:id="1135" w:name="_Toc16875"/>
      <w:bookmarkStart w:id="1136" w:name="_Toc23790"/>
      <w:bookmarkStart w:id="1137" w:name="_Toc32730"/>
      <w:bookmarkStart w:id="1138" w:name="_Toc6763"/>
      <w:bookmarkStart w:id="1139" w:name="_Toc31259_WPSOffice_Level3"/>
      <w:bookmarkStart w:id="1140" w:name="_Toc13246"/>
      <w:bookmarkStart w:id="1141" w:name="_Toc14425"/>
      <w:bookmarkStart w:id="1142" w:name="_Toc23919"/>
      <w:bookmarkStart w:id="1143" w:name="_Toc833"/>
      <w:bookmarkStart w:id="1144" w:name="_Toc21920"/>
      <w:bookmarkStart w:id="1145" w:name="_Toc27815"/>
      <w:bookmarkStart w:id="1146" w:name="_Toc1882596952_WPSOffice_Level3"/>
      <w:bookmarkStart w:id="1147" w:name="_Toc3793"/>
      <w:bookmarkStart w:id="1148" w:name="_Toc29600"/>
      <w:bookmarkStart w:id="1149" w:name="_Toc11428"/>
      <w:bookmarkStart w:id="1150" w:name="_Toc6526"/>
      <w:bookmarkStart w:id="1151" w:name="_Toc17091"/>
      <w:bookmarkStart w:id="1152" w:name="_Toc32179"/>
      <w:bookmarkStart w:id="1153" w:name="_Toc13480"/>
      <w:bookmarkStart w:id="1154" w:name="_Toc14528"/>
      <w:bookmarkStart w:id="1155" w:name="_Toc31814"/>
      <w:bookmarkStart w:id="1156" w:name="_Toc29090"/>
      <w:r>
        <w:rPr>
          <w:rFonts w:hint="eastAsia" w:ascii="黑体" w:hAnsi="黑体" w:eastAsia="黑体" w:cs="黑体"/>
          <w:b w:val="0"/>
          <w:bCs w:val="0"/>
          <w:color w:val="auto"/>
          <w:kern w:val="2"/>
          <w:sz w:val="32"/>
          <w:szCs w:val="32"/>
          <w:lang w:val="en-US" w:eastAsia="zh-CN" w:bidi="ar-SA"/>
        </w:rPr>
        <w:t>一、总体目标</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pPr>
        <w:pStyle w:val="34"/>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bCs/>
          <w:color w:val="auto"/>
          <w:sz w:val="32"/>
          <w:szCs w:val="32"/>
          <w:highlight w:val="none"/>
          <w:shd w:val="clear" w:color="auto" w:fill="FFFFFF"/>
        </w:rPr>
      </w:pPr>
      <w:bookmarkStart w:id="1157" w:name="_Toc15892"/>
      <w:r>
        <w:rPr>
          <w:rFonts w:hint="eastAsia" w:ascii="仿宋_GB2312" w:hAnsi="Times New Roman" w:eastAsia="仿宋_GB2312" w:cs="Times New Roman"/>
          <w:b w:val="0"/>
          <w:bCs w:val="0"/>
          <w:color w:val="auto"/>
          <w:kern w:val="2"/>
          <w:sz w:val="32"/>
          <w:szCs w:val="32"/>
          <w:highlight w:val="none"/>
          <w:lang w:val="en-US" w:eastAsia="zh-CN" w:bidi="ar-SA"/>
        </w:rPr>
        <w:t>以建设“健康光明”、加快实现“病有良医”为总体目标。</w:t>
      </w:r>
      <w:r>
        <w:rPr>
          <w:rFonts w:hint="eastAsia" w:ascii="仿宋_GB2312" w:eastAsia="仿宋_GB2312"/>
          <w:color w:val="auto"/>
          <w:sz w:val="32"/>
          <w:szCs w:val="32"/>
          <w:highlight w:val="none"/>
        </w:rPr>
        <w:t>将贯彻落实先行示范区建设意见、粤港澳大湾区</w:t>
      </w:r>
      <w:r>
        <w:rPr>
          <w:rFonts w:hint="eastAsia" w:ascii="仿宋_GB2312" w:eastAsia="仿宋_GB2312"/>
          <w:color w:val="auto"/>
          <w:sz w:val="32"/>
          <w:szCs w:val="32"/>
          <w:highlight w:val="none"/>
          <w:lang w:eastAsia="zh-CN"/>
        </w:rPr>
        <w:t>发展规划</w:t>
      </w:r>
      <w:r>
        <w:rPr>
          <w:rFonts w:hint="eastAsia" w:ascii="仿宋_GB2312" w:eastAsia="仿宋_GB2312"/>
          <w:color w:val="auto"/>
          <w:sz w:val="32"/>
          <w:szCs w:val="32"/>
          <w:highlight w:val="none"/>
        </w:rPr>
        <w:t>纲要及光明科学城打造区域医疗卫生高地的要求与实施健康中国战略及密切结合起来，</w:t>
      </w:r>
      <w:r>
        <w:rPr>
          <w:rFonts w:hint="eastAsia" w:ascii="仿宋_GB2312" w:hAnsi="仿宋_GB2312" w:eastAsia="仿宋_GB2312" w:cs="仿宋_GB2312"/>
          <w:b/>
          <w:bCs w:val="0"/>
          <w:color w:val="auto"/>
          <w:sz w:val="32"/>
          <w:szCs w:val="32"/>
          <w:highlight w:val="none"/>
          <w:shd w:val="clear" w:color="auto" w:fill="FFFFFF"/>
        </w:rPr>
        <w:t>以“补短板、强基层、建高地、促健康”为主线，</w:t>
      </w:r>
      <w:r>
        <w:rPr>
          <w:rFonts w:hint="eastAsia" w:ascii="仿宋_GB2312" w:hAnsi="仿宋_GB2312" w:eastAsia="仿宋_GB2312" w:cs="仿宋_GB2312"/>
          <w:bCs/>
          <w:color w:val="auto"/>
          <w:sz w:val="32"/>
          <w:szCs w:val="32"/>
          <w:highlight w:val="none"/>
          <w:shd w:val="clear" w:color="auto" w:fill="FFFFFF"/>
        </w:rPr>
        <w:t>按照“以治疗为中心”向“以健康为中心”转变的工作思路，到2025年，卫生强区、医疗高地建设取得显著成效，</w:t>
      </w:r>
      <w:r>
        <w:rPr>
          <w:rFonts w:hint="eastAsia" w:ascii="仿宋_GB2312" w:hAnsi="仿宋_GB2312" w:eastAsia="仿宋_GB2312" w:cs="仿宋_GB2312"/>
          <w:bCs/>
          <w:color w:val="auto"/>
          <w:sz w:val="32"/>
          <w:szCs w:val="32"/>
          <w:highlight w:val="none"/>
        </w:rPr>
        <w:t>医疗卫生资源配置优化，</w:t>
      </w:r>
      <w:r>
        <w:rPr>
          <w:rFonts w:hint="eastAsia" w:ascii="仿宋_GB2312" w:hAnsi="仿宋_GB2312" w:eastAsia="仿宋_GB2312" w:cs="仿宋_GB2312"/>
          <w:bCs/>
          <w:color w:val="auto"/>
          <w:sz w:val="32"/>
          <w:szCs w:val="32"/>
          <w:highlight w:val="none"/>
          <w:shd w:val="clear" w:color="auto" w:fill="FFFFFF"/>
        </w:rPr>
        <w:t>建立起</w:t>
      </w:r>
      <w:r>
        <w:rPr>
          <w:rFonts w:hint="eastAsia" w:ascii="仿宋_GB2312" w:hAnsi="仿宋_GB2312" w:eastAsia="仿宋_GB2312" w:cs="仿宋_GB2312"/>
          <w:bCs/>
          <w:color w:val="auto"/>
          <w:sz w:val="32"/>
          <w:szCs w:val="32"/>
          <w:highlight w:val="none"/>
        </w:rPr>
        <w:t>与国民经济和社会发展水平相适应、与居民健康需求相匹配、体系完整、分工明确、布局合理、</w:t>
      </w:r>
      <w:r>
        <w:rPr>
          <w:rFonts w:hint="eastAsia" w:ascii="仿宋_GB2312" w:hAnsi="仿宋_GB2312" w:eastAsia="仿宋_GB2312" w:cs="仿宋_GB2312"/>
          <w:bCs/>
          <w:color w:val="auto"/>
          <w:kern w:val="0"/>
          <w:sz w:val="32"/>
          <w:szCs w:val="32"/>
          <w:highlight w:val="none"/>
        </w:rPr>
        <w:t>分级医疗、医养融合、功能完善、防治结合、</w:t>
      </w:r>
      <w:r>
        <w:rPr>
          <w:rFonts w:hint="eastAsia" w:ascii="仿宋_GB2312" w:hAnsi="仿宋_GB2312" w:eastAsia="仿宋_GB2312" w:cs="仿宋_GB2312"/>
          <w:bCs/>
          <w:color w:val="auto"/>
          <w:sz w:val="32"/>
          <w:szCs w:val="32"/>
          <w:highlight w:val="none"/>
        </w:rPr>
        <w:t>上下联通、密切协作的整合型医疗卫生服务体系。</w:t>
      </w:r>
      <w:r>
        <w:rPr>
          <w:rFonts w:hint="eastAsia" w:ascii="仿宋_GB2312" w:hAnsi="仿宋_GB2312" w:eastAsia="仿宋_GB2312" w:cs="仿宋_GB2312"/>
          <w:bCs/>
          <w:color w:val="auto"/>
          <w:sz w:val="32"/>
          <w:szCs w:val="32"/>
          <w:highlight w:val="none"/>
          <w:shd w:val="clear" w:color="auto" w:fill="FFFFFF"/>
        </w:rPr>
        <w:t>实现人人享有基本医疗卫生服务，人民群众健康水平明显提升，医疗服务综合实力与主要健康指标</w:t>
      </w:r>
      <w:r>
        <w:rPr>
          <w:rFonts w:hint="eastAsia" w:ascii="仿宋_GB2312" w:hAnsi="仿宋_GB2312" w:eastAsia="仿宋_GB2312" w:cs="仿宋_GB2312"/>
          <w:bCs/>
          <w:color w:val="auto"/>
          <w:sz w:val="32"/>
          <w:szCs w:val="32"/>
          <w:highlight w:val="none"/>
          <w:shd w:val="clear" w:color="auto" w:fill="FFFFFF"/>
          <w:lang w:val="zh-CN"/>
        </w:rPr>
        <w:t>达到全国先进水平</w:t>
      </w:r>
      <w:r>
        <w:rPr>
          <w:rFonts w:hint="eastAsia" w:ascii="仿宋_GB2312" w:hAnsi="仿宋_GB2312" w:eastAsia="仿宋_GB2312" w:cs="仿宋_GB2312"/>
          <w:bCs/>
          <w:color w:val="auto"/>
          <w:sz w:val="32"/>
          <w:szCs w:val="32"/>
          <w:highlight w:val="none"/>
          <w:shd w:val="clear" w:color="auto" w:fill="FFFFFF"/>
        </w:rPr>
        <w:t>，为建设世界一流科学城提供健康保障。</w:t>
      </w:r>
      <w:bookmarkEnd w:id="1157"/>
    </w:p>
    <w:p>
      <w:pPr>
        <w:pStyle w:val="7"/>
        <w:keepNext w:val="0"/>
        <w:keepLines w:val="0"/>
        <w:pageBreakBefore w:val="0"/>
        <w:shd w:val="clear"/>
        <w:kinsoku/>
        <w:wordWrap/>
        <w:overflowPunct/>
        <w:topLinePunct w:val="0"/>
        <w:autoSpaceDN/>
        <w:bidi w:val="0"/>
        <w:spacing w:before="0" w:after="0" w:line="56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bookmarkStart w:id="1158" w:name="_Toc18804"/>
      <w:bookmarkStart w:id="1159" w:name="_Toc2337"/>
      <w:bookmarkStart w:id="1160" w:name="_Toc19756"/>
      <w:bookmarkStart w:id="1161" w:name="_Toc26792"/>
      <w:bookmarkStart w:id="1162" w:name="_Toc30111"/>
      <w:bookmarkStart w:id="1163" w:name="_Toc21146"/>
      <w:bookmarkStart w:id="1164" w:name="_Toc14228"/>
      <w:bookmarkStart w:id="1165" w:name="_Toc6629"/>
      <w:bookmarkStart w:id="1166" w:name="_Toc24852"/>
      <w:bookmarkStart w:id="1167" w:name="_Toc15581_WPSOffice_Level3"/>
      <w:bookmarkStart w:id="1168" w:name="_Toc1585"/>
      <w:bookmarkStart w:id="1169" w:name="_Toc28829"/>
      <w:bookmarkStart w:id="1170" w:name="_Toc7393"/>
      <w:bookmarkStart w:id="1171" w:name="_Toc18407"/>
      <w:bookmarkStart w:id="1172" w:name="_Toc21977"/>
      <w:bookmarkStart w:id="1173" w:name="_Toc23354"/>
      <w:bookmarkStart w:id="1174" w:name="_Toc8927"/>
      <w:bookmarkStart w:id="1175" w:name="_Toc32657"/>
      <w:bookmarkStart w:id="1176" w:name="_Toc2847"/>
      <w:bookmarkStart w:id="1177" w:name="_Toc2790"/>
      <w:bookmarkStart w:id="1178" w:name="_Toc16906"/>
      <w:bookmarkStart w:id="1179" w:name="_Toc28516"/>
      <w:bookmarkStart w:id="1180" w:name="_Toc17267"/>
      <w:bookmarkStart w:id="1181" w:name="_Toc2974"/>
      <w:bookmarkStart w:id="1182" w:name="_Toc1705"/>
      <w:bookmarkStart w:id="1183" w:name="_Toc6349"/>
      <w:bookmarkStart w:id="1184" w:name="_Toc17211"/>
      <w:bookmarkStart w:id="1185" w:name="_Toc31527"/>
      <w:bookmarkStart w:id="1186" w:name="_Toc15042"/>
      <w:bookmarkStart w:id="1187" w:name="_Toc14570"/>
      <w:bookmarkStart w:id="1188" w:name="_Toc1336"/>
      <w:bookmarkStart w:id="1189" w:name="_Toc31231"/>
      <w:bookmarkStart w:id="1190" w:name="_Toc26416"/>
      <w:bookmarkStart w:id="1191" w:name="_Toc1642"/>
      <w:bookmarkStart w:id="1192" w:name="_Toc28495"/>
      <w:bookmarkStart w:id="1193" w:name="_Toc26630"/>
      <w:bookmarkStart w:id="1194" w:name="_Toc28199"/>
      <w:bookmarkStart w:id="1195" w:name="_Toc728"/>
      <w:bookmarkStart w:id="1196" w:name="_Toc126"/>
      <w:bookmarkStart w:id="1197" w:name="_Toc23915"/>
      <w:bookmarkStart w:id="1198" w:name="_Toc108953475_WPSOffice_Level3"/>
      <w:bookmarkStart w:id="1199" w:name="_Toc28528"/>
      <w:bookmarkStart w:id="1200" w:name="_Toc4907"/>
      <w:bookmarkStart w:id="1201" w:name="_Toc21563"/>
      <w:bookmarkStart w:id="1202" w:name="_Toc7751"/>
      <w:bookmarkStart w:id="1203" w:name="_Toc17079"/>
      <w:bookmarkStart w:id="1204" w:name="_Toc27466"/>
      <w:bookmarkStart w:id="1205" w:name="_Toc810"/>
      <w:bookmarkStart w:id="1206" w:name="_Toc10898"/>
      <w:bookmarkStart w:id="1207" w:name="_Toc9180"/>
      <w:bookmarkStart w:id="1208" w:name="_Toc19133"/>
      <w:bookmarkStart w:id="1209" w:name="_Toc10226"/>
      <w:bookmarkStart w:id="1210" w:name="_Toc9701"/>
      <w:bookmarkStart w:id="1211" w:name="_Toc10263"/>
      <w:bookmarkStart w:id="1212" w:name="_Toc22023"/>
      <w:bookmarkStart w:id="1213" w:name="_Toc6943"/>
      <w:bookmarkStart w:id="1214" w:name="_Toc29642"/>
      <w:bookmarkStart w:id="1215" w:name="_Toc25786"/>
      <w:bookmarkStart w:id="1216" w:name="_Toc18913"/>
      <w:bookmarkStart w:id="1217" w:name="_Toc5059"/>
      <w:bookmarkStart w:id="1218" w:name="_Toc12215"/>
      <w:bookmarkStart w:id="1219" w:name="_Toc5909"/>
      <w:bookmarkStart w:id="1220" w:name="_Toc13008"/>
      <w:bookmarkStart w:id="1221" w:name="_Toc31661"/>
      <w:bookmarkStart w:id="1222" w:name="_Toc8059_WPSOffice_Level3"/>
      <w:bookmarkStart w:id="1223" w:name="_Toc17800"/>
      <w:bookmarkStart w:id="1224" w:name="_Toc2323"/>
      <w:bookmarkStart w:id="1225" w:name="_Toc18534"/>
      <w:bookmarkStart w:id="1226" w:name="_Toc11944"/>
      <w:bookmarkStart w:id="1227" w:name="_Toc12801"/>
      <w:r>
        <w:rPr>
          <w:rFonts w:hint="eastAsia" w:ascii="黑体" w:hAnsi="黑体" w:eastAsia="黑体" w:cs="黑体"/>
          <w:b w:val="0"/>
          <w:bCs w:val="0"/>
          <w:color w:val="auto"/>
          <w:kern w:val="2"/>
          <w:sz w:val="32"/>
          <w:szCs w:val="32"/>
          <w:lang w:val="en-US" w:eastAsia="zh-CN" w:bidi="ar-SA"/>
        </w:rPr>
        <w:t>二、具体目标</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p>
    <w:p>
      <w:pPr>
        <w:pStyle w:val="34"/>
        <w:keepNext w:val="0"/>
        <w:keepLines w:val="0"/>
        <w:pageBreakBefore w:val="0"/>
        <w:widowControl w:val="0"/>
        <w:shd w:val="clear"/>
        <w:kinsoku/>
        <w:wordWrap/>
        <w:overflowPunct/>
        <w:topLinePunct w:val="0"/>
        <w:autoSpaceDE/>
        <w:autoSpaceDN/>
        <w:bidi w:val="0"/>
        <w:adjustRightInd w:val="0"/>
        <w:snapToGrid w:val="0"/>
        <w:spacing w:line="560" w:lineRule="exact"/>
        <w:ind w:firstLine="642" w:firstLineChars="200"/>
        <w:textAlignment w:val="auto"/>
        <w:outlineLvl w:val="1"/>
        <w:rPr>
          <w:rFonts w:ascii="仿宋_GB2312" w:hAnsi="仿宋" w:eastAsia="仿宋_GB2312" w:cs="仿宋_GB2312"/>
          <w:color w:val="auto"/>
          <w:sz w:val="32"/>
          <w:szCs w:val="32"/>
        </w:rPr>
      </w:pPr>
      <w:bookmarkStart w:id="1228" w:name="_Toc16080"/>
      <w:r>
        <w:rPr>
          <w:rFonts w:hint="eastAsia" w:ascii="仿宋_GB2312" w:hAnsi="仿宋_GB2312" w:eastAsia="仿宋_GB2312" w:cs="仿宋_GB2312"/>
          <w:b/>
          <w:bCs w:val="0"/>
          <w:color w:val="auto"/>
          <w:sz w:val="32"/>
          <w:szCs w:val="32"/>
          <w:shd w:val="clear" w:color="auto" w:fill="FFFFFF"/>
        </w:rPr>
        <w:t>——实施健康深圳“光明样板”。</w:t>
      </w:r>
      <w:r>
        <w:rPr>
          <w:rFonts w:hint="eastAsia" w:ascii="仿宋_GB2312" w:hAnsi="仿宋_GB2312" w:eastAsia="仿宋_GB2312" w:cs="仿宋_GB2312"/>
          <w:bCs/>
          <w:color w:val="auto"/>
          <w:sz w:val="32"/>
          <w:szCs w:val="32"/>
          <w:shd w:val="clear" w:color="auto" w:fill="FFFFFF"/>
        </w:rPr>
        <w:t>按照《关于打造健康中国“深圳样板”的实施意见》要求，建立健康光明考核评价机制，细化健康水平、健康生活和健康环境等5类指标26项</w:t>
      </w:r>
      <w:r>
        <w:rPr>
          <w:rFonts w:hint="eastAsia" w:ascii="仿宋_GB2312" w:hAnsi="仿宋" w:eastAsia="仿宋_GB2312" w:cs="仿宋_GB2312"/>
          <w:color w:val="auto"/>
          <w:sz w:val="32"/>
          <w:szCs w:val="32"/>
        </w:rPr>
        <w:t>任务责任分工，加快研究制定健康光明行动实施意见。统筹规划全区健康教育与健康促进工作，将健康理念融入各项政策，推进实施健康促进规划和行动，努力提升全民健康素养。推进健康家庭、健康社区、健康企业、健康校园等创建，固化企业、校园健康管理团队机制。抓好以新冠肺炎、登革热防控疫情为主的联防联控，严防疫情暴发流行。</w:t>
      </w:r>
      <w:bookmarkEnd w:id="1228"/>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textAlignment w:val="auto"/>
        <w:outlineLvl w:val="1"/>
        <w:rPr>
          <w:rFonts w:ascii="仿宋_GB2312" w:hAnsi="仿宋" w:eastAsia="仿宋_GB2312" w:cs="仿宋_GB2312"/>
          <w:color w:val="auto"/>
          <w:sz w:val="32"/>
          <w:szCs w:val="32"/>
        </w:rPr>
      </w:pPr>
      <w:r>
        <w:rPr>
          <w:rFonts w:hint="eastAsia" w:ascii="仿宋_GB2312" w:hAnsi="仿宋" w:eastAsia="仿宋_GB2312" w:cs="仿宋_GB2312"/>
          <w:b/>
          <w:bCs/>
          <w:color w:val="auto"/>
          <w:sz w:val="32"/>
          <w:szCs w:val="32"/>
          <w:highlight w:val="none"/>
        </w:rPr>
        <w:t>——构建完善公共卫生体系。</w:t>
      </w:r>
      <w:r>
        <w:rPr>
          <w:rFonts w:hint="eastAsia" w:ascii="仿宋_GB2312" w:hAnsi="仿宋" w:eastAsia="仿宋_GB2312" w:cs="仿宋_GB2312"/>
          <w:color w:val="auto"/>
          <w:sz w:val="32"/>
          <w:szCs w:val="32"/>
          <w:highlight w:val="none"/>
        </w:rPr>
        <w:t>健全集中统一高效的领导指挥体系，坚持预防为主，关口前移，打造重大疾病“预防保健、临床诊疗、健康管理”一体化防治模式，促进公共卫生科研技术向人群运用转化，完善疾病预防控制体系。依托政府数字平台，提高人群综合信息收集、分析与利用水平，增强人群健康趋势变化监测预警能力。形成多部门协作的突发公共卫生事件综合监测体系，加强公共卫生事件线索追踪和流行病学调查，使重大公共卫生事件苗头一出现就能及早发现、准确判断、及时报告。完善公共卫生应急管理体系，健全公共卫生应急处置机制和传染病疫情防控机制，完善符合“平急结合”需要的重大疫情应急保障体系，形成卫生牵头、部门协同的联动调查和处置常态模式</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rPr>
        <w:t xml:space="preserve">    </w:t>
      </w:r>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textAlignment w:val="auto"/>
        <w:outlineLvl w:val="1"/>
        <w:rPr>
          <w:rFonts w:ascii="仿宋_GB2312" w:hAnsi="仿宋" w:eastAsia="仿宋_GB2312" w:cs="仿宋_GB2312"/>
          <w:color w:val="auto"/>
          <w:sz w:val="32"/>
          <w:szCs w:val="32"/>
        </w:rPr>
      </w:pPr>
      <w:bookmarkStart w:id="1229" w:name="_Toc4103"/>
      <w:r>
        <w:rPr>
          <w:rFonts w:hint="eastAsia" w:ascii="仿宋_GB2312" w:hAnsi="仿宋" w:eastAsia="仿宋_GB2312" w:cs="仿宋_GB2312"/>
          <w:b/>
          <w:bCs/>
          <w:color w:val="auto"/>
          <w:sz w:val="32"/>
          <w:szCs w:val="32"/>
        </w:rPr>
        <w:t>——建成新型医疗卫生服务体系。</w:t>
      </w:r>
      <w:r>
        <w:rPr>
          <w:rFonts w:hint="eastAsia" w:ascii="仿宋_GB2312" w:hAnsi="仿宋" w:eastAsia="仿宋_GB2312" w:cs="仿宋_GB2312"/>
          <w:color w:val="auto"/>
          <w:sz w:val="32"/>
          <w:szCs w:val="32"/>
        </w:rPr>
        <w:t>医疗卫生服务能力大幅提升，对周边辐射面和影响力提高。居民就医条件优化，服务质量改善，人民群众多层次、多样化健康需求更加方便可及，构建合理有序的妇幼健康服务体系和服务模式。深入推进医联体工作，进一步健全基层医疗集团管理体制和运行机制，促进医院</w:t>
      </w:r>
      <w:r>
        <w:rPr>
          <w:rFonts w:hint="eastAsia" w:eastAsia="仿宋_GB2312"/>
          <w:color w:val="auto"/>
          <w:sz w:val="32"/>
          <w:szCs w:val="32"/>
        </w:rPr>
        <w:t>与社康机构</w:t>
      </w:r>
      <w:r>
        <w:rPr>
          <w:rFonts w:hint="eastAsia" w:ascii="仿宋_GB2312" w:hAnsi="仿宋" w:eastAsia="仿宋_GB2312" w:cs="仿宋_GB2312"/>
          <w:color w:val="auto"/>
          <w:sz w:val="32"/>
          <w:szCs w:val="32"/>
        </w:rPr>
        <w:t>融合发展、</w:t>
      </w:r>
      <w:r>
        <w:rPr>
          <w:rFonts w:hint="eastAsia" w:eastAsia="仿宋_GB2312"/>
          <w:color w:val="auto"/>
          <w:sz w:val="32"/>
          <w:szCs w:val="32"/>
        </w:rPr>
        <w:t>医疗与预防</w:t>
      </w:r>
      <w:r>
        <w:rPr>
          <w:rFonts w:hint="eastAsia" w:ascii="仿宋_GB2312" w:hAnsi="仿宋" w:eastAsia="仿宋_GB2312" w:cs="仿宋_GB2312"/>
          <w:color w:val="auto"/>
          <w:sz w:val="32"/>
          <w:szCs w:val="32"/>
        </w:rPr>
        <w:t>融合发展、全科和专科协同服务，全力构建医疗整体服务与全方位全周期健康保障体系。</w:t>
      </w:r>
      <w:bookmarkEnd w:id="1229"/>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textAlignment w:val="auto"/>
        <w:outlineLvl w:val="1"/>
        <w:rPr>
          <w:rFonts w:ascii="仿宋_GB2312" w:hAnsi="仿宋" w:eastAsia="仿宋_GB2312" w:cs="仿宋_GB2312"/>
          <w:color w:val="auto"/>
          <w:sz w:val="32"/>
          <w:szCs w:val="32"/>
          <w:highlight w:val="none"/>
        </w:rPr>
      </w:pPr>
      <w:bookmarkStart w:id="1230" w:name="_Toc13147"/>
      <w:r>
        <w:rPr>
          <w:rFonts w:hint="eastAsia" w:ascii="仿宋_GB2312" w:hAnsi="仿宋" w:eastAsia="仿宋_GB2312" w:cs="仿宋_GB2312"/>
          <w:b/>
          <w:bCs/>
          <w:color w:val="auto"/>
          <w:sz w:val="32"/>
          <w:szCs w:val="32"/>
        </w:rPr>
        <w:t>——打造与光明科学城相匹配的深圳北部医疗高地。</w:t>
      </w:r>
      <w:r>
        <w:rPr>
          <w:rFonts w:hint="eastAsia" w:ascii="仿宋_GB2312" w:hAnsi="仿宋" w:eastAsia="仿宋_GB2312" w:cs="仿宋_GB2312"/>
          <w:color w:val="auto"/>
          <w:sz w:val="32"/>
          <w:szCs w:val="32"/>
        </w:rPr>
        <w:t>坚持面向学术前沿、面向国家重大战略需求、面向国家和区域经济社会发展，充分利用国内外知名医院和</w:t>
      </w:r>
      <w:r>
        <w:rPr>
          <w:rFonts w:hint="eastAsia" w:ascii="仿宋_GB2312" w:hAnsi="仿宋" w:eastAsia="仿宋_GB2312" w:cs="仿宋_GB2312"/>
          <w:color w:val="auto"/>
          <w:sz w:val="32"/>
          <w:szCs w:val="32"/>
          <w:lang w:eastAsia="zh-CN"/>
        </w:rPr>
        <w:t>高校</w:t>
      </w:r>
      <w:r>
        <w:rPr>
          <w:rFonts w:hint="eastAsia" w:ascii="仿宋_GB2312" w:hAnsi="仿宋" w:eastAsia="仿宋_GB2312" w:cs="仿宋_GB2312"/>
          <w:color w:val="auto"/>
          <w:sz w:val="32"/>
          <w:szCs w:val="32"/>
        </w:rPr>
        <w:t>，因地制宜推进大项目、大团队、大平台建设，大幅提升医院的科技创新能力、技术辐射能力，促进医院在人才培养、临床研究、技术创新、科技转化等方面共同提升，逐步实现医疗卫生资源合理布局和均衡发展。</w:t>
      </w:r>
      <w:r>
        <w:rPr>
          <w:rFonts w:hint="eastAsia" w:ascii="仿宋_GB2312" w:hAnsi="仿宋" w:eastAsia="仿宋_GB2312" w:cs="仿宋_GB2312"/>
          <w:color w:val="auto"/>
          <w:sz w:val="32"/>
          <w:szCs w:val="32"/>
          <w:highlight w:val="none"/>
        </w:rPr>
        <w:t>到2025年，每千人口床位数达到</w:t>
      </w:r>
      <w:r>
        <w:rPr>
          <w:rFonts w:hint="eastAsia" w:ascii="仿宋_GB2312" w:hAnsi="仿宋" w:eastAsia="仿宋_GB2312" w:cs="仿宋_GB2312"/>
          <w:color w:val="auto"/>
          <w:sz w:val="32"/>
          <w:szCs w:val="32"/>
          <w:lang w:val="en-US" w:eastAsia="zh-CN"/>
        </w:rPr>
        <w:t>4.79</w:t>
      </w:r>
      <w:r>
        <w:rPr>
          <w:rFonts w:hint="eastAsia" w:ascii="仿宋_GB2312" w:hAnsi="仿宋" w:eastAsia="仿宋_GB2312" w:cs="仿宋_GB2312"/>
          <w:color w:val="auto"/>
          <w:sz w:val="32"/>
          <w:szCs w:val="32"/>
        </w:rPr>
        <w:t>张，千人医生数达到</w:t>
      </w:r>
      <w:r>
        <w:rPr>
          <w:rFonts w:hint="eastAsia" w:ascii="仿宋_GB2312" w:hAnsi="仿宋" w:eastAsia="仿宋_GB2312" w:cs="仿宋_GB2312"/>
          <w:color w:val="auto"/>
          <w:sz w:val="32"/>
          <w:szCs w:val="32"/>
          <w:lang w:val="en-US" w:eastAsia="zh-CN"/>
        </w:rPr>
        <w:t>2.98</w:t>
      </w:r>
      <w:r>
        <w:rPr>
          <w:rFonts w:hint="eastAsia" w:ascii="仿宋_GB2312" w:hAnsi="仿宋" w:eastAsia="仿宋_GB2312" w:cs="仿宋_GB2312"/>
          <w:color w:val="auto"/>
          <w:sz w:val="32"/>
          <w:szCs w:val="32"/>
        </w:rPr>
        <w:t>人，</w:t>
      </w:r>
      <w:r>
        <w:rPr>
          <w:rFonts w:hint="eastAsia" w:ascii="仿宋_GB2312" w:hAnsi="仿宋" w:eastAsia="仿宋_GB2312" w:cs="仿宋_GB2312"/>
          <w:color w:val="auto"/>
          <w:sz w:val="32"/>
          <w:szCs w:val="32"/>
          <w:highlight w:val="none"/>
        </w:rPr>
        <w:t>千人护士数达到</w:t>
      </w:r>
      <w:r>
        <w:rPr>
          <w:rFonts w:hint="eastAsia" w:ascii="仿宋_GB2312" w:hAnsi="仿宋" w:eastAsia="仿宋_GB2312" w:cs="仿宋_GB2312"/>
          <w:color w:val="auto"/>
          <w:sz w:val="32"/>
          <w:szCs w:val="32"/>
          <w:highlight w:val="none"/>
          <w:lang w:val="en-US" w:eastAsia="zh-CN"/>
        </w:rPr>
        <w:t>3.23</w:t>
      </w:r>
      <w:r>
        <w:rPr>
          <w:rFonts w:hint="eastAsia" w:ascii="仿宋_GB2312" w:hAnsi="仿宋" w:eastAsia="仿宋_GB2312" w:cs="仿宋_GB2312"/>
          <w:color w:val="auto"/>
          <w:sz w:val="32"/>
          <w:szCs w:val="32"/>
          <w:highlight w:val="none"/>
        </w:rPr>
        <w:t>人。</w:t>
      </w:r>
      <w:bookmarkEnd w:id="1230"/>
    </w:p>
    <w:p>
      <w:pPr>
        <w:pageBreakBefore w:val="0"/>
        <w:widowControl w:val="0"/>
        <w:kinsoku/>
        <w:wordWrap/>
        <w:overflowPunct/>
        <w:topLinePunct w:val="0"/>
        <w:autoSpaceDN/>
        <w:bidi w:val="0"/>
        <w:spacing w:line="560" w:lineRule="exact"/>
        <w:ind w:firstLine="642" w:firstLineChars="200"/>
        <w:jc w:val="both"/>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highlight w:val="none"/>
          <w:lang w:eastAsia="zh-CN"/>
        </w:rPr>
        <w:t>完善具有光明特色的</w:t>
      </w:r>
      <w:r>
        <w:rPr>
          <w:rFonts w:hint="eastAsia" w:ascii="仿宋_GB2312" w:hAnsi="仿宋" w:eastAsia="仿宋_GB2312" w:cs="仿宋_GB2312"/>
          <w:b/>
          <w:bCs/>
          <w:color w:val="auto"/>
          <w:sz w:val="32"/>
          <w:szCs w:val="32"/>
          <w:highlight w:val="none"/>
          <w:lang w:val="en-US" w:eastAsia="zh-CN"/>
        </w:rPr>
        <w:t>妇幼服务体系</w:t>
      </w:r>
      <w:r>
        <w:rPr>
          <w:rFonts w:hint="eastAsia" w:ascii="仿宋_GB2312" w:hAnsi="仿宋" w:eastAsia="仿宋_GB2312" w:cs="仿宋_GB2312"/>
          <w:b/>
          <w:bCs/>
          <w:color w:val="auto"/>
          <w:sz w:val="32"/>
          <w:szCs w:val="32"/>
          <w:highlight w:val="none"/>
          <w:lang w:eastAsia="zh-CN"/>
        </w:rPr>
        <w:t>。</w:t>
      </w:r>
      <w:r>
        <w:rPr>
          <w:rFonts w:hint="eastAsia" w:ascii="仿宋_GB2312" w:hAnsi="仿宋" w:eastAsia="仿宋_GB2312" w:cs="仿宋_GB2312"/>
          <w:color w:val="auto"/>
          <w:sz w:val="32"/>
          <w:szCs w:val="32"/>
          <w:lang w:val="en-US" w:eastAsia="zh-CN"/>
        </w:rPr>
        <w:t>以妇幼保健机构等级评审和绩效考核为抓手，推进妇幼健康服务机构创新体制机制，优化产科资源配置，促进优质妇幼健康服务资源和工作重心“双下沉”，打造无缝连接“一条龙”服务链，提供系统、规范的优生优育全程服务，提高服务能力和服务效能。到2025年，积极生育支持政策体系基本建立，服务管理制度基本完备，优生优育服务水平明显提高，普惠托育服务体系加快建设，人口结构逐步优化，人口素质进一步提升。</w:t>
      </w:r>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jc w:val="left"/>
        <w:textAlignment w:val="auto"/>
        <w:outlineLvl w:val="1"/>
        <w:rPr>
          <w:rFonts w:hint="eastAsia" w:ascii="仿宋_GB2312" w:hAnsi="仿宋" w:eastAsia="仿宋_GB2312" w:cs="仿宋_GB2312"/>
          <w:color w:val="auto"/>
          <w:sz w:val="32"/>
          <w:szCs w:val="32"/>
          <w:lang w:val="en-US" w:eastAsia="zh-CN"/>
        </w:rPr>
      </w:pPr>
      <w:bookmarkStart w:id="1231" w:name="_Toc29826"/>
      <w:r>
        <w:rPr>
          <w:rFonts w:hint="eastAsia" w:ascii="仿宋_GB2312" w:hAnsi="仿宋" w:eastAsia="仿宋_GB2312" w:cs="仿宋_GB2312"/>
          <w:b/>
          <w:bCs/>
          <w:color w:val="auto"/>
          <w:sz w:val="32"/>
          <w:szCs w:val="32"/>
        </w:rPr>
        <w:t>——争取中医药“四个先行先试、一个突破”政策。</w:t>
      </w:r>
      <w:r>
        <w:rPr>
          <w:rFonts w:hint="eastAsia" w:ascii="仿宋_GB2312" w:hAnsi="仿宋" w:eastAsia="仿宋_GB2312" w:cs="仿宋_GB2312"/>
          <w:color w:val="auto"/>
          <w:sz w:val="32"/>
          <w:szCs w:val="32"/>
          <w:lang w:val="en-US" w:eastAsia="zh-CN"/>
        </w:rPr>
        <w:t>争取在光明国际中医药港先行先试中医药进出口政策，简化审批程序；先行先试建立港澳台及境外中医师和其他国家传统医师在深圳执业政策；先行先试中成药及中药材跨境电商服务机制；先行先试中医药跨境流通和认证机制；突破中医药经典名方剂及验方的审批、开发、生产及标准化等政策。</w:t>
      </w:r>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jc w:val="left"/>
        <w:textAlignment w:val="auto"/>
        <w:outlineLvl w:val="1"/>
        <w:rPr>
          <w:rFonts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——打造健康光明信息化服务体系。</w:t>
      </w:r>
      <w:r>
        <w:rPr>
          <w:rFonts w:hint="eastAsia" w:ascii="仿宋_GB2312" w:hAnsi="仿宋" w:eastAsia="仿宋_GB2312" w:cs="仿宋_GB2312"/>
          <w:color w:val="auto"/>
          <w:sz w:val="32"/>
          <w:szCs w:val="32"/>
        </w:rPr>
        <w:t>以中国特色社会主义先行示范区建设和支持光明科学城打造世界一流科学城的若干意见为指引，深度贯彻“健康中国2030”发展战略，落实《国务院办公厅关于促进“互联网+医疗健康”发展的意见》，持续推进以电子病历为核心的医疗机构信息化建设，促进“智慧医院”发展。充分发挥电子病历信息化作用，促进医疗管理水平提高，改善医疗服务体验。构建全生命周期数字健康服务体系，发挥互联网、大数据、云存储、云计算、5G和区块链等有关技术的优势，将成熟的人工智能嵌入电子病历信息系统，提高医务人员工作效率，保障医疗质量与安全，不断提升人民群众健康获得感和幸福感。</w:t>
      </w:r>
      <w:bookmarkEnd w:id="1231"/>
    </w:p>
    <w:p>
      <w:pPr>
        <w:pageBreakBefore w:val="0"/>
        <w:shd w:val="clear"/>
        <w:kinsoku/>
        <w:wordWrap/>
        <w:overflowPunct/>
        <w:topLinePunct w:val="0"/>
        <w:autoSpaceDN/>
        <w:bidi w:val="0"/>
        <w:adjustRightInd w:val="0"/>
        <w:snapToGrid w:val="0"/>
        <w:spacing w:line="560" w:lineRule="exact"/>
        <w:ind w:firstLine="102" w:firstLineChars="34"/>
        <w:jc w:val="center"/>
        <w:textAlignment w:val="auto"/>
        <w:outlineLvl w:val="1"/>
        <w:rPr>
          <w:rFonts w:ascii="仿宋_GB2312" w:hAnsi="黑体" w:eastAsia="仿宋_GB2312" w:cs="楷体_GB2312"/>
          <w:b/>
          <w:bCs/>
          <w:color w:val="auto"/>
          <w:sz w:val="30"/>
          <w:szCs w:val="30"/>
        </w:rPr>
      </w:pPr>
    </w:p>
    <w:p>
      <w:pPr>
        <w:pStyle w:val="3"/>
        <w:rPr>
          <w:rFonts w:hint="eastAsia"/>
          <w:color w:val="auto"/>
        </w:rPr>
      </w:pPr>
      <w:bookmarkStart w:id="1232" w:name="_Toc10551_WPSOffice_Level2"/>
      <w:bookmarkStart w:id="1233" w:name="_Toc22479"/>
      <w:bookmarkStart w:id="1234" w:name="_Toc20315"/>
      <w:bookmarkStart w:id="1235" w:name="_Toc25012"/>
      <w:bookmarkStart w:id="1236" w:name="_Toc21469"/>
      <w:bookmarkStart w:id="1237" w:name="_Toc22679"/>
      <w:bookmarkStart w:id="1238" w:name="_Toc25085"/>
      <w:bookmarkStart w:id="1239" w:name="_Toc13728"/>
      <w:bookmarkStart w:id="1240" w:name="_Toc3820"/>
      <w:bookmarkStart w:id="1241" w:name="_Toc23315"/>
      <w:bookmarkStart w:id="1242" w:name="_Toc20515"/>
      <w:bookmarkStart w:id="1243" w:name="_Toc5303"/>
      <w:bookmarkStart w:id="1244" w:name="_Toc24437"/>
      <w:bookmarkStart w:id="1245" w:name="_Toc1931"/>
      <w:bookmarkStart w:id="1246" w:name="_Toc11831"/>
      <w:bookmarkStart w:id="1247" w:name="_Toc30797"/>
      <w:bookmarkStart w:id="1248" w:name="_Toc2850"/>
      <w:bookmarkStart w:id="1249" w:name="_Toc27602"/>
      <w:bookmarkStart w:id="1250" w:name="_Toc3928"/>
      <w:bookmarkStart w:id="1251" w:name="_Toc30993"/>
      <w:bookmarkStart w:id="1252" w:name="_Toc16830"/>
      <w:bookmarkStart w:id="1253" w:name="_Toc18089"/>
      <w:bookmarkStart w:id="1254" w:name="_Toc4712"/>
      <w:bookmarkStart w:id="1255" w:name="_Toc26413"/>
      <w:bookmarkStart w:id="1256" w:name="_Toc15616"/>
      <w:bookmarkStart w:id="1257" w:name="_Toc15725"/>
      <w:bookmarkStart w:id="1258" w:name="_Toc20468"/>
      <w:bookmarkStart w:id="1259" w:name="_Toc2019"/>
      <w:bookmarkStart w:id="1260" w:name="_Toc13524"/>
      <w:bookmarkStart w:id="1261" w:name="_Toc12029"/>
      <w:bookmarkStart w:id="1262" w:name="_Toc4592"/>
      <w:bookmarkStart w:id="1263" w:name="_Toc7693"/>
      <w:bookmarkStart w:id="1264" w:name="_Toc17579"/>
      <w:bookmarkStart w:id="1265" w:name="_Toc2468"/>
      <w:bookmarkStart w:id="1266" w:name="_Toc8002"/>
      <w:bookmarkStart w:id="1267" w:name="_Toc25443"/>
      <w:bookmarkStart w:id="1268" w:name="_Toc25840"/>
      <w:bookmarkStart w:id="1269" w:name="_Toc27457"/>
      <w:bookmarkStart w:id="1270" w:name="_Toc30491"/>
      <w:bookmarkStart w:id="1271" w:name="_Toc9926"/>
      <w:bookmarkStart w:id="1272" w:name="_Toc30855"/>
      <w:bookmarkStart w:id="1273" w:name="_Toc30265"/>
      <w:bookmarkStart w:id="1274" w:name="_Toc16526"/>
      <w:bookmarkStart w:id="1275" w:name="_Toc9470"/>
      <w:bookmarkStart w:id="1276" w:name="_Toc30176"/>
      <w:bookmarkStart w:id="1277" w:name="_Toc32505"/>
      <w:bookmarkStart w:id="1278" w:name="_Toc24695"/>
      <w:bookmarkStart w:id="1279" w:name="_Toc3283"/>
      <w:bookmarkStart w:id="1280" w:name="_Toc21092"/>
      <w:bookmarkStart w:id="1281" w:name="_Toc30671"/>
      <w:bookmarkStart w:id="1282" w:name="_Toc22077"/>
      <w:bookmarkStart w:id="1283" w:name="_Toc522"/>
      <w:bookmarkStart w:id="1284" w:name="_Toc25519"/>
      <w:bookmarkStart w:id="1285" w:name="_Toc11631"/>
      <w:bookmarkStart w:id="1286" w:name="_Toc17050"/>
      <w:bookmarkStart w:id="1287" w:name="_Toc1170"/>
      <w:bookmarkStart w:id="1288" w:name="_Toc11263"/>
      <w:bookmarkStart w:id="1289" w:name="_Toc1596"/>
      <w:bookmarkStart w:id="1290" w:name="_Toc12146"/>
      <w:bookmarkStart w:id="1291" w:name="_Toc9229"/>
      <w:bookmarkStart w:id="1292" w:name="_Toc15470"/>
      <w:bookmarkStart w:id="1293" w:name="_Toc17020"/>
      <w:bookmarkStart w:id="1294" w:name="_Toc17912"/>
      <w:bookmarkStart w:id="1295" w:name="_Toc27954"/>
      <w:bookmarkStart w:id="1296" w:name="_Toc16774"/>
      <w:bookmarkStart w:id="1297" w:name="_Toc10524"/>
      <w:bookmarkStart w:id="1298" w:name="_Toc9091"/>
      <w:bookmarkStart w:id="1299" w:name="_Toc21189"/>
    </w:p>
    <w:p>
      <w:pPr>
        <w:rPr>
          <w:rFonts w:hint="eastAsia"/>
          <w:color w:val="auto"/>
        </w:rPr>
      </w:pPr>
    </w:p>
    <w:p>
      <w:pPr>
        <w:pStyle w:val="2"/>
        <w:rPr>
          <w:rFonts w:hint="eastAsia"/>
          <w:color w:val="auto"/>
        </w:rPr>
      </w:pPr>
    </w:p>
    <w:p>
      <w:pPr>
        <w:pStyle w:val="3"/>
        <w:rPr>
          <w:rFonts w:hint="eastAsia"/>
          <w:color w:val="auto"/>
        </w:rPr>
      </w:pPr>
    </w:p>
    <w:p>
      <w:pPr>
        <w:rPr>
          <w:rFonts w:hint="eastAsia"/>
          <w:color w:val="auto"/>
        </w:rPr>
      </w:pPr>
    </w:p>
    <w:p>
      <w:pPr>
        <w:pStyle w:val="2"/>
        <w:rPr>
          <w:rFonts w:hint="eastAsia"/>
          <w:color w:val="auto"/>
        </w:rPr>
      </w:pPr>
    </w:p>
    <w:p>
      <w:pPr>
        <w:pStyle w:val="3"/>
        <w:rPr>
          <w:rFonts w:hint="eastAsia"/>
          <w:color w:val="auto"/>
        </w:rPr>
      </w:pPr>
    </w:p>
    <w:p>
      <w:pPr>
        <w:rPr>
          <w:rFonts w:hint="eastAsia"/>
          <w:color w:val="auto"/>
        </w:rPr>
      </w:pPr>
    </w:p>
    <w:p>
      <w:pPr>
        <w:pStyle w:val="2"/>
        <w:rPr>
          <w:rFonts w:hint="eastAsia"/>
          <w:color w:val="auto"/>
        </w:rPr>
      </w:pPr>
    </w:p>
    <w:p>
      <w:pPr>
        <w:pStyle w:val="3"/>
        <w:rPr>
          <w:rFonts w:hint="eastAsia"/>
          <w:color w:val="auto"/>
        </w:rPr>
      </w:pPr>
    </w:p>
    <w:p>
      <w:pPr>
        <w:rPr>
          <w:rFonts w:hint="eastAsia"/>
          <w:color w:val="auto"/>
        </w:rPr>
      </w:pPr>
    </w:p>
    <w:p>
      <w:pPr>
        <w:pStyle w:val="2"/>
        <w:rPr>
          <w:rFonts w:hint="eastAsia"/>
          <w:color w:val="auto"/>
        </w:rPr>
      </w:pPr>
    </w:p>
    <w:p>
      <w:pPr>
        <w:pStyle w:val="3"/>
        <w:rPr>
          <w:rFonts w:hint="eastAsia"/>
          <w:color w:val="auto"/>
        </w:rPr>
      </w:pPr>
    </w:p>
    <w:p>
      <w:pPr>
        <w:rPr>
          <w:rFonts w:hint="eastAsia"/>
          <w:color w:val="auto"/>
        </w:rPr>
      </w:pPr>
    </w:p>
    <w:p>
      <w:pPr>
        <w:pStyle w:val="2"/>
        <w:rPr>
          <w:rFonts w:hint="eastAsia"/>
          <w:color w:val="auto"/>
        </w:rPr>
      </w:pPr>
    </w:p>
    <w:p>
      <w:pPr>
        <w:pStyle w:val="3"/>
        <w:rPr>
          <w:rFonts w:hint="eastAsia"/>
          <w:color w:val="auto"/>
        </w:rPr>
      </w:pPr>
    </w:p>
    <w:p>
      <w:pPr>
        <w:pageBreakBefore w:val="0"/>
        <w:shd w:val="clear"/>
        <w:kinsoku/>
        <w:wordWrap/>
        <w:overflowPunct/>
        <w:bidi w:val="0"/>
        <w:adjustRightInd w:val="0"/>
        <w:snapToGrid w:val="0"/>
        <w:spacing w:line="560" w:lineRule="exact"/>
        <w:jc w:val="both"/>
        <w:textAlignment w:val="auto"/>
        <w:outlineLvl w:val="1"/>
        <w:rPr>
          <w:rFonts w:hint="eastAsia" w:ascii="仿宋_GB2312" w:hAnsi="黑体" w:eastAsia="仿宋_GB2312" w:cs="楷体_GB2312"/>
          <w:b/>
          <w:bCs/>
          <w:color w:val="auto"/>
          <w:sz w:val="30"/>
          <w:szCs w:val="30"/>
        </w:rPr>
      </w:pPr>
    </w:p>
    <w:bookmarkEnd w:id="1232"/>
    <w:p>
      <w:pPr>
        <w:rPr>
          <w:rFonts w:hint="eastAsia" w:ascii="仿宋_GB2312" w:hAnsi="黑体" w:eastAsia="仿宋_GB2312" w:cs="楷体_GB2312"/>
          <w:b/>
          <w:bCs/>
          <w:color w:val="auto"/>
          <w:sz w:val="28"/>
          <w:szCs w:val="28"/>
        </w:rPr>
      </w:pPr>
      <w:r>
        <w:rPr>
          <w:rFonts w:hint="eastAsia" w:ascii="仿宋_GB2312" w:hAnsi="黑体" w:eastAsia="仿宋_GB2312" w:cs="楷体_GB2312"/>
          <w:b/>
          <w:bCs/>
          <w:color w:val="auto"/>
          <w:sz w:val="28"/>
          <w:szCs w:val="28"/>
        </w:rPr>
        <w:br w:type="page"/>
      </w:r>
    </w:p>
    <w:p>
      <w:pPr>
        <w:pageBreakBefore w:val="0"/>
        <w:shd w:val="clear"/>
        <w:kinsoku/>
        <w:wordWrap/>
        <w:overflowPunct/>
        <w:bidi w:val="0"/>
        <w:adjustRightInd w:val="0"/>
        <w:snapToGrid w:val="0"/>
        <w:spacing w:line="560" w:lineRule="exact"/>
        <w:jc w:val="center"/>
        <w:textAlignment w:val="auto"/>
        <w:outlineLvl w:val="1"/>
        <w:rPr>
          <w:rFonts w:hint="eastAsia" w:ascii="仿宋_GB2312" w:hAnsi="黑体" w:eastAsia="仿宋_GB2312" w:cs="楷体_GB2312"/>
          <w:b/>
          <w:bCs/>
          <w:color w:val="auto"/>
          <w:sz w:val="28"/>
          <w:szCs w:val="28"/>
        </w:rPr>
      </w:pPr>
      <w:bookmarkStart w:id="1300" w:name="_Toc410688021_WPSOffice_Level2"/>
      <w:r>
        <w:rPr>
          <w:rFonts w:hint="eastAsia" w:ascii="仿宋_GB2312" w:hAnsi="黑体" w:eastAsia="仿宋_GB2312" w:cs="楷体_GB2312"/>
          <w:b/>
          <w:bCs/>
          <w:color w:val="auto"/>
          <w:sz w:val="28"/>
          <w:szCs w:val="28"/>
          <w:lang w:eastAsia="zh-CN"/>
        </w:rPr>
        <w:t>专栏</w:t>
      </w:r>
      <w:r>
        <w:rPr>
          <w:rFonts w:hint="eastAsia" w:ascii="仿宋_GB2312" w:hAnsi="黑体" w:eastAsia="仿宋_GB2312" w:cs="楷体_GB2312"/>
          <w:b/>
          <w:bCs/>
          <w:color w:val="auto"/>
          <w:sz w:val="28"/>
          <w:szCs w:val="28"/>
          <w:lang w:val="en-US" w:eastAsia="zh-CN"/>
        </w:rPr>
        <w:t xml:space="preserve">1 </w:t>
      </w:r>
      <w:r>
        <w:rPr>
          <w:rFonts w:hint="eastAsia" w:ascii="仿宋_GB2312" w:hAnsi="黑体" w:eastAsia="仿宋_GB2312" w:cs="楷体_GB2312"/>
          <w:b/>
          <w:bCs/>
          <w:color w:val="auto"/>
          <w:sz w:val="28"/>
          <w:szCs w:val="28"/>
        </w:rPr>
        <w:t>光明区卫生健康“十四五”规划指标体系</w:t>
      </w:r>
      <w:bookmarkEnd w:id="1300"/>
    </w:p>
    <w:tbl>
      <w:tblPr>
        <w:tblStyle w:val="20"/>
        <w:tblW w:w="81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5"/>
        <w:gridCol w:w="5337"/>
        <w:gridCol w:w="1088"/>
        <w:gridCol w:w="9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735"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jc w:val="center"/>
              <w:textAlignment w:val="auto"/>
              <w:rPr>
                <w:rFonts w:ascii="仿宋_GB2312" w:hAnsi="宋体" w:eastAsia="仿宋_GB2312"/>
                <w:b/>
                <w:bCs/>
                <w:color w:val="auto"/>
                <w:sz w:val="24"/>
              </w:rPr>
            </w:pPr>
            <w:r>
              <w:rPr>
                <w:rFonts w:hint="eastAsia" w:ascii="仿宋_GB2312" w:hAnsi="宋体" w:eastAsia="仿宋_GB2312"/>
                <w:b/>
                <w:bCs/>
                <w:color w:val="auto"/>
                <w:sz w:val="24"/>
              </w:rPr>
              <w:t>序号</w:t>
            </w:r>
          </w:p>
        </w:tc>
        <w:tc>
          <w:tcPr>
            <w:tcW w:w="5337" w:type="dxa"/>
            <w:tcBorders>
              <w:top w:val="single" w:color="auto" w:sz="4" w:space="0"/>
              <w:left w:val="nil"/>
              <w:bottom w:val="single" w:color="auto" w:sz="6" w:space="0"/>
              <w:right w:val="single" w:color="auto" w:sz="4" w:space="0"/>
            </w:tcBorders>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jc w:val="center"/>
              <w:textAlignment w:val="auto"/>
              <w:rPr>
                <w:rFonts w:ascii="仿宋_GB2312" w:hAnsi="宋体" w:eastAsia="仿宋_GB2312"/>
                <w:b/>
                <w:bCs/>
                <w:color w:val="auto"/>
                <w:sz w:val="24"/>
              </w:rPr>
            </w:pPr>
            <w:r>
              <w:rPr>
                <w:rFonts w:hint="eastAsia" w:ascii="仿宋_GB2312" w:hAnsi="宋体" w:eastAsia="仿宋_GB2312"/>
                <w:b/>
                <w:bCs/>
                <w:color w:val="auto"/>
                <w:sz w:val="24"/>
              </w:rPr>
              <w:t>指标名称</w:t>
            </w:r>
          </w:p>
        </w:tc>
        <w:tc>
          <w:tcPr>
            <w:tcW w:w="1088" w:type="dxa"/>
            <w:tcBorders>
              <w:top w:val="single" w:color="auto" w:sz="6" w:space="0"/>
              <w:left w:val="single" w:color="auto" w:sz="4" w:space="0"/>
              <w:bottom w:val="single" w:color="auto" w:sz="6" w:space="0"/>
              <w:right w:val="single" w:color="auto" w:sz="6" w:space="0"/>
            </w:tcBorders>
            <w:vAlign w:val="center"/>
          </w:tcPr>
          <w:p>
            <w:pPr>
              <w:shd w:val="clear"/>
              <w:autoSpaceDE w:val="0"/>
              <w:autoSpaceDN w:val="0"/>
              <w:spacing w:line="560" w:lineRule="exact"/>
              <w:jc w:val="center"/>
              <w:rPr>
                <w:rFonts w:ascii="仿宋_GB2312" w:hAnsi="宋体" w:eastAsia="仿宋_GB2312"/>
                <w:b/>
                <w:bCs/>
                <w:color w:val="auto"/>
                <w:sz w:val="24"/>
              </w:rPr>
            </w:pPr>
            <w:r>
              <w:rPr>
                <w:rFonts w:hint="eastAsia" w:ascii="仿宋_GB2312" w:hAnsi="宋体" w:eastAsia="仿宋_GB2312"/>
                <w:b/>
                <w:bCs/>
                <w:color w:val="auto"/>
                <w:sz w:val="24"/>
              </w:rPr>
              <w:t>2025年</w:t>
            </w:r>
          </w:p>
        </w:tc>
        <w:tc>
          <w:tcPr>
            <w:tcW w:w="955" w:type="dxa"/>
            <w:tcBorders>
              <w:top w:val="single" w:color="auto" w:sz="6" w:space="0"/>
              <w:left w:val="nil"/>
              <w:bottom w:val="single" w:color="auto" w:sz="6" w:space="0"/>
              <w:right w:val="single" w:color="auto" w:sz="6" w:space="0"/>
            </w:tcBorders>
            <w:vAlign w:val="center"/>
          </w:tcPr>
          <w:p>
            <w:pPr>
              <w:shd w:val="clear"/>
              <w:autoSpaceDE w:val="0"/>
              <w:autoSpaceDN w:val="0"/>
              <w:spacing w:line="560" w:lineRule="exact"/>
              <w:jc w:val="center"/>
              <w:rPr>
                <w:rFonts w:ascii="仿宋_GB2312" w:hAnsi="宋体" w:eastAsia="仿宋_GB2312"/>
                <w:b/>
                <w:bCs/>
                <w:color w:val="auto"/>
                <w:sz w:val="24"/>
              </w:rPr>
            </w:pPr>
            <w:r>
              <w:rPr>
                <w:rFonts w:hint="eastAsia" w:ascii="仿宋_GB2312" w:hAnsi="宋体" w:eastAsia="仿宋_GB2312"/>
                <w:b/>
                <w:bCs/>
                <w:color w:val="auto"/>
                <w:sz w:val="24"/>
              </w:rPr>
              <w:t>指标</w:t>
            </w:r>
          </w:p>
          <w:p>
            <w:pPr>
              <w:shd w:val="clear"/>
              <w:autoSpaceDE w:val="0"/>
              <w:autoSpaceDN w:val="0"/>
              <w:spacing w:line="560" w:lineRule="exact"/>
              <w:jc w:val="center"/>
              <w:rPr>
                <w:rFonts w:ascii="仿宋_GB2312" w:hAnsi="宋体" w:eastAsia="仿宋_GB2312"/>
                <w:b/>
                <w:bCs/>
                <w:color w:val="auto"/>
                <w:sz w:val="24"/>
              </w:rPr>
            </w:pPr>
            <w:r>
              <w:rPr>
                <w:rFonts w:hint="eastAsia" w:ascii="仿宋_GB2312" w:hAnsi="宋体" w:eastAsia="仿宋_GB2312"/>
                <w:b/>
                <w:bCs/>
                <w:color w:val="auto"/>
                <w:sz w:val="24"/>
              </w:rPr>
              <w:t>属性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 w:hRule="atLeast"/>
          <w:jc w:val="center"/>
        </w:trPr>
        <w:tc>
          <w:tcPr>
            <w:tcW w:w="73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jc w:val="center"/>
              <w:textAlignment w:val="auto"/>
              <w:rPr>
                <w:rFonts w:ascii="仿宋_GB2312" w:hAnsi="宋体" w:eastAsia="仿宋_GB2312"/>
                <w:color w:val="auto"/>
                <w:sz w:val="24"/>
              </w:rPr>
            </w:pPr>
            <w:r>
              <w:rPr>
                <w:rFonts w:hint="eastAsia" w:ascii="仿宋_GB2312" w:hAnsi="宋体" w:eastAsia="仿宋_GB2312"/>
                <w:color w:val="auto"/>
                <w:sz w:val="24"/>
              </w:rPr>
              <w:t>1</w:t>
            </w:r>
          </w:p>
        </w:tc>
        <w:tc>
          <w:tcPr>
            <w:tcW w:w="5337"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textAlignment w:val="auto"/>
              <w:rPr>
                <w:rFonts w:hint="eastAsia" w:ascii="仿宋_GB2312" w:hAnsi="宋体" w:eastAsia="仿宋_GB2312"/>
                <w:color w:val="auto"/>
                <w:spacing w:val="-4"/>
                <w:sz w:val="24"/>
              </w:rPr>
            </w:pPr>
            <w:r>
              <w:rPr>
                <w:rFonts w:hint="eastAsia" w:ascii="仿宋_GB2312" w:hAnsi="宋体" w:eastAsia="仿宋_GB2312"/>
                <w:color w:val="auto"/>
                <w:spacing w:val="-4"/>
                <w:sz w:val="24"/>
              </w:rPr>
              <w:t>人均期望寿命（岁）</w:t>
            </w:r>
          </w:p>
        </w:tc>
        <w:tc>
          <w:tcPr>
            <w:tcW w:w="1088"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shd w:val="clear"/>
              <w:kinsoku/>
              <w:wordWrap/>
              <w:overflowPunct/>
              <w:topLinePunct w:val="0"/>
              <w:autoSpaceDE w:val="0"/>
              <w:autoSpaceDN w:val="0"/>
              <w:bidi w:val="0"/>
              <w:adjustRightInd/>
              <w:snapToGrid/>
              <w:spacing w:line="600" w:lineRule="auto"/>
              <w:jc w:val="center"/>
              <w:rPr>
                <w:rFonts w:hint="default" w:ascii="仿宋_GB2312" w:hAnsi="宋体" w:eastAsia="仿宋_GB2312"/>
                <w:color w:val="auto"/>
                <w:spacing w:val="-4"/>
                <w:sz w:val="24"/>
                <w:lang w:val="en-US" w:eastAsia="zh-CN"/>
              </w:rPr>
            </w:pPr>
            <w:r>
              <w:rPr>
                <w:rFonts w:hint="eastAsia" w:ascii="仿宋_GB2312" w:hAnsi="宋体" w:eastAsia="仿宋_GB2312"/>
                <w:color w:val="auto"/>
                <w:spacing w:val="-4"/>
                <w:sz w:val="24"/>
              </w:rPr>
              <w:t>≥8</w:t>
            </w:r>
            <w:r>
              <w:rPr>
                <w:rFonts w:hint="eastAsia" w:ascii="仿宋_GB2312" w:hAnsi="宋体" w:eastAsia="仿宋_GB2312"/>
                <w:color w:val="auto"/>
                <w:spacing w:val="-4"/>
                <w:sz w:val="24"/>
                <w:lang w:val="en-US" w:eastAsia="zh-CN"/>
              </w:rPr>
              <w:t>2.7</w:t>
            </w:r>
          </w:p>
        </w:tc>
        <w:tc>
          <w:tcPr>
            <w:tcW w:w="955" w:type="dxa"/>
            <w:tcBorders>
              <w:top w:val="single" w:color="auto" w:sz="6" w:space="0"/>
              <w:left w:val="nil"/>
              <w:bottom w:val="single" w:color="auto" w:sz="6" w:space="0"/>
              <w:right w:val="single" w:color="auto" w:sz="6" w:space="0"/>
            </w:tcBorders>
            <w:vAlign w:val="center"/>
          </w:tcPr>
          <w:p>
            <w:pPr>
              <w:keepNext w:val="0"/>
              <w:keepLines w:val="0"/>
              <w:pageBreakBefore w:val="0"/>
              <w:shd w:val="clear"/>
              <w:kinsoku/>
              <w:wordWrap/>
              <w:overflowPunct/>
              <w:topLinePunct w:val="0"/>
              <w:autoSpaceDE w:val="0"/>
              <w:autoSpaceDN w:val="0"/>
              <w:bidi w:val="0"/>
              <w:adjustRightInd/>
              <w:snapToGrid/>
              <w:spacing w:line="600" w:lineRule="auto"/>
              <w:jc w:val="center"/>
              <w:rPr>
                <w:rFonts w:hint="eastAsia" w:ascii="仿宋_GB2312" w:hAnsi="宋体" w:eastAsia="仿宋_GB2312"/>
                <w:color w:val="auto"/>
                <w:spacing w:val="-4"/>
                <w:sz w:val="24"/>
              </w:rPr>
            </w:pPr>
            <w:r>
              <w:rPr>
                <w:rFonts w:hint="eastAsia" w:ascii="仿宋_GB2312" w:hAnsi="宋体" w:eastAsia="仿宋_GB2312"/>
                <w:color w:val="auto"/>
                <w:spacing w:val="-4"/>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jc w:val="center"/>
              <w:textAlignment w:val="auto"/>
              <w:rPr>
                <w:rFonts w:ascii="仿宋_GB2312" w:hAnsi="宋体" w:eastAsia="仿宋_GB2312"/>
                <w:color w:val="auto"/>
                <w:sz w:val="24"/>
              </w:rPr>
            </w:pPr>
            <w:r>
              <w:rPr>
                <w:rFonts w:hint="eastAsia" w:ascii="仿宋_GB2312" w:hAnsi="宋体" w:eastAsia="仿宋_GB2312"/>
                <w:color w:val="auto"/>
                <w:sz w:val="24"/>
              </w:rPr>
              <w:t>2</w:t>
            </w:r>
          </w:p>
        </w:tc>
        <w:tc>
          <w:tcPr>
            <w:tcW w:w="5337"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textAlignment w:val="auto"/>
              <w:rPr>
                <w:rFonts w:ascii="仿宋_GB2312" w:hAnsi="宋体" w:eastAsia="仿宋_GB2312"/>
                <w:color w:val="auto"/>
                <w:sz w:val="24"/>
                <w:highlight w:val="none"/>
              </w:rPr>
            </w:pPr>
            <w:r>
              <w:rPr>
                <w:rFonts w:hint="eastAsia" w:ascii="仿宋_GB2312" w:hAnsi="宋体" w:eastAsia="仿宋_GB2312"/>
                <w:color w:val="auto"/>
                <w:sz w:val="24"/>
              </w:rPr>
              <w:t>婴儿死亡率（‰）</w:t>
            </w:r>
          </w:p>
        </w:tc>
        <w:tc>
          <w:tcPr>
            <w:tcW w:w="1088" w:type="dxa"/>
            <w:tcBorders>
              <w:top w:val="single" w:color="auto" w:sz="6" w:space="0"/>
              <w:left w:val="single" w:color="auto" w:sz="4" w:space="0"/>
              <w:bottom w:val="single" w:color="auto" w:sz="6" w:space="0"/>
              <w:right w:val="single" w:color="auto" w:sz="6" w:space="0"/>
            </w:tcBorders>
            <w:vAlign w:val="center"/>
          </w:tcPr>
          <w:p>
            <w:pPr>
              <w:pStyle w:val="18"/>
              <w:keepNext w:val="0"/>
              <w:keepLines w:val="0"/>
              <w:pageBreakBefore w:val="0"/>
              <w:shd w:val="clear"/>
              <w:kinsoku/>
              <w:wordWrap/>
              <w:overflowPunct/>
              <w:topLinePunct w:val="0"/>
              <w:bidi w:val="0"/>
              <w:adjustRightInd/>
              <w:snapToGrid/>
              <w:spacing w:before="0" w:beforeAutospacing="0" w:after="0" w:afterAutospacing="0" w:line="600" w:lineRule="auto"/>
              <w:jc w:val="center"/>
              <w:rPr>
                <w:rFonts w:ascii="仿宋_GB2312" w:eastAsia="仿宋_GB2312"/>
                <w:color w:val="auto"/>
                <w:highlight w:val="none"/>
              </w:rPr>
            </w:pPr>
            <w:r>
              <w:rPr>
                <w:rFonts w:hint="eastAsia" w:ascii="仿宋_GB2312" w:hAnsi="仿宋_GB2312" w:eastAsia="仿宋_GB2312" w:cs="仿宋_GB2312"/>
                <w:color w:val="auto"/>
                <w:highlight w:val="none"/>
              </w:rPr>
              <w:t>≤2</w:t>
            </w:r>
          </w:p>
        </w:tc>
        <w:tc>
          <w:tcPr>
            <w:tcW w:w="955" w:type="dxa"/>
            <w:tcBorders>
              <w:top w:val="single" w:color="auto" w:sz="6" w:space="0"/>
              <w:left w:val="nil"/>
              <w:bottom w:val="single" w:color="auto" w:sz="6" w:space="0"/>
              <w:right w:val="single" w:color="auto" w:sz="6" w:space="0"/>
            </w:tcBorders>
            <w:vAlign w:val="center"/>
          </w:tcPr>
          <w:p>
            <w:pPr>
              <w:keepNext w:val="0"/>
              <w:keepLines w:val="0"/>
              <w:pageBreakBefore w:val="0"/>
              <w:shd w:val="clear"/>
              <w:kinsoku/>
              <w:wordWrap/>
              <w:overflowPunct/>
              <w:topLinePunct w:val="0"/>
              <w:autoSpaceDE w:val="0"/>
              <w:autoSpaceDN w:val="0"/>
              <w:bidi w:val="0"/>
              <w:adjustRightInd/>
              <w:snapToGrid/>
              <w:spacing w:line="600" w:lineRule="auto"/>
              <w:jc w:val="center"/>
              <w:rPr>
                <w:rFonts w:hint="eastAsia" w:ascii="仿宋_GB2312" w:hAnsi="宋体" w:eastAsia="仿宋_GB2312"/>
                <w:color w:val="auto"/>
                <w:sz w:val="24"/>
              </w:rPr>
            </w:pPr>
            <w:r>
              <w:rPr>
                <w:rFonts w:hint="eastAsia" w:ascii="仿宋_GB2312" w:hAnsi="宋体" w:eastAsia="仿宋_GB2312"/>
                <w:color w:val="auto"/>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735"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jc w:val="center"/>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3</w:t>
            </w:r>
          </w:p>
        </w:tc>
        <w:tc>
          <w:tcPr>
            <w:tcW w:w="5337" w:type="dxa"/>
            <w:tcBorders>
              <w:top w:val="single" w:color="auto" w:sz="6" w:space="0"/>
              <w:left w:val="nil"/>
              <w:bottom w:val="single" w:color="auto" w:sz="6"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孕产妇死亡率（1/10万）</w:t>
            </w:r>
          </w:p>
        </w:tc>
        <w:tc>
          <w:tcPr>
            <w:tcW w:w="1088" w:type="dxa"/>
            <w:tcBorders>
              <w:top w:val="single" w:color="auto" w:sz="6" w:space="0"/>
              <w:left w:val="single" w:color="auto" w:sz="4" w:space="0"/>
              <w:bottom w:val="single" w:color="auto" w:sz="6" w:space="0"/>
              <w:right w:val="single" w:color="auto" w:sz="6" w:space="0"/>
            </w:tcBorders>
            <w:shd w:val="clear" w:color="auto" w:fill="auto"/>
            <w:vAlign w:val="center"/>
          </w:tcPr>
          <w:p>
            <w:pPr>
              <w:pStyle w:val="18"/>
              <w:keepNext w:val="0"/>
              <w:keepLines w:val="0"/>
              <w:pageBreakBefore w:val="0"/>
              <w:shd w:val="clear"/>
              <w:kinsoku/>
              <w:wordWrap/>
              <w:overflowPunct/>
              <w:topLinePunct w:val="0"/>
              <w:bidi w:val="0"/>
              <w:adjustRightInd/>
              <w:snapToGrid/>
              <w:spacing w:before="0" w:beforeAutospacing="0" w:after="0" w:afterAutospacing="0" w:line="600" w:lineRule="auto"/>
              <w:jc w:val="center"/>
              <w:rPr>
                <w:rFonts w:hint="default" w:ascii="仿宋_GB2312" w:eastAsia="仿宋_GB2312"/>
                <w:color w:val="auto"/>
                <w:highlight w:val="none"/>
                <w:lang w:val="en-US"/>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6.5</w:t>
            </w:r>
          </w:p>
        </w:tc>
        <w:tc>
          <w:tcPr>
            <w:tcW w:w="955" w:type="dxa"/>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shd w:val="clear"/>
              <w:kinsoku/>
              <w:wordWrap/>
              <w:overflowPunct/>
              <w:topLinePunct w:val="0"/>
              <w:autoSpaceDE w:val="0"/>
              <w:autoSpaceDN w:val="0"/>
              <w:bidi w:val="0"/>
              <w:adjustRightInd/>
              <w:snapToGrid/>
              <w:spacing w:line="600" w:lineRule="auto"/>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735"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jc w:val="center"/>
              <w:textAlignment w:val="auto"/>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lang w:val="en-US" w:eastAsia="zh-CN"/>
              </w:rPr>
              <w:t>4</w:t>
            </w:r>
          </w:p>
        </w:tc>
        <w:tc>
          <w:tcPr>
            <w:tcW w:w="5337" w:type="dxa"/>
            <w:tcBorders>
              <w:top w:val="single" w:color="auto" w:sz="6" w:space="0"/>
              <w:left w:val="nil"/>
              <w:bottom w:val="single" w:color="auto" w:sz="6"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textAlignment w:val="auto"/>
              <w:rPr>
                <w:rFonts w:hint="eastAsia" w:ascii="仿宋_GB2312" w:hAnsi="宋体" w:eastAsia="仿宋_GB2312" w:cs="Times New Roman"/>
                <w:color w:val="auto"/>
                <w:spacing w:val="-4"/>
                <w:kern w:val="2"/>
                <w:sz w:val="24"/>
                <w:szCs w:val="24"/>
                <w:lang w:val="en-US" w:eastAsia="zh-CN" w:bidi="ar-SA"/>
              </w:rPr>
            </w:pPr>
            <w:r>
              <w:rPr>
                <w:rFonts w:hint="eastAsia" w:ascii="仿宋_GB2312" w:hAnsi="宋体" w:eastAsia="仿宋_GB2312" w:cs="Times New Roman"/>
                <w:color w:val="auto"/>
                <w:spacing w:val="-4"/>
                <w:sz w:val="24"/>
              </w:rPr>
              <w:t>高血压规范管理率（%）</w:t>
            </w:r>
          </w:p>
        </w:tc>
        <w:tc>
          <w:tcPr>
            <w:tcW w:w="1088"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shd w:val="clear"/>
              <w:kinsoku/>
              <w:wordWrap/>
              <w:overflowPunct/>
              <w:topLinePunct w:val="0"/>
              <w:autoSpaceDE w:val="0"/>
              <w:autoSpaceDN w:val="0"/>
              <w:bidi w:val="0"/>
              <w:adjustRightInd/>
              <w:snapToGrid/>
              <w:spacing w:line="600" w:lineRule="auto"/>
              <w:ind w:firstLine="232" w:firstLineChars="100"/>
              <w:jc w:val="both"/>
              <w:rPr>
                <w:rFonts w:hint="eastAsia" w:ascii="仿宋_GB2312" w:hAnsi="宋体" w:eastAsia="仿宋_GB2312" w:cs="Times New Roman"/>
                <w:color w:val="auto"/>
                <w:spacing w:val="-4"/>
                <w:kern w:val="2"/>
                <w:sz w:val="24"/>
                <w:szCs w:val="24"/>
                <w:lang w:val="en-US" w:eastAsia="zh-CN" w:bidi="ar-SA"/>
              </w:rPr>
            </w:pPr>
            <w:r>
              <w:rPr>
                <w:rFonts w:hint="eastAsia" w:ascii="仿宋_GB2312" w:hAnsi="宋体" w:eastAsia="仿宋_GB2312" w:cs="Times New Roman"/>
                <w:color w:val="auto"/>
                <w:spacing w:val="-4"/>
                <w:sz w:val="24"/>
              </w:rPr>
              <w:t>≥65</w:t>
            </w:r>
          </w:p>
        </w:tc>
        <w:tc>
          <w:tcPr>
            <w:tcW w:w="955" w:type="dxa"/>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shd w:val="clear"/>
              <w:kinsoku/>
              <w:wordWrap/>
              <w:overflowPunct/>
              <w:topLinePunct w:val="0"/>
              <w:autoSpaceDE w:val="0"/>
              <w:autoSpaceDN w:val="0"/>
              <w:bidi w:val="0"/>
              <w:adjustRightInd/>
              <w:snapToGrid/>
              <w:spacing w:line="600" w:lineRule="auto"/>
              <w:jc w:val="center"/>
              <w:rPr>
                <w:rFonts w:hint="eastAsia" w:ascii="仿宋_GB2312" w:hAnsi="宋体" w:eastAsia="仿宋_GB2312" w:cs="Times New Roman"/>
                <w:color w:val="auto"/>
                <w:spacing w:val="-4"/>
                <w:kern w:val="2"/>
                <w:sz w:val="24"/>
                <w:szCs w:val="24"/>
                <w:lang w:val="en-US" w:eastAsia="zh-CN" w:bidi="ar-SA"/>
              </w:rPr>
            </w:pPr>
            <w:r>
              <w:rPr>
                <w:rFonts w:hint="eastAsia" w:ascii="仿宋_GB2312" w:hAnsi="宋体" w:eastAsia="仿宋_GB2312" w:cs="Times New Roman"/>
                <w:color w:val="auto"/>
                <w:spacing w:val="-4"/>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 w:hRule="atLeast"/>
          <w:jc w:val="center"/>
        </w:trPr>
        <w:tc>
          <w:tcPr>
            <w:tcW w:w="735"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jc w:val="center"/>
              <w:textAlignment w:val="auto"/>
              <w:rPr>
                <w:rFonts w:hint="eastAsia" w:ascii="仿宋_GB2312" w:hAnsi="宋体" w:eastAsia="仿宋_GB2312"/>
                <w:color w:val="auto"/>
                <w:sz w:val="24"/>
                <w:lang w:val="en-US" w:eastAsia="zh-CN"/>
              </w:rPr>
            </w:pPr>
            <w:r>
              <w:rPr>
                <w:rFonts w:hint="eastAsia" w:ascii="仿宋_GB2312" w:hAnsi="宋体" w:eastAsia="仿宋_GB2312"/>
                <w:color w:val="auto"/>
                <w:sz w:val="24"/>
              </w:rPr>
              <w:t>5</w:t>
            </w:r>
          </w:p>
        </w:tc>
        <w:tc>
          <w:tcPr>
            <w:tcW w:w="5337" w:type="dxa"/>
            <w:tcBorders>
              <w:top w:val="single" w:color="auto" w:sz="6" w:space="0"/>
              <w:left w:val="nil"/>
              <w:bottom w:val="single" w:color="auto" w:sz="6"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textAlignment w:val="auto"/>
              <w:rPr>
                <w:rFonts w:hint="eastAsia" w:ascii="仿宋_GB2312" w:hAnsi="宋体" w:eastAsia="仿宋_GB2312" w:cs="Times New Roman"/>
                <w:color w:val="auto"/>
                <w:spacing w:val="-4"/>
                <w:kern w:val="2"/>
                <w:sz w:val="24"/>
                <w:szCs w:val="24"/>
                <w:lang w:val="en-US" w:eastAsia="zh-CN" w:bidi="ar-SA"/>
              </w:rPr>
            </w:pPr>
            <w:r>
              <w:rPr>
                <w:rFonts w:hint="eastAsia" w:ascii="仿宋_GB2312" w:hAnsi="宋体" w:eastAsia="仿宋_GB2312" w:cs="Times New Roman"/>
                <w:color w:val="auto"/>
                <w:spacing w:val="-4"/>
                <w:sz w:val="24"/>
              </w:rPr>
              <w:t>糖尿病规范管理率（%）</w:t>
            </w:r>
          </w:p>
        </w:tc>
        <w:tc>
          <w:tcPr>
            <w:tcW w:w="1088"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shd w:val="clear"/>
              <w:kinsoku/>
              <w:wordWrap/>
              <w:overflowPunct/>
              <w:topLinePunct w:val="0"/>
              <w:autoSpaceDE w:val="0"/>
              <w:autoSpaceDN w:val="0"/>
              <w:bidi w:val="0"/>
              <w:adjustRightInd/>
              <w:snapToGrid/>
              <w:spacing w:line="600" w:lineRule="auto"/>
              <w:ind w:firstLine="232" w:firstLineChars="100"/>
              <w:jc w:val="both"/>
              <w:rPr>
                <w:rFonts w:hint="eastAsia" w:ascii="仿宋_GB2312" w:hAnsi="宋体" w:eastAsia="仿宋_GB2312" w:cs="Times New Roman"/>
                <w:color w:val="auto"/>
                <w:spacing w:val="-4"/>
                <w:kern w:val="2"/>
                <w:sz w:val="24"/>
                <w:szCs w:val="24"/>
                <w:lang w:val="en-US" w:eastAsia="zh-CN" w:bidi="ar-SA"/>
              </w:rPr>
            </w:pPr>
            <w:r>
              <w:rPr>
                <w:rFonts w:hint="eastAsia" w:ascii="仿宋_GB2312" w:hAnsi="宋体" w:eastAsia="仿宋_GB2312" w:cs="Times New Roman"/>
                <w:color w:val="auto"/>
                <w:spacing w:val="-4"/>
                <w:sz w:val="24"/>
              </w:rPr>
              <w:t>≥65</w:t>
            </w:r>
          </w:p>
        </w:tc>
        <w:tc>
          <w:tcPr>
            <w:tcW w:w="955" w:type="dxa"/>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shd w:val="clear"/>
              <w:kinsoku/>
              <w:wordWrap/>
              <w:overflowPunct/>
              <w:topLinePunct w:val="0"/>
              <w:autoSpaceDE w:val="0"/>
              <w:autoSpaceDN w:val="0"/>
              <w:bidi w:val="0"/>
              <w:adjustRightInd/>
              <w:snapToGrid/>
              <w:spacing w:line="600" w:lineRule="auto"/>
              <w:jc w:val="center"/>
              <w:rPr>
                <w:rFonts w:hint="eastAsia" w:ascii="仿宋_GB2312" w:hAnsi="宋体" w:eastAsia="仿宋_GB2312" w:cs="Times New Roman"/>
                <w:color w:val="auto"/>
                <w:spacing w:val="-4"/>
                <w:kern w:val="2"/>
                <w:sz w:val="24"/>
                <w:szCs w:val="24"/>
                <w:lang w:val="en-US" w:eastAsia="zh-CN" w:bidi="ar-SA"/>
              </w:rPr>
            </w:pPr>
            <w:r>
              <w:rPr>
                <w:rFonts w:hint="eastAsia" w:ascii="仿宋_GB2312" w:hAnsi="宋体" w:eastAsia="仿宋_GB2312" w:cs="Times New Roman"/>
                <w:color w:val="auto"/>
                <w:spacing w:val="-4"/>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 w:hRule="atLeast"/>
          <w:jc w:val="center"/>
        </w:trPr>
        <w:tc>
          <w:tcPr>
            <w:tcW w:w="735"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jc w:val="center"/>
              <w:textAlignment w:val="auto"/>
              <w:rPr>
                <w:rFonts w:hint="eastAsia" w:ascii="仿宋_GB2312" w:hAnsi="宋体" w:eastAsia="仿宋_GB2312"/>
                <w:color w:val="auto"/>
                <w:sz w:val="24"/>
                <w:lang w:val="en-US" w:eastAsia="zh-CN"/>
              </w:rPr>
            </w:pPr>
            <w:r>
              <w:rPr>
                <w:rFonts w:hint="eastAsia" w:ascii="仿宋_GB2312" w:hAnsi="宋体" w:eastAsia="仿宋_GB2312"/>
                <w:color w:val="auto"/>
                <w:sz w:val="24"/>
              </w:rPr>
              <w:t>6</w:t>
            </w:r>
          </w:p>
        </w:tc>
        <w:tc>
          <w:tcPr>
            <w:tcW w:w="5337" w:type="dxa"/>
            <w:tcBorders>
              <w:top w:val="single" w:color="auto" w:sz="6" w:space="0"/>
              <w:left w:val="nil"/>
              <w:bottom w:val="single" w:color="auto" w:sz="6"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textAlignment w:val="auto"/>
              <w:rPr>
                <w:rFonts w:hint="eastAsia" w:ascii="仿宋_GB2312" w:hAnsi="宋体" w:eastAsia="仿宋_GB2312" w:cs="Times New Roman"/>
                <w:color w:val="auto"/>
                <w:spacing w:val="-4"/>
                <w:kern w:val="2"/>
                <w:sz w:val="24"/>
                <w:szCs w:val="24"/>
                <w:lang w:val="en-US" w:eastAsia="zh-CN" w:bidi="ar-SA"/>
              </w:rPr>
            </w:pPr>
            <w:r>
              <w:rPr>
                <w:rFonts w:hint="eastAsia" w:ascii="仿宋_GB2312" w:hAnsi="宋体" w:eastAsia="仿宋_GB2312" w:cs="Times New Roman"/>
                <w:color w:val="auto"/>
                <w:spacing w:val="-4"/>
                <w:sz w:val="24"/>
              </w:rPr>
              <w:t>重大慢性病过早死亡率（%）</w:t>
            </w:r>
          </w:p>
        </w:tc>
        <w:tc>
          <w:tcPr>
            <w:tcW w:w="1088"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shd w:val="clear"/>
              <w:kinsoku/>
              <w:wordWrap/>
              <w:overflowPunct/>
              <w:topLinePunct w:val="0"/>
              <w:autoSpaceDE w:val="0"/>
              <w:autoSpaceDN w:val="0"/>
              <w:bidi w:val="0"/>
              <w:adjustRightInd/>
              <w:snapToGrid/>
              <w:spacing w:line="600" w:lineRule="auto"/>
              <w:ind w:firstLine="232" w:firstLineChars="100"/>
              <w:jc w:val="both"/>
              <w:rPr>
                <w:rFonts w:hint="eastAsia" w:ascii="仿宋_GB2312" w:hAnsi="宋体" w:eastAsia="仿宋_GB2312" w:cs="Times New Roman"/>
                <w:color w:val="auto"/>
                <w:spacing w:val="-4"/>
                <w:kern w:val="2"/>
                <w:sz w:val="24"/>
                <w:szCs w:val="24"/>
                <w:lang w:val="en-US" w:eastAsia="zh-CN" w:bidi="ar-SA"/>
              </w:rPr>
            </w:pPr>
            <w:r>
              <w:rPr>
                <w:rFonts w:hint="eastAsia" w:ascii="仿宋_GB2312" w:hAnsi="宋体" w:eastAsia="仿宋_GB2312" w:cs="Times New Roman"/>
                <w:color w:val="auto"/>
                <w:spacing w:val="-4"/>
                <w:sz w:val="24"/>
                <w:lang w:val="en-US" w:eastAsia="zh-CN"/>
              </w:rPr>
              <w:t>≤8.5</w:t>
            </w:r>
          </w:p>
        </w:tc>
        <w:tc>
          <w:tcPr>
            <w:tcW w:w="955" w:type="dxa"/>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shd w:val="clear"/>
              <w:kinsoku/>
              <w:wordWrap/>
              <w:overflowPunct/>
              <w:topLinePunct w:val="0"/>
              <w:autoSpaceDE w:val="0"/>
              <w:autoSpaceDN w:val="0"/>
              <w:bidi w:val="0"/>
              <w:adjustRightInd/>
              <w:snapToGrid/>
              <w:spacing w:line="600" w:lineRule="auto"/>
              <w:jc w:val="center"/>
              <w:rPr>
                <w:rFonts w:hint="eastAsia" w:ascii="仿宋_GB2312" w:hAnsi="宋体" w:eastAsia="仿宋_GB2312" w:cs="Times New Roman"/>
                <w:color w:val="auto"/>
                <w:spacing w:val="-4"/>
                <w:kern w:val="2"/>
                <w:sz w:val="24"/>
                <w:szCs w:val="24"/>
                <w:lang w:val="en-US" w:eastAsia="zh-CN" w:bidi="ar-SA"/>
              </w:rPr>
            </w:pPr>
            <w:r>
              <w:rPr>
                <w:rFonts w:hint="eastAsia" w:ascii="仿宋_GB2312" w:hAnsi="宋体" w:eastAsia="仿宋_GB2312" w:cs="Times New Roman"/>
                <w:color w:val="auto"/>
                <w:spacing w:val="-4"/>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 w:hRule="atLeast"/>
          <w:jc w:val="center"/>
        </w:trPr>
        <w:tc>
          <w:tcPr>
            <w:tcW w:w="735"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jc w:val="center"/>
              <w:textAlignment w:val="auto"/>
              <w:rPr>
                <w:rFonts w:hint="eastAsia" w:ascii="仿宋_GB2312" w:hAnsi="宋体" w:eastAsia="仿宋_GB2312"/>
                <w:color w:val="auto"/>
                <w:sz w:val="24"/>
                <w:lang w:eastAsia="zh-CN"/>
              </w:rPr>
            </w:pPr>
            <w:r>
              <w:rPr>
                <w:rFonts w:hint="eastAsia" w:ascii="仿宋_GB2312" w:hAnsi="宋体" w:eastAsia="仿宋_GB2312"/>
                <w:color w:val="auto"/>
                <w:sz w:val="24"/>
                <w:lang w:val="en-US" w:eastAsia="zh-CN"/>
              </w:rPr>
              <w:t>7</w:t>
            </w:r>
          </w:p>
        </w:tc>
        <w:tc>
          <w:tcPr>
            <w:tcW w:w="5337" w:type="dxa"/>
            <w:tcBorders>
              <w:top w:val="single" w:color="auto" w:sz="6" w:space="0"/>
              <w:left w:val="nil"/>
              <w:bottom w:val="single" w:color="auto" w:sz="6"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textAlignment w:val="auto"/>
              <w:rPr>
                <w:rFonts w:hint="eastAsia" w:ascii="仿宋_GB2312" w:hAnsi="宋体" w:eastAsia="仿宋_GB2312" w:cs="Times New Roman"/>
                <w:color w:val="auto"/>
                <w:spacing w:val="-4"/>
                <w:kern w:val="2"/>
                <w:sz w:val="24"/>
                <w:szCs w:val="24"/>
                <w:lang w:val="en-US" w:eastAsia="zh-CN" w:bidi="ar-SA"/>
              </w:rPr>
            </w:pPr>
            <w:r>
              <w:rPr>
                <w:rFonts w:hint="eastAsia" w:ascii="仿宋_GB2312" w:hAnsi="宋体" w:eastAsia="仿宋_GB2312" w:cs="Times New Roman"/>
                <w:color w:val="auto"/>
                <w:spacing w:val="-4"/>
                <w:sz w:val="24"/>
              </w:rPr>
              <w:t>严重精神障碍患者规范管理率（%）</w:t>
            </w:r>
          </w:p>
        </w:tc>
        <w:tc>
          <w:tcPr>
            <w:tcW w:w="1088"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shd w:val="clear"/>
              <w:kinsoku/>
              <w:wordWrap/>
              <w:overflowPunct/>
              <w:topLinePunct w:val="0"/>
              <w:autoSpaceDE w:val="0"/>
              <w:autoSpaceDN w:val="0"/>
              <w:bidi w:val="0"/>
              <w:adjustRightInd/>
              <w:snapToGrid/>
              <w:spacing w:line="600" w:lineRule="auto"/>
              <w:jc w:val="center"/>
              <w:rPr>
                <w:rFonts w:hint="eastAsia" w:ascii="仿宋_GB2312" w:hAnsi="宋体" w:eastAsia="仿宋_GB2312" w:cs="Times New Roman"/>
                <w:color w:val="auto"/>
                <w:spacing w:val="-4"/>
                <w:kern w:val="2"/>
                <w:sz w:val="24"/>
                <w:szCs w:val="24"/>
                <w:lang w:val="en-US" w:eastAsia="zh-CN" w:bidi="ar-SA"/>
              </w:rPr>
            </w:pPr>
            <w:r>
              <w:rPr>
                <w:rFonts w:hint="eastAsia" w:ascii="仿宋_GB2312" w:hAnsi="宋体" w:eastAsia="仿宋_GB2312" w:cs="Times New Roman"/>
                <w:color w:val="auto"/>
                <w:spacing w:val="-4"/>
                <w:sz w:val="24"/>
              </w:rPr>
              <w:t>≥92.05</w:t>
            </w:r>
          </w:p>
        </w:tc>
        <w:tc>
          <w:tcPr>
            <w:tcW w:w="955" w:type="dxa"/>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shd w:val="clear"/>
              <w:kinsoku/>
              <w:wordWrap/>
              <w:overflowPunct/>
              <w:topLinePunct w:val="0"/>
              <w:autoSpaceDE w:val="0"/>
              <w:autoSpaceDN w:val="0"/>
              <w:bidi w:val="0"/>
              <w:adjustRightInd/>
              <w:snapToGrid/>
              <w:spacing w:line="600" w:lineRule="auto"/>
              <w:jc w:val="center"/>
              <w:rPr>
                <w:rFonts w:hint="eastAsia" w:ascii="仿宋_GB2312" w:hAnsi="宋体" w:eastAsia="仿宋_GB2312" w:cs="Times New Roman"/>
                <w:color w:val="auto"/>
                <w:spacing w:val="-4"/>
                <w:kern w:val="2"/>
                <w:sz w:val="24"/>
                <w:szCs w:val="24"/>
                <w:lang w:val="en-US" w:eastAsia="zh-CN" w:bidi="ar-SA"/>
              </w:rPr>
            </w:pPr>
            <w:r>
              <w:rPr>
                <w:rFonts w:hint="eastAsia" w:ascii="仿宋_GB2312" w:hAnsi="宋体" w:eastAsia="仿宋_GB2312" w:cs="Times New Roman"/>
                <w:color w:val="auto"/>
                <w:spacing w:val="-4"/>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 w:hRule="atLeast"/>
          <w:jc w:val="center"/>
        </w:trPr>
        <w:tc>
          <w:tcPr>
            <w:tcW w:w="735"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jc w:val="center"/>
              <w:textAlignment w:val="auto"/>
              <w:rPr>
                <w:rFonts w:hint="eastAsia" w:ascii="仿宋_GB2312" w:hAnsi="宋体" w:eastAsia="仿宋_GB2312"/>
                <w:color w:val="auto"/>
                <w:sz w:val="24"/>
                <w:lang w:val="en-US" w:eastAsia="zh-CN"/>
              </w:rPr>
            </w:pPr>
            <w:r>
              <w:rPr>
                <w:rFonts w:hint="eastAsia" w:ascii="仿宋_GB2312" w:hAnsi="宋体" w:eastAsia="仿宋_GB2312"/>
                <w:color w:val="auto"/>
                <w:sz w:val="24"/>
              </w:rPr>
              <w:t>8</w:t>
            </w:r>
          </w:p>
        </w:tc>
        <w:tc>
          <w:tcPr>
            <w:tcW w:w="5337" w:type="dxa"/>
            <w:tcBorders>
              <w:top w:val="single" w:color="auto" w:sz="6" w:space="0"/>
              <w:left w:val="nil"/>
              <w:bottom w:val="single" w:color="auto" w:sz="6"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textAlignment w:val="auto"/>
              <w:rPr>
                <w:rFonts w:hint="eastAsia" w:ascii="仿宋_GB2312" w:hAnsi="宋体" w:eastAsia="仿宋_GB2312" w:cs="Times New Roman"/>
                <w:color w:val="auto"/>
                <w:spacing w:val="-4"/>
                <w:kern w:val="2"/>
                <w:sz w:val="24"/>
                <w:szCs w:val="24"/>
                <w:lang w:val="en-US" w:eastAsia="zh-CN" w:bidi="ar-SA"/>
              </w:rPr>
            </w:pPr>
            <w:r>
              <w:rPr>
                <w:rFonts w:hint="eastAsia" w:ascii="仿宋_GB2312" w:hAnsi="宋体" w:eastAsia="仿宋_GB2312" w:cs="Times New Roman"/>
                <w:color w:val="auto"/>
                <w:spacing w:val="-4"/>
                <w:sz w:val="24"/>
              </w:rPr>
              <w:t>居民健康素养水平（%）</w:t>
            </w:r>
          </w:p>
        </w:tc>
        <w:tc>
          <w:tcPr>
            <w:tcW w:w="1088"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shd w:val="clear"/>
              <w:kinsoku/>
              <w:wordWrap/>
              <w:overflowPunct/>
              <w:topLinePunct w:val="0"/>
              <w:autoSpaceDE w:val="0"/>
              <w:autoSpaceDN w:val="0"/>
              <w:bidi w:val="0"/>
              <w:adjustRightInd/>
              <w:snapToGrid/>
              <w:spacing w:line="600" w:lineRule="auto"/>
              <w:ind w:firstLine="232" w:firstLineChars="100"/>
              <w:jc w:val="both"/>
              <w:rPr>
                <w:rFonts w:hint="eastAsia" w:ascii="仿宋_GB2312" w:hAnsi="宋体" w:eastAsia="仿宋_GB2312" w:cs="Times New Roman"/>
                <w:color w:val="auto"/>
                <w:spacing w:val="-4"/>
                <w:kern w:val="2"/>
                <w:sz w:val="24"/>
                <w:szCs w:val="24"/>
                <w:lang w:val="en-US" w:eastAsia="zh-CN" w:bidi="ar-SA"/>
              </w:rPr>
            </w:pPr>
            <w:r>
              <w:rPr>
                <w:rFonts w:hint="eastAsia" w:ascii="仿宋_GB2312" w:hAnsi="宋体" w:eastAsia="仿宋_GB2312" w:cs="Times New Roman"/>
                <w:color w:val="auto"/>
                <w:spacing w:val="-4"/>
                <w:sz w:val="24"/>
              </w:rPr>
              <w:t>≥50</w:t>
            </w:r>
          </w:p>
        </w:tc>
        <w:tc>
          <w:tcPr>
            <w:tcW w:w="955" w:type="dxa"/>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shd w:val="clear"/>
              <w:kinsoku/>
              <w:wordWrap/>
              <w:overflowPunct/>
              <w:topLinePunct w:val="0"/>
              <w:autoSpaceDE w:val="0"/>
              <w:autoSpaceDN w:val="0"/>
              <w:bidi w:val="0"/>
              <w:adjustRightInd/>
              <w:snapToGrid/>
              <w:spacing w:line="600" w:lineRule="auto"/>
              <w:jc w:val="center"/>
              <w:rPr>
                <w:rFonts w:hint="eastAsia" w:ascii="仿宋_GB2312" w:hAnsi="宋体" w:eastAsia="仿宋_GB2312" w:cs="Times New Roman"/>
                <w:color w:val="auto"/>
                <w:spacing w:val="-4"/>
                <w:kern w:val="2"/>
                <w:sz w:val="24"/>
                <w:szCs w:val="24"/>
                <w:lang w:val="en-US" w:eastAsia="zh-CN" w:bidi="ar-SA"/>
              </w:rPr>
            </w:pPr>
            <w:r>
              <w:rPr>
                <w:rFonts w:hint="eastAsia" w:ascii="仿宋_GB2312" w:hAnsi="宋体" w:eastAsia="仿宋_GB2312" w:cs="Times New Roman"/>
                <w:color w:val="auto"/>
                <w:spacing w:val="-4"/>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 w:hRule="atLeast"/>
          <w:jc w:val="center"/>
        </w:trPr>
        <w:tc>
          <w:tcPr>
            <w:tcW w:w="735"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jc w:val="center"/>
              <w:textAlignment w:val="auto"/>
              <w:rPr>
                <w:rFonts w:hint="eastAsia" w:ascii="仿宋_GB2312" w:hAnsi="宋体" w:eastAsia="仿宋_GB2312"/>
                <w:color w:val="auto"/>
                <w:sz w:val="24"/>
                <w:lang w:eastAsia="zh-CN"/>
              </w:rPr>
            </w:pPr>
            <w:r>
              <w:rPr>
                <w:rFonts w:hint="eastAsia" w:ascii="仿宋_GB2312" w:hAnsi="宋体" w:eastAsia="仿宋_GB2312"/>
                <w:color w:val="auto"/>
                <w:sz w:val="24"/>
                <w:lang w:val="en-US" w:eastAsia="zh-CN"/>
              </w:rPr>
              <w:t>9</w:t>
            </w:r>
          </w:p>
        </w:tc>
        <w:tc>
          <w:tcPr>
            <w:tcW w:w="5337" w:type="dxa"/>
            <w:tcBorders>
              <w:top w:val="single" w:color="auto" w:sz="6" w:space="0"/>
              <w:left w:val="nil"/>
              <w:bottom w:val="single" w:color="auto" w:sz="6"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textAlignment w:val="auto"/>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每千人口</w:t>
            </w:r>
            <w:r>
              <w:rPr>
                <w:rFonts w:hint="eastAsia" w:ascii="仿宋_GB2312" w:hAnsi="宋体" w:eastAsia="仿宋_GB2312"/>
                <w:color w:val="auto"/>
                <w:sz w:val="24"/>
                <w:highlight w:val="none"/>
                <w:lang w:eastAsia="zh-CN"/>
              </w:rPr>
              <w:t>拥有病</w:t>
            </w:r>
            <w:r>
              <w:rPr>
                <w:rFonts w:hint="eastAsia" w:ascii="仿宋_GB2312" w:hAnsi="宋体" w:eastAsia="仿宋_GB2312"/>
                <w:color w:val="auto"/>
                <w:sz w:val="24"/>
                <w:highlight w:val="none"/>
              </w:rPr>
              <w:t>床数（张）</w:t>
            </w:r>
          </w:p>
        </w:tc>
        <w:tc>
          <w:tcPr>
            <w:tcW w:w="1088"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shd w:val="clear"/>
              <w:kinsoku/>
              <w:wordWrap/>
              <w:overflowPunct/>
              <w:topLinePunct w:val="0"/>
              <w:autoSpaceDE w:val="0"/>
              <w:autoSpaceDN w:val="0"/>
              <w:bidi w:val="0"/>
              <w:adjustRightInd/>
              <w:snapToGrid/>
              <w:spacing w:line="600" w:lineRule="auto"/>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4.79</w:t>
            </w:r>
          </w:p>
        </w:tc>
        <w:tc>
          <w:tcPr>
            <w:tcW w:w="955" w:type="dxa"/>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shd w:val="clear"/>
              <w:kinsoku/>
              <w:wordWrap/>
              <w:overflowPunct/>
              <w:topLinePunct w:val="0"/>
              <w:autoSpaceDE w:val="0"/>
              <w:autoSpaceDN w:val="0"/>
              <w:bidi w:val="0"/>
              <w:adjustRightInd/>
              <w:snapToGrid/>
              <w:spacing w:line="600" w:lineRule="auto"/>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eastAsia="zh-CN"/>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 w:hRule="atLeast"/>
          <w:jc w:val="center"/>
        </w:trPr>
        <w:tc>
          <w:tcPr>
            <w:tcW w:w="735"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jc w:val="center"/>
              <w:textAlignment w:val="auto"/>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10</w:t>
            </w:r>
          </w:p>
        </w:tc>
        <w:tc>
          <w:tcPr>
            <w:tcW w:w="5337" w:type="dxa"/>
            <w:tcBorders>
              <w:top w:val="single" w:color="auto" w:sz="6" w:space="0"/>
              <w:left w:val="nil"/>
              <w:bottom w:val="single" w:color="auto" w:sz="6"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textAlignment w:val="auto"/>
              <w:rPr>
                <w:rFonts w:hint="eastAsia" w:ascii="仿宋_GB2312" w:hAnsi="宋体" w:eastAsia="仿宋_GB2312" w:cs="Times New Roman"/>
                <w:color w:val="auto"/>
                <w:spacing w:val="-12"/>
                <w:kern w:val="2"/>
                <w:sz w:val="24"/>
                <w:szCs w:val="24"/>
                <w:highlight w:val="none"/>
                <w:lang w:val="en-US" w:eastAsia="zh-CN" w:bidi="ar-SA"/>
              </w:rPr>
            </w:pPr>
            <w:r>
              <w:rPr>
                <w:rFonts w:hint="eastAsia" w:ascii="仿宋_GB2312" w:hAnsi="宋体" w:eastAsia="仿宋_GB2312"/>
                <w:color w:val="auto"/>
                <w:spacing w:val="-12"/>
                <w:sz w:val="24"/>
                <w:highlight w:val="none"/>
              </w:rPr>
              <w:t>每千人口</w:t>
            </w:r>
            <w:r>
              <w:rPr>
                <w:rFonts w:hint="eastAsia" w:ascii="仿宋_GB2312" w:hAnsi="宋体" w:eastAsia="仿宋_GB2312"/>
                <w:color w:val="auto"/>
                <w:spacing w:val="-12"/>
                <w:sz w:val="24"/>
                <w:highlight w:val="none"/>
                <w:lang w:eastAsia="zh-CN"/>
              </w:rPr>
              <w:t>拥有</w:t>
            </w:r>
            <w:r>
              <w:rPr>
                <w:rFonts w:hint="eastAsia" w:ascii="仿宋_GB2312" w:hAnsi="宋体" w:eastAsia="仿宋_GB2312"/>
                <w:color w:val="auto"/>
                <w:spacing w:val="-12"/>
                <w:sz w:val="24"/>
                <w:highlight w:val="none"/>
              </w:rPr>
              <w:t>执业（助理）医生数（人）</w:t>
            </w:r>
          </w:p>
        </w:tc>
        <w:tc>
          <w:tcPr>
            <w:tcW w:w="1088" w:type="dxa"/>
            <w:tcBorders>
              <w:top w:val="single" w:color="auto" w:sz="6" w:space="0"/>
              <w:left w:val="single" w:color="auto" w:sz="4" w:space="0"/>
              <w:bottom w:val="single" w:color="auto" w:sz="6" w:space="0"/>
              <w:right w:val="single" w:color="auto" w:sz="6" w:space="0"/>
            </w:tcBorders>
            <w:shd w:val="clear" w:color="auto" w:fill="auto"/>
            <w:vAlign w:val="center"/>
          </w:tcPr>
          <w:p>
            <w:pPr>
              <w:pStyle w:val="18"/>
              <w:keepNext w:val="0"/>
              <w:keepLines w:val="0"/>
              <w:pageBreakBefore w:val="0"/>
              <w:shd w:val="clear"/>
              <w:kinsoku/>
              <w:wordWrap/>
              <w:overflowPunct/>
              <w:topLinePunct w:val="0"/>
              <w:bidi w:val="0"/>
              <w:adjustRightInd/>
              <w:snapToGrid/>
              <w:spacing w:before="0" w:beforeAutospacing="0" w:after="0" w:afterAutospacing="0" w:line="600" w:lineRule="auto"/>
              <w:jc w:val="center"/>
              <w:rPr>
                <w:rFonts w:hint="default" w:ascii="仿宋_GB2312" w:hAnsi="宋体" w:eastAsia="仿宋_GB2312" w:cs="宋体"/>
                <w:color w:val="auto"/>
                <w:kern w:val="0"/>
                <w:sz w:val="24"/>
                <w:szCs w:val="24"/>
                <w:highlight w:val="none"/>
                <w:lang w:val="en-US" w:eastAsia="zh-CN" w:bidi="ar-SA"/>
              </w:rPr>
            </w:pPr>
            <w:r>
              <w:rPr>
                <w:rFonts w:hint="eastAsia" w:ascii="仿宋_GB2312" w:hAnsi="宋体" w:eastAsia="仿宋_GB2312"/>
                <w:color w:val="auto"/>
                <w:sz w:val="24"/>
                <w:szCs w:val="24"/>
                <w:highlight w:val="none"/>
                <w:shd w:val="clear"/>
              </w:rPr>
              <w:t>≥</w:t>
            </w:r>
            <w:r>
              <w:rPr>
                <w:rFonts w:hint="eastAsia" w:ascii="仿宋_GB2312" w:eastAsia="仿宋_GB2312"/>
                <w:color w:val="auto"/>
                <w:highlight w:val="none"/>
                <w:lang w:val="en-US" w:eastAsia="zh-CN"/>
              </w:rPr>
              <w:t>2.98</w:t>
            </w:r>
          </w:p>
        </w:tc>
        <w:tc>
          <w:tcPr>
            <w:tcW w:w="955" w:type="dxa"/>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shd w:val="clear"/>
              <w:kinsoku/>
              <w:wordWrap/>
              <w:overflowPunct/>
              <w:topLinePunct w:val="0"/>
              <w:autoSpaceDE w:val="0"/>
              <w:autoSpaceDN w:val="0"/>
              <w:bidi w:val="0"/>
              <w:adjustRightInd/>
              <w:snapToGrid/>
              <w:spacing w:line="600" w:lineRule="auto"/>
              <w:jc w:val="center"/>
              <w:rPr>
                <w:rFonts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7" w:hRule="atLeast"/>
          <w:jc w:val="center"/>
        </w:trPr>
        <w:tc>
          <w:tcPr>
            <w:tcW w:w="735"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jc w:val="center"/>
              <w:textAlignment w:val="auto"/>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11</w:t>
            </w:r>
          </w:p>
        </w:tc>
        <w:tc>
          <w:tcPr>
            <w:tcW w:w="5337" w:type="dxa"/>
            <w:tcBorders>
              <w:top w:val="single" w:color="auto" w:sz="6" w:space="0"/>
              <w:left w:val="nil"/>
              <w:bottom w:val="single" w:color="auto" w:sz="6"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textAlignment w:val="auto"/>
              <w:rPr>
                <w:rFonts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每千人口</w:t>
            </w:r>
            <w:r>
              <w:rPr>
                <w:rFonts w:hint="eastAsia" w:ascii="仿宋_GB2312" w:hAnsi="宋体" w:eastAsia="仿宋_GB2312"/>
                <w:color w:val="auto"/>
                <w:sz w:val="24"/>
                <w:highlight w:val="none"/>
                <w:lang w:eastAsia="zh-CN"/>
              </w:rPr>
              <w:t>拥有</w:t>
            </w:r>
            <w:r>
              <w:rPr>
                <w:rFonts w:hint="eastAsia" w:ascii="仿宋_GB2312" w:hAnsi="宋体" w:eastAsia="仿宋_GB2312"/>
                <w:color w:val="auto"/>
                <w:sz w:val="24"/>
                <w:highlight w:val="none"/>
              </w:rPr>
              <w:t>注册护士数（人）</w:t>
            </w:r>
          </w:p>
        </w:tc>
        <w:tc>
          <w:tcPr>
            <w:tcW w:w="1088" w:type="dxa"/>
            <w:tcBorders>
              <w:top w:val="single" w:color="auto" w:sz="6" w:space="0"/>
              <w:left w:val="single" w:color="auto" w:sz="4" w:space="0"/>
              <w:bottom w:val="single" w:color="auto" w:sz="6" w:space="0"/>
              <w:right w:val="single" w:color="auto" w:sz="6" w:space="0"/>
            </w:tcBorders>
            <w:shd w:val="clear" w:color="auto" w:fill="auto"/>
            <w:vAlign w:val="center"/>
          </w:tcPr>
          <w:p>
            <w:pPr>
              <w:pStyle w:val="18"/>
              <w:keepNext w:val="0"/>
              <w:keepLines w:val="0"/>
              <w:pageBreakBefore w:val="0"/>
              <w:shd w:val="clear"/>
              <w:kinsoku/>
              <w:wordWrap/>
              <w:overflowPunct/>
              <w:topLinePunct w:val="0"/>
              <w:bidi w:val="0"/>
              <w:adjustRightInd/>
              <w:snapToGrid/>
              <w:spacing w:before="0" w:beforeAutospacing="0" w:after="0" w:afterAutospacing="0" w:line="600" w:lineRule="auto"/>
              <w:jc w:val="center"/>
              <w:rPr>
                <w:rFonts w:hint="default" w:ascii="仿宋_GB2312" w:hAnsi="宋体" w:eastAsia="仿宋_GB2312" w:cs="宋体"/>
                <w:color w:val="auto"/>
                <w:kern w:val="0"/>
                <w:sz w:val="24"/>
                <w:szCs w:val="24"/>
                <w:highlight w:val="none"/>
                <w:lang w:val="en-US" w:eastAsia="zh-CN" w:bidi="ar-SA"/>
              </w:rPr>
            </w:pPr>
            <w:r>
              <w:rPr>
                <w:rFonts w:hint="eastAsia" w:ascii="仿宋_GB2312" w:hAnsi="宋体" w:eastAsia="仿宋_GB2312"/>
                <w:color w:val="auto"/>
                <w:sz w:val="24"/>
                <w:szCs w:val="24"/>
                <w:highlight w:val="none"/>
                <w:shd w:val="clear"/>
              </w:rPr>
              <w:t>≥</w:t>
            </w:r>
            <w:r>
              <w:rPr>
                <w:rFonts w:hint="eastAsia" w:ascii="仿宋_GB2312" w:hAnsi="宋体" w:eastAsia="仿宋_GB2312"/>
                <w:color w:val="auto"/>
                <w:sz w:val="24"/>
                <w:szCs w:val="24"/>
                <w:highlight w:val="none"/>
                <w:shd w:val="clear"/>
                <w:lang w:val="en-US" w:eastAsia="zh-CN"/>
              </w:rPr>
              <w:t>3.23</w:t>
            </w:r>
          </w:p>
        </w:tc>
        <w:tc>
          <w:tcPr>
            <w:tcW w:w="955" w:type="dxa"/>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shd w:val="clear"/>
              <w:kinsoku/>
              <w:wordWrap/>
              <w:overflowPunct/>
              <w:topLinePunct w:val="0"/>
              <w:autoSpaceDE w:val="0"/>
              <w:autoSpaceDN w:val="0"/>
              <w:bidi w:val="0"/>
              <w:adjustRightInd/>
              <w:snapToGrid/>
              <w:spacing w:line="600" w:lineRule="auto"/>
              <w:jc w:val="center"/>
              <w:rPr>
                <w:rFonts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 w:hRule="atLeast"/>
          <w:jc w:val="center"/>
        </w:trPr>
        <w:tc>
          <w:tcPr>
            <w:tcW w:w="735"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jc w:val="center"/>
              <w:textAlignment w:val="auto"/>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12</w:t>
            </w:r>
          </w:p>
        </w:tc>
        <w:tc>
          <w:tcPr>
            <w:tcW w:w="5337" w:type="dxa"/>
            <w:tcBorders>
              <w:top w:val="single" w:color="auto" w:sz="6" w:space="0"/>
              <w:left w:val="nil"/>
              <w:bottom w:val="single" w:color="auto" w:sz="6"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每万人口</w:t>
            </w:r>
            <w:r>
              <w:rPr>
                <w:rFonts w:hint="eastAsia" w:ascii="仿宋_GB2312" w:hAnsi="宋体" w:eastAsia="仿宋_GB2312"/>
                <w:color w:val="auto"/>
                <w:sz w:val="24"/>
                <w:highlight w:val="none"/>
                <w:lang w:eastAsia="zh-CN"/>
              </w:rPr>
              <w:t>拥有</w:t>
            </w:r>
            <w:r>
              <w:rPr>
                <w:rFonts w:hint="eastAsia" w:ascii="仿宋_GB2312" w:hAnsi="宋体" w:eastAsia="仿宋_GB2312"/>
                <w:color w:val="auto"/>
                <w:sz w:val="24"/>
                <w:highlight w:val="none"/>
              </w:rPr>
              <w:t>公共卫生执业（助理）医师数（人）</w:t>
            </w:r>
          </w:p>
        </w:tc>
        <w:tc>
          <w:tcPr>
            <w:tcW w:w="1088" w:type="dxa"/>
            <w:tcBorders>
              <w:top w:val="single" w:color="auto" w:sz="6" w:space="0"/>
              <w:left w:val="single" w:color="auto" w:sz="4" w:space="0"/>
              <w:bottom w:val="single" w:color="auto" w:sz="6" w:space="0"/>
              <w:right w:val="single" w:color="auto" w:sz="6" w:space="0"/>
            </w:tcBorders>
            <w:shd w:val="clear" w:color="auto" w:fill="auto"/>
            <w:vAlign w:val="center"/>
          </w:tcPr>
          <w:p>
            <w:pPr>
              <w:pStyle w:val="18"/>
              <w:keepNext w:val="0"/>
              <w:keepLines w:val="0"/>
              <w:pageBreakBefore w:val="0"/>
              <w:shd w:val="clear"/>
              <w:kinsoku/>
              <w:wordWrap/>
              <w:overflowPunct/>
              <w:topLinePunct w:val="0"/>
              <w:bidi w:val="0"/>
              <w:adjustRightInd/>
              <w:snapToGrid/>
              <w:spacing w:before="0" w:beforeAutospacing="0" w:after="0" w:afterAutospacing="0" w:line="600" w:lineRule="auto"/>
              <w:jc w:val="center"/>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szCs w:val="24"/>
                <w:highlight w:val="none"/>
                <w:shd w:val="clear"/>
              </w:rPr>
              <w:t>≥</w:t>
            </w:r>
            <w:r>
              <w:rPr>
                <w:rFonts w:hint="eastAsia" w:ascii="仿宋_GB2312" w:eastAsia="仿宋_GB2312"/>
                <w:color w:val="auto"/>
                <w:sz w:val="24"/>
                <w:szCs w:val="24"/>
                <w:highlight w:val="none"/>
                <w:shd w:val="clear"/>
                <w:lang w:val="en-US" w:eastAsia="zh-CN"/>
              </w:rPr>
              <w:t>1.6</w:t>
            </w:r>
          </w:p>
        </w:tc>
        <w:tc>
          <w:tcPr>
            <w:tcW w:w="955" w:type="dxa"/>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shd w:val="clear"/>
              <w:kinsoku/>
              <w:wordWrap/>
              <w:overflowPunct/>
              <w:topLinePunct w:val="0"/>
              <w:autoSpaceDE w:val="0"/>
              <w:autoSpaceDN w:val="0"/>
              <w:bidi w:val="0"/>
              <w:adjustRightInd/>
              <w:snapToGrid/>
              <w:spacing w:line="600" w:lineRule="auto"/>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 w:hRule="atLeast"/>
          <w:jc w:val="center"/>
        </w:trPr>
        <w:tc>
          <w:tcPr>
            <w:tcW w:w="735"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jc w:val="center"/>
              <w:textAlignment w:val="auto"/>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lang w:val="en-US" w:eastAsia="zh-CN"/>
              </w:rPr>
              <w:t>13</w:t>
            </w:r>
          </w:p>
        </w:tc>
        <w:tc>
          <w:tcPr>
            <w:tcW w:w="5337" w:type="dxa"/>
            <w:tcBorders>
              <w:top w:val="single" w:color="auto" w:sz="6" w:space="0"/>
              <w:left w:val="nil"/>
              <w:bottom w:val="single" w:color="auto" w:sz="6"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jc w:val="both"/>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每万人口</w:t>
            </w:r>
            <w:r>
              <w:rPr>
                <w:rFonts w:hint="eastAsia" w:ascii="仿宋_GB2312" w:hAnsi="宋体" w:eastAsia="仿宋_GB2312"/>
                <w:color w:val="auto"/>
                <w:sz w:val="24"/>
                <w:highlight w:val="none"/>
                <w:lang w:eastAsia="zh-CN"/>
              </w:rPr>
              <w:t>拥有</w:t>
            </w:r>
            <w:r>
              <w:rPr>
                <w:rFonts w:hint="eastAsia" w:ascii="仿宋_GB2312" w:hAnsi="宋体" w:eastAsia="仿宋_GB2312"/>
                <w:color w:val="auto"/>
                <w:sz w:val="24"/>
                <w:highlight w:val="none"/>
              </w:rPr>
              <w:t>全科医生数（人）</w:t>
            </w:r>
          </w:p>
        </w:tc>
        <w:tc>
          <w:tcPr>
            <w:tcW w:w="1088" w:type="dxa"/>
            <w:tcBorders>
              <w:top w:val="single" w:color="auto" w:sz="6" w:space="0"/>
              <w:left w:val="single" w:color="auto" w:sz="4" w:space="0"/>
              <w:bottom w:val="single" w:color="auto" w:sz="6" w:space="0"/>
              <w:right w:val="single" w:color="auto" w:sz="6" w:space="0"/>
            </w:tcBorders>
            <w:shd w:val="clear" w:color="auto" w:fill="auto"/>
            <w:vAlign w:val="center"/>
          </w:tcPr>
          <w:p>
            <w:pPr>
              <w:pStyle w:val="18"/>
              <w:keepNext w:val="0"/>
              <w:keepLines w:val="0"/>
              <w:pageBreakBefore w:val="0"/>
              <w:shd w:val="clear"/>
              <w:tabs>
                <w:tab w:val="left" w:pos="495"/>
              </w:tabs>
              <w:kinsoku/>
              <w:wordWrap/>
              <w:overflowPunct/>
              <w:topLinePunct w:val="0"/>
              <w:bidi w:val="0"/>
              <w:adjustRightInd/>
              <w:snapToGrid/>
              <w:spacing w:before="0" w:beforeAutospacing="0" w:after="0" w:afterAutospacing="0" w:line="600" w:lineRule="auto"/>
              <w:ind w:left="-105" w:leftChars="-50" w:right="-105" w:rightChars="-50"/>
              <w:jc w:val="center"/>
              <w:rPr>
                <w:rFonts w:hint="default" w:ascii="仿宋_GB2312" w:eastAsia="仿宋_GB2312"/>
                <w:color w:val="auto"/>
                <w:highlight w:val="none"/>
                <w:lang w:val="en-US" w:eastAsia="zh-CN"/>
              </w:rPr>
            </w:pPr>
            <w:r>
              <w:rPr>
                <w:rFonts w:hint="eastAsia" w:ascii="仿宋_GB2312" w:hAnsi="宋体" w:eastAsia="仿宋_GB2312"/>
                <w:color w:val="auto"/>
                <w:sz w:val="24"/>
                <w:szCs w:val="24"/>
                <w:highlight w:val="none"/>
                <w:shd w:val="clear"/>
              </w:rPr>
              <w:t>≥</w:t>
            </w:r>
            <w:r>
              <w:rPr>
                <w:rFonts w:hint="eastAsia" w:ascii="仿宋_GB2312" w:hAnsi="仿宋_GB2312" w:eastAsia="仿宋_GB2312" w:cs="仿宋_GB2312"/>
                <w:color w:val="auto"/>
                <w:highlight w:val="none"/>
              </w:rPr>
              <w:t>5</w:t>
            </w:r>
            <w:r>
              <w:rPr>
                <w:rFonts w:hint="eastAsia" w:ascii="仿宋_GB2312" w:hAnsi="仿宋_GB2312" w:eastAsia="仿宋_GB2312" w:cs="仿宋_GB2312"/>
                <w:color w:val="auto"/>
                <w:highlight w:val="none"/>
                <w:lang w:val="en-US" w:eastAsia="zh-CN"/>
              </w:rPr>
              <w:t>.0</w:t>
            </w:r>
          </w:p>
        </w:tc>
        <w:tc>
          <w:tcPr>
            <w:tcW w:w="955" w:type="dxa"/>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shd w:val="clear"/>
              <w:kinsoku/>
              <w:wordWrap/>
              <w:overflowPunct/>
              <w:topLinePunct w:val="0"/>
              <w:autoSpaceDE w:val="0"/>
              <w:autoSpaceDN w:val="0"/>
              <w:bidi w:val="0"/>
              <w:adjustRightInd/>
              <w:snapToGrid/>
              <w:spacing w:line="600" w:lineRule="auto"/>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 w:hRule="atLeast"/>
          <w:jc w:val="center"/>
        </w:trPr>
        <w:tc>
          <w:tcPr>
            <w:tcW w:w="735"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jc w:val="center"/>
              <w:textAlignment w:val="auto"/>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14</w:t>
            </w:r>
          </w:p>
        </w:tc>
        <w:tc>
          <w:tcPr>
            <w:tcW w:w="5337" w:type="dxa"/>
            <w:tcBorders>
              <w:top w:val="single" w:color="auto" w:sz="6" w:space="0"/>
              <w:left w:val="nil"/>
              <w:bottom w:val="single" w:color="auto" w:sz="6"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jc w:val="both"/>
              <w:textAlignment w:val="auto"/>
              <w:rPr>
                <w:rFonts w:hint="eastAsia" w:ascii="仿宋_GB2312" w:hAnsi="宋体" w:eastAsia="仿宋_GB2312"/>
                <w:color w:val="auto"/>
                <w:sz w:val="24"/>
              </w:rPr>
            </w:pPr>
            <w:r>
              <w:rPr>
                <w:rFonts w:hint="eastAsia" w:ascii="仿宋_GB2312" w:hAnsi="宋体" w:eastAsia="仿宋_GB2312"/>
                <w:color w:val="auto"/>
                <w:sz w:val="24"/>
                <w:lang w:val="en-US" w:eastAsia="zh-CN"/>
              </w:rPr>
              <w:t>每千人口拥有3岁以下婴幼儿托位数（个）</w:t>
            </w:r>
          </w:p>
        </w:tc>
        <w:tc>
          <w:tcPr>
            <w:tcW w:w="1088"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shd w:val="clear"/>
              <w:kinsoku/>
              <w:wordWrap/>
              <w:overflowPunct/>
              <w:topLinePunct w:val="0"/>
              <w:autoSpaceDE w:val="0"/>
              <w:autoSpaceDN w:val="0"/>
              <w:bidi w:val="0"/>
              <w:adjustRightInd/>
              <w:snapToGrid/>
              <w:spacing w:line="600" w:lineRule="auto"/>
              <w:jc w:val="center"/>
              <w:rPr>
                <w:rFonts w:hint="eastAsia" w:ascii="仿宋_GB2312" w:hAnsi="宋体" w:eastAsia="仿宋_GB2312"/>
                <w:color w:val="auto"/>
                <w:sz w:val="24"/>
              </w:rPr>
            </w:pPr>
            <w:r>
              <w:rPr>
                <w:rFonts w:hint="eastAsia" w:ascii="仿宋_GB2312" w:hAnsi="宋体" w:eastAsia="仿宋_GB2312"/>
                <w:color w:val="auto"/>
                <w:sz w:val="24"/>
                <w:lang w:val="en-US" w:eastAsia="zh-CN"/>
              </w:rPr>
              <w:t>≥4.5</w:t>
            </w:r>
          </w:p>
        </w:tc>
        <w:tc>
          <w:tcPr>
            <w:tcW w:w="955" w:type="dxa"/>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shd w:val="clear"/>
              <w:kinsoku/>
              <w:wordWrap/>
              <w:overflowPunct/>
              <w:topLinePunct w:val="0"/>
              <w:autoSpaceDE w:val="0"/>
              <w:autoSpaceDN w:val="0"/>
              <w:bidi w:val="0"/>
              <w:adjustRightInd/>
              <w:snapToGrid/>
              <w:spacing w:line="600" w:lineRule="auto"/>
              <w:jc w:val="center"/>
              <w:rPr>
                <w:rFonts w:hint="eastAsia" w:ascii="仿宋_GB2312" w:hAnsi="宋体" w:eastAsia="仿宋_GB2312"/>
                <w:color w:val="auto"/>
                <w:sz w:val="24"/>
              </w:rPr>
            </w:pPr>
            <w:r>
              <w:rPr>
                <w:rFonts w:hint="eastAsia" w:ascii="仿宋_GB2312" w:hAnsi="宋体" w:eastAsia="仿宋_GB2312"/>
                <w:color w:val="auto"/>
                <w:sz w:val="24"/>
                <w:lang w:val="en-US" w:eastAsia="zh-CN"/>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735"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jc w:val="center"/>
              <w:textAlignment w:val="auto"/>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15</w:t>
            </w:r>
          </w:p>
        </w:tc>
        <w:tc>
          <w:tcPr>
            <w:tcW w:w="5337" w:type="dxa"/>
            <w:tcBorders>
              <w:top w:val="single" w:color="auto" w:sz="6" w:space="0"/>
              <w:left w:val="nil"/>
              <w:bottom w:val="single" w:color="auto" w:sz="6"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val="0"/>
              <w:autoSpaceDN w:val="0"/>
              <w:bidi w:val="0"/>
              <w:adjustRightInd/>
              <w:snapToGrid/>
              <w:spacing w:line="500" w:lineRule="exact"/>
              <w:jc w:val="both"/>
              <w:textAlignment w:val="auto"/>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每10万人口拥有精神科执业（助理）医师数（人）</w:t>
            </w:r>
          </w:p>
        </w:tc>
        <w:tc>
          <w:tcPr>
            <w:tcW w:w="1088"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auto"/>
              <w:jc w:val="center"/>
              <w:textAlignment w:val="center"/>
              <w:rPr>
                <w:rFonts w:hint="default"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olor w:val="auto"/>
                <w:sz w:val="24"/>
                <w:szCs w:val="24"/>
                <w:highlight w:val="none"/>
                <w:shd w:val="clear"/>
              </w:rPr>
              <w:t>≥</w:t>
            </w:r>
            <w:r>
              <w:rPr>
                <w:rFonts w:hint="eastAsia" w:ascii="仿宋_GB2312" w:hAnsi="宋体" w:eastAsia="仿宋_GB2312" w:cs="仿宋_GB2312"/>
                <w:i w:val="0"/>
                <w:color w:val="auto"/>
                <w:kern w:val="0"/>
                <w:sz w:val="24"/>
                <w:szCs w:val="24"/>
                <w:highlight w:val="none"/>
                <w:u w:val="none"/>
                <w:lang w:val="en-US" w:eastAsia="zh-CN" w:bidi="ar"/>
              </w:rPr>
              <w:t>4.5</w:t>
            </w:r>
          </w:p>
        </w:tc>
        <w:tc>
          <w:tcPr>
            <w:tcW w:w="955" w:type="dxa"/>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auto"/>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预期性</w:t>
            </w:r>
          </w:p>
        </w:tc>
      </w:tr>
    </w:tbl>
    <w:p>
      <w:pPr>
        <w:pStyle w:val="6"/>
        <w:keepNext w:val="0"/>
        <w:keepLines w:val="0"/>
        <w:pageBreakBefore w:val="0"/>
        <w:widowControl/>
        <w:kinsoku/>
        <w:wordWrap/>
        <w:overflowPunct/>
        <w:topLinePunct w:val="0"/>
        <w:autoSpaceDN/>
        <w:bidi w:val="0"/>
        <w:spacing w:before="0" w:after="0" w:line="560" w:lineRule="exact"/>
        <w:jc w:val="center"/>
        <w:textAlignment w:val="auto"/>
        <w:outlineLvl w:val="1"/>
        <w:rPr>
          <w:rFonts w:hint="eastAsia" w:ascii="Times New Roman" w:hAnsi="Times New Roman" w:eastAsia="黑体" w:cstheme="minorBidi"/>
          <w:b w:val="0"/>
          <w:color w:val="auto"/>
          <w:sz w:val="36"/>
          <w:szCs w:val="36"/>
          <w:lang w:val="en-US" w:eastAsia="zh-CN"/>
        </w:rPr>
      </w:pPr>
      <w:bookmarkStart w:id="1301" w:name="_Toc149719036_WPSOffice_Level1"/>
      <w:r>
        <w:rPr>
          <w:rFonts w:hint="eastAsia" w:ascii="Times New Roman" w:hAnsi="Times New Roman" w:eastAsia="黑体" w:cstheme="minorBidi"/>
          <w:b w:val="0"/>
          <w:color w:val="auto"/>
          <w:sz w:val="36"/>
          <w:szCs w:val="36"/>
          <w:lang w:val="en-US" w:eastAsia="zh-CN"/>
        </w:rPr>
        <w:t>第三章 主要任务</w:t>
      </w:r>
      <w:bookmarkEnd w:id="1301"/>
    </w:p>
    <w:p>
      <w:pPr>
        <w:pStyle w:val="6"/>
        <w:keepNext w:val="0"/>
        <w:keepLines w:val="0"/>
        <w:pageBreakBefore w:val="0"/>
        <w:shd w:val="clear"/>
        <w:kinsoku/>
        <w:wordWrap/>
        <w:overflowPunct/>
        <w:topLinePunct w:val="0"/>
        <w:autoSpaceDN/>
        <w:bidi w:val="0"/>
        <w:snapToGrid w:val="0"/>
        <w:spacing w:before="0" w:after="0" w:line="560" w:lineRule="exact"/>
        <w:ind w:firstLine="108" w:firstLineChars="34"/>
        <w:jc w:val="center"/>
        <w:textAlignment w:val="auto"/>
        <w:outlineLvl w:val="1"/>
        <w:rPr>
          <w:rFonts w:hint="eastAsia" w:ascii="仿宋_GB2312" w:hAnsi="仿宋_GB2312" w:eastAsia="仿宋_GB2312" w:cs="仿宋_GB2312"/>
          <w:b w:val="0"/>
          <w:bCs w:val="0"/>
          <w:color w:val="auto"/>
          <w:kern w:val="2"/>
          <w:sz w:val="32"/>
          <w:szCs w:val="32"/>
          <w:shd w:val="clear" w:color="auto" w:fill="FFFFFF"/>
          <w:lang w:val="en-US" w:eastAsia="zh-CN" w:bidi="ar-SA"/>
        </w:rPr>
      </w:pPr>
    </w:p>
    <w:p>
      <w:pPr>
        <w:keepNext w:val="0"/>
        <w:keepLines w:val="0"/>
        <w:pageBreakBefore w:val="0"/>
        <w:widowControl/>
        <w:shd w:val="clear"/>
        <w:kinsoku/>
        <w:wordWrap/>
        <w:overflowPunct/>
        <w:topLinePunct w:val="0"/>
        <w:autoSpaceDN/>
        <w:bidi w:val="0"/>
        <w:spacing w:line="560" w:lineRule="exact"/>
        <w:jc w:val="center"/>
        <w:textAlignment w:val="auto"/>
        <w:outlineLvl w:val="0"/>
        <w:rPr>
          <w:rFonts w:hint="eastAsia" w:ascii="Times New Roman" w:hAnsi="Times New Roman" w:eastAsia="黑体" w:cs="Times New Roman"/>
          <w:bCs/>
          <w:color w:val="auto"/>
          <w:kern w:val="44"/>
          <w:sz w:val="36"/>
          <w:szCs w:val="36"/>
        </w:rPr>
      </w:pPr>
      <w:bookmarkStart w:id="1302" w:name="_Toc2004703174_WPSOffice_Level2"/>
      <w:r>
        <w:rPr>
          <w:rFonts w:hint="eastAsia" w:ascii="Times New Roman" w:hAnsi="Times New Roman" w:eastAsia="黑体" w:cstheme="minorBidi"/>
          <w:b w:val="0"/>
          <w:bCs/>
          <w:color w:val="auto"/>
          <w:kern w:val="44"/>
          <w:sz w:val="32"/>
          <w:szCs w:val="32"/>
          <w:lang w:val="en-US" w:eastAsia="zh-CN" w:bidi="ar-SA"/>
        </w:rPr>
        <w:t>第</w:t>
      </w:r>
      <w:r>
        <w:rPr>
          <w:rFonts w:hint="eastAsia" w:eastAsia="黑体" w:cstheme="minorBidi"/>
          <w:b w:val="0"/>
          <w:bCs/>
          <w:color w:val="auto"/>
          <w:kern w:val="44"/>
          <w:sz w:val="32"/>
          <w:szCs w:val="32"/>
          <w:lang w:val="en-US" w:eastAsia="zh-CN" w:bidi="ar-SA"/>
        </w:rPr>
        <w:t>一节</w:t>
      </w:r>
      <w:r>
        <w:rPr>
          <w:rFonts w:hint="eastAsia" w:ascii="Times New Roman" w:hAnsi="Times New Roman" w:eastAsia="黑体" w:cstheme="minorBidi"/>
          <w:b w:val="0"/>
          <w:bCs/>
          <w:color w:val="auto"/>
          <w:kern w:val="44"/>
          <w:sz w:val="32"/>
          <w:szCs w:val="32"/>
          <w:lang w:val="en-US" w:eastAsia="zh-CN" w:bidi="ar-SA"/>
        </w:rPr>
        <w:t xml:space="preserve"> 瞄准公共卫生高质量发展</w:t>
      </w:r>
      <w:bookmarkEnd w:id="1302"/>
    </w:p>
    <w:p>
      <w:pPr>
        <w:pStyle w:val="6"/>
        <w:keepNext w:val="0"/>
        <w:keepLines w:val="0"/>
        <w:pageBreakBefore w:val="0"/>
        <w:shd w:val="clear"/>
        <w:kinsoku/>
        <w:wordWrap/>
        <w:overflowPunct/>
        <w:topLinePunct w:val="0"/>
        <w:autoSpaceDN/>
        <w:bidi w:val="0"/>
        <w:snapToGrid w:val="0"/>
        <w:spacing w:before="0" w:after="0" w:line="560" w:lineRule="exact"/>
        <w:ind w:firstLine="640" w:firstLineChars="200"/>
        <w:jc w:val="both"/>
        <w:textAlignment w:val="auto"/>
        <w:rPr>
          <w:color w:val="auto"/>
          <w:szCs w:val="22"/>
        </w:rPr>
      </w:pPr>
      <w:bookmarkStart w:id="1303" w:name="_Toc23347"/>
      <w:bookmarkStart w:id="1304" w:name="_Toc19492"/>
      <w:bookmarkStart w:id="1305" w:name="_Toc31548"/>
      <w:bookmarkStart w:id="1306" w:name="_Toc14951"/>
      <w:bookmarkStart w:id="1307" w:name="_Toc7931"/>
      <w:bookmarkStart w:id="1308" w:name="_Toc6085"/>
      <w:bookmarkStart w:id="1309" w:name="_Toc656"/>
      <w:bookmarkStart w:id="1310" w:name="_Toc15573"/>
      <w:bookmarkStart w:id="1311" w:name="_Toc18843"/>
      <w:bookmarkStart w:id="1312" w:name="_Toc25449"/>
      <w:bookmarkStart w:id="1313" w:name="_Toc19742"/>
      <w:bookmarkStart w:id="1314" w:name="_Toc10074"/>
      <w:bookmarkStart w:id="1315" w:name="_Toc30502"/>
      <w:bookmarkStart w:id="1316" w:name="_Toc17288"/>
      <w:bookmarkStart w:id="1317" w:name="_Toc29747"/>
      <w:bookmarkStart w:id="1318" w:name="_Toc6509"/>
      <w:bookmarkStart w:id="1319" w:name="_Toc6269"/>
      <w:bookmarkStart w:id="1320" w:name="_Toc23945"/>
      <w:bookmarkStart w:id="1321" w:name="_Toc21151"/>
      <w:bookmarkStart w:id="1322" w:name="_Toc18728"/>
      <w:bookmarkStart w:id="1323" w:name="_Toc4505"/>
      <w:bookmarkStart w:id="1324" w:name="_Toc5188"/>
      <w:bookmarkStart w:id="1325" w:name="_Toc26844"/>
      <w:bookmarkStart w:id="1326" w:name="_Toc23804"/>
      <w:bookmarkStart w:id="1327" w:name="_Toc30428"/>
      <w:bookmarkStart w:id="1328" w:name="_Toc14047"/>
      <w:bookmarkStart w:id="1329" w:name="_Toc14198"/>
      <w:bookmarkStart w:id="1330" w:name="_Toc12688"/>
      <w:bookmarkStart w:id="1331" w:name="_Toc1311"/>
      <w:bookmarkStart w:id="1332" w:name="_Toc1959"/>
      <w:bookmarkStart w:id="1333" w:name="_Toc20656"/>
      <w:bookmarkStart w:id="1334" w:name="_Toc1155047831_WPSOffice_Level3"/>
      <w:bookmarkStart w:id="1335" w:name="_Toc8143"/>
      <w:bookmarkStart w:id="1336" w:name="_Toc24332"/>
      <w:bookmarkStart w:id="1337" w:name="_Toc24418"/>
      <w:bookmarkStart w:id="1338" w:name="_Toc25016"/>
      <w:bookmarkStart w:id="1339" w:name="_Toc1738"/>
      <w:bookmarkStart w:id="1340" w:name="_Toc29893"/>
      <w:bookmarkStart w:id="1341" w:name="_Toc10687"/>
      <w:bookmarkStart w:id="1342" w:name="_Toc11619"/>
      <w:bookmarkStart w:id="1343" w:name="_Toc22739"/>
      <w:bookmarkStart w:id="1344" w:name="_Toc12915"/>
      <w:bookmarkStart w:id="1345" w:name="_Toc21319"/>
      <w:bookmarkStart w:id="1346" w:name="_Toc32058"/>
      <w:bookmarkStart w:id="1347" w:name="_Toc27666"/>
      <w:bookmarkStart w:id="1348" w:name="_Toc20238"/>
      <w:bookmarkStart w:id="1349" w:name="_Toc4898"/>
      <w:bookmarkStart w:id="1350" w:name="_Toc17160"/>
      <w:bookmarkStart w:id="1351" w:name="_Toc4270"/>
      <w:bookmarkStart w:id="1352" w:name="_Toc12844"/>
      <w:bookmarkStart w:id="1353" w:name="_Toc10870"/>
      <w:bookmarkStart w:id="1354" w:name="_Toc22245"/>
      <w:bookmarkStart w:id="1355" w:name="_Toc8669"/>
      <w:bookmarkStart w:id="1356" w:name="_Toc26500"/>
      <w:bookmarkStart w:id="1357" w:name="_Toc13665"/>
      <w:bookmarkStart w:id="1358" w:name="_Toc16256"/>
      <w:bookmarkStart w:id="1359" w:name="_Toc7674"/>
      <w:bookmarkStart w:id="1360" w:name="_Toc21016"/>
      <w:bookmarkStart w:id="1361" w:name="_Toc28088"/>
      <w:bookmarkStart w:id="1362" w:name="_Toc7109"/>
      <w:bookmarkStart w:id="1363" w:name="_Toc547"/>
      <w:bookmarkStart w:id="1364" w:name="_Toc14740"/>
      <w:bookmarkStart w:id="1365" w:name="_Toc26931"/>
      <w:bookmarkStart w:id="1366" w:name="_Toc27248"/>
      <w:bookmarkStart w:id="1367" w:name="_Toc3179"/>
      <w:bookmarkStart w:id="1368" w:name="_Toc31613"/>
      <w:bookmarkStart w:id="1369" w:name="_Toc5425"/>
      <w:bookmarkStart w:id="1370" w:name="_Toc4125"/>
      <w:bookmarkStart w:id="1371" w:name="_Toc15960"/>
      <w:bookmarkStart w:id="1372" w:name="_Toc27763"/>
      <w:bookmarkStart w:id="1373" w:name="_Toc712"/>
      <w:bookmarkStart w:id="1374" w:name="_Toc1776"/>
      <w:bookmarkStart w:id="1375" w:name="_Toc32729"/>
      <w:bookmarkStart w:id="1376" w:name="_Toc425"/>
      <w:bookmarkStart w:id="1377" w:name="_Toc3047"/>
      <w:bookmarkStart w:id="1378" w:name="_Toc16364"/>
      <w:bookmarkStart w:id="1379" w:name="_Toc6716"/>
      <w:bookmarkStart w:id="1380" w:name="_Toc9934"/>
      <w:bookmarkStart w:id="1381" w:name="_Toc765"/>
      <w:bookmarkStart w:id="1382" w:name="_Toc31253"/>
      <w:bookmarkStart w:id="1383" w:name="_Toc26062"/>
      <w:bookmarkStart w:id="1384" w:name="_Toc15230"/>
      <w:bookmarkStart w:id="1385" w:name="_Toc30510"/>
      <w:bookmarkStart w:id="1386" w:name="_Toc10969"/>
      <w:bookmarkStart w:id="1387" w:name="_Toc15599"/>
      <w:bookmarkStart w:id="1388" w:name="_Toc3634"/>
      <w:bookmarkStart w:id="1389" w:name="_Toc27428"/>
      <w:bookmarkStart w:id="1390" w:name="_Toc5630"/>
      <w:bookmarkStart w:id="1391" w:name="_Toc12419"/>
      <w:bookmarkStart w:id="1392" w:name="_Toc17313"/>
      <w:bookmarkStart w:id="1393" w:name="_Toc1925"/>
      <w:bookmarkStart w:id="1394" w:name="_Toc30584"/>
      <w:bookmarkStart w:id="1395" w:name="_Toc1871"/>
      <w:bookmarkStart w:id="1396" w:name="_Toc22079"/>
      <w:bookmarkStart w:id="1397" w:name="_Toc2274"/>
      <w:bookmarkStart w:id="1398" w:name="_Toc6722"/>
      <w:bookmarkStart w:id="1399" w:name="_Toc3987"/>
      <w:bookmarkStart w:id="1400" w:name="_Toc26962"/>
      <w:bookmarkStart w:id="1401" w:name="_Toc8972"/>
      <w:bookmarkStart w:id="1402" w:name="_Toc10435"/>
      <w:bookmarkStart w:id="1403" w:name="_Toc1059"/>
      <w:bookmarkStart w:id="1404" w:name="_Toc2174"/>
      <w:bookmarkStart w:id="1405" w:name="_Toc7681"/>
      <w:bookmarkStart w:id="1406" w:name="_Toc19922"/>
      <w:bookmarkStart w:id="1407" w:name="_Toc131"/>
      <w:bookmarkStart w:id="1408" w:name="_Toc2084"/>
      <w:bookmarkStart w:id="1409" w:name="_Toc14747"/>
      <w:bookmarkStart w:id="1410" w:name="_Toc32676"/>
      <w:bookmarkStart w:id="1411" w:name="_Toc30748"/>
      <w:bookmarkStart w:id="1412" w:name="_Toc9009"/>
      <w:bookmarkStart w:id="1413" w:name="_Toc9314"/>
      <w:bookmarkStart w:id="1414" w:name="_Toc30979"/>
      <w:bookmarkStart w:id="1415" w:name="_Toc1480"/>
      <w:r>
        <w:rPr>
          <w:rFonts w:hint="eastAsia" w:ascii="黑体" w:hAnsi="黑体" w:eastAsia="黑体" w:cs="黑体"/>
          <w:b w:val="0"/>
          <w:bCs w:val="0"/>
          <w:color w:val="auto"/>
          <w:lang w:eastAsia="zh-CN"/>
        </w:rPr>
        <w:t>一</w:t>
      </w:r>
      <w:r>
        <w:rPr>
          <w:rFonts w:hint="eastAsia" w:ascii="Times New Roman" w:hAnsi="Times New Roman" w:eastAsia="黑体" w:cstheme="minorBidi"/>
          <w:b w:val="0"/>
          <w:bCs/>
          <w:color w:val="auto"/>
          <w:kern w:val="44"/>
          <w:sz w:val="32"/>
          <w:szCs w:val="32"/>
          <w:lang w:val="en-US" w:eastAsia="zh-CN" w:bidi="ar-SA"/>
        </w:rPr>
        <w:t>、加强公共卫生体系建设</w:t>
      </w:r>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Start w:id="1416" w:name="_Toc755"/>
      <w:bookmarkStart w:id="1417" w:name="_Toc9659"/>
      <w:bookmarkStart w:id="1418" w:name="_Toc32222"/>
      <w:bookmarkStart w:id="1419" w:name="_Toc4849"/>
      <w:bookmarkStart w:id="1420" w:name="_Toc3659"/>
      <w:bookmarkStart w:id="1421" w:name="_Toc4437"/>
      <w:bookmarkStart w:id="1422" w:name="_Toc3207"/>
      <w:bookmarkStart w:id="1423" w:name="_Toc30368"/>
      <w:bookmarkStart w:id="1424" w:name="_Toc30511"/>
      <w:bookmarkStart w:id="1425" w:name="_Toc22469"/>
      <w:bookmarkStart w:id="1426" w:name="_Toc7198"/>
      <w:bookmarkStart w:id="1427" w:name="_Toc18130"/>
      <w:bookmarkStart w:id="1428" w:name="_Toc11961"/>
      <w:bookmarkStart w:id="1429" w:name="_Toc5257"/>
      <w:bookmarkStart w:id="1430" w:name="_Toc30963"/>
      <w:bookmarkStart w:id="1431" w:name="_Toc16272"/>
      <w:bookmarkStart w:id="1432" w:name="_Toc11520"/>
      <w:bookmarkStart w:id="1433" w:name="_Toc952"/>
      <w:bookmarkStart w:id="1434" w:name="_Toc14508"/>
      <w:bookmarkStart w:id="1435" w:name="_Toc6071"/>
      <w:bookmarkStart w:id="1436" w:name="_Toc26081"/>
      <w:bookmarkStart w:id="1437" w:name="_Toc1165"/>
      <w:bookmarkStart w:id="1438" w:name="_Toc11009"/>
      <w:bookmarkStart w:id="1439" w:name="_Toc15556"/>
      <w:bookmarkStart w:id="1440" w:name="_Toc24497"/>
      <w:bookmarkStart w:id="1441" w:name="_Toc10636"/>
      <w:bookmarkStart w:id="1442" w:name="_Toc15811"/>
      <w:bookmarkStart w:id="1443" w:name="_Toc2462"/>
      <w:bookmarkStart w:id="1444" w:name="_Toc24081"/>
      <w:bookmarkStart w:id="1445" w:name="_Toc5556"/>
      <w:bookmarkStart w:id="1446" w:name="_Toc18769"/>
      <w:bookmarkStart w:id="1447" w:name="_Toc8310"/>
      <w:bookmarkStart w:id="1448" w:name="_Toc19944"/>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eastAsia" w:ascii="仿宋_GB2312" w:hAnsi="仿宋_GB2312" w:eastAsia="仿宋_GB2312" w:cs="仿宋_GB2312"/>
          <w:color w:val="auto"/>
          <w:sz w:val="32"/>
          <w:szCs w:val="32"/>
        </w:rPr>
      </w:pPr>
      <w:bookmarkStart w:id="1449" w:name="_Toc3962"/>
      <w:bookmarkStart w:id="1450" w:name="_Toc8295"/>
      <w:bookmarkStart w:id="1451" w:name="_Toc30398"/>
      <w:bookmarkStart w:id="1452" w:name="_Toc3860"/>
      <w:bookmarkStart w:id="1453" w:name="_Toc24270"/>
      <w:bookmarkStart w:id="1454" w:name="_Toc581"/>
      <w:bookmarkStart w:id="1455" w:name="_Toc23960"/>
      <w:bookmarkStart w:id="1456" w:name="_Toc24384"/>
      <w:bookmarkStart w:id="1457" w:name="_Toc11866"/>
      <w:bookmarkStart w:id="1458" w:name="_Toc19053"/>
      <w:bookmarkStart w:id="1459" w:name="_Toc27003"/>
      <w:bookmarkStart w:id="1460" w:name="_Toc19368"/>
      <w:bookmarkStart w:id="1461" w:name="_Toc957"/>
      <w:bookmarkStart w:id="1462" w:name="_Toc17760"/>
      <w:bookmarkStart w:id="1463" w:name="_Toc7579"/>
      <w:bookmarkStart w:id="1464" w:name="_Toc22868"/>
      <w:bookmarkStart w:id="1465" w:name="_Toc15348"/>
      <w:bookmarkStart w:id="1466" w:name="_Toc4793"/>
      <w:bookmarkStart w:id="1467" w:name="_Toc3232"/>
      <w:bookmarkStart w:id="1468" w:name="_Toc9333"/>
      <w:bookmarkStart w:id="1469" w:name="_Toc23411"/>
      <w:bookmarkStart w:id="1470" w:name="_Toc31769"/>
      <w:bookmarkStart w:id="1471" w:name="_Toc28660"/>
      <w:r>
        <w:rPr>
          <w:rFonts w:hint="eastAsia" w:ascii="仿宋_GB2312" w:eastAsia="仿宋_GB2312" w:cstheme="minorBidi"/>
          <w:b/>
          <w:bCs w:val="0"/>
          <w:color w:val="auto"/>
          <w:sz w:val="32"/>
          <w:szCs w:val="32"/>
          <w:lang w:val="en-US" w:eastAsia="zh-CN"/>
        </w:rPr>
        <w:t>1</w:t>
      </w:r>
      <w:r>
        <w:rPr>
          <w:rFonts w:hint="eastAsia" w:ascii="仿宋_GB2312" w:hAnsi="Times New Roman" w:eastAsia="仿宋_GB2312" w:cstheme="minorBidi"/>
          <w:b/>
          <w:bCs w:val="0"/>
          <w:color w:val="auto"/>
          <w:sz w:val="32"/>
          <w:szCs w:val="32"/>
          <w:lang w:val="en-US" w:eastAsia="zh-CN"/>
        </w:rPr>
        <w:t>.完善疾病</w:t>
      </w:r>
      <w:r>
        <w:rPr>
          <w:rFonts w:hint="eastAsia" w:ascii="Times New Roman" w:hAnsi="Times New Roman" w:eastAsia="仿宋_GB2312" w:cs="Times New Roman"/>
          <w:b/>
          <w:color w:val="auto"/>
          <w:sz w:val="32"/>
          <w:szCs w:val="32"/>
        </w:rPr>
        <w:t>预防控制体系</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9"/>
      <w:bookmarkEnd w:id="1450"/>
      <w:bookmarkEnd w:id="1451"/>
      <w:bookmarkEnd w:id="1452"/>
      <w:bookmarkEnd w:id="1453"/>
      <w:bookmarkEnd w:id="1454"/>
      <w:r>
        <w:rPr>
          <w:rFonts w:hint="eastAsia" w:eastAsia="仿宋_GB2312" w:cs="Times New Roman"/>
          <w:b/>
          <w:color w:val="auto"/>
          <w:sz w:val="32"/>
          <w:szCs w:val="32"/>
          <w:lang w:eastAsia="zh-CN"/>
        </w:rPr>
        <w:t>。</w:t>
      </w:r>
      <w:bookmarkEnd w:id="1442"/>
      <w:bookmarkEnd w:id="1443"/>
      <w:bookmarkEnd w:id="1444"/>
      <w:bookmarkEnd w:id="1445"/>
      <w:bookmarkEnd w:id="1446"/>
      <w:bookmarkEnd w:id="1447"/>
      <w:bookmarkEnd w:id="1448"/>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Start w:id="1472" w:name="_Toc24212"/>
      <w:bookmarkStart w:id="1473" w:name="_Toc9929"/>
      <w:bookmarkStart w:id="1474" w:name="_Toc22767"/>
      <w:bookmarkStart w:id="1475" w:name="_Toc14588"/>
      <w:bookmarkStart w:id="1476" w:name="_Toc30322"/>
      <w:bookmarkStart w:id="1477" w:name="_Toc22756"/>
      <w:bookmarkStart w:id="1478" w:name="_Toc17599"/>
      <w:bookmarkStart w:id="1479" w:name="_Toc4679"/>
      <w:bookmarkStart w:id="1480" w:name="_Toc21441"/>
      <w:bookmarkStart w:id="1481" w:name="_Toc14616"/>
      <w:bookmarkStart w:id="1482" w:name="_Toc2142"/>
      <w:bookmarkStart w:id="1483" w:name="_Toc31125"/>
      <w:bookmarkStart w:id="1484" w:name="_Toc3365"/>
      <w:bookmarkStart w:id="1485" w:name="_Toc5400"/>
      <w:bookmarkStart w:id="1486" w:name="_Toc11678"/>
      <w:bookmarkStart w:id="1487" w:name="_Toc673"/>
      <w:bookmarkStart w:id="1488" w:name="_Toc16685"/>
      <w:bookmarkStart w:id="1489" w:name="_Toc17007"/>
      <w:bookmarkStart w:id="1490" w:name="_Toc6897"/>
      <w:r>
        <w:rPr>
          <w:rFonts w:hint="eastAsia" w:ascii="仿宋_GB2312" w:hAnsi="仿宋_GB2312" w:eastAsia="仿宋_GB2312" w:cs="仿宋_GB2312"/>
          <w:color w:val="auto"/>
          <w:sz w:val="32"/>
          <w:szCs w:val="32"/>
        </w:rPr>
        <w:t>建立健全预防为主的大卫生大健康体制机制，将预防关口前移，避免小病酿成大疫，夯实联防联控的基层基础，创新医防协同机制。依托光明区重大疾病防控联席会议制度，建立传染病、慢性病、精神</w:t>
      </w:r>
      <w:r>
        <w:rPr>
          <w:rFonts w:hint="eastAsia" w:ascii="仿宋_GB2312" w:hAnsi="仿宋_GB2312" w:eastAsia="仿宋_GB2312" w:cs="仿宋_GB2312"/>
          <w:color w:val="auto"/>
          <w:sz w:val="32"/>
          <w:szCs w:val="32"/>
          <w:lang w:eastAsia="zh-CN"/>
        </w:rPr>
        <w:t>疾病</w:t>
      </w:r>
      <w:r>
        <w:rPr>
          <w:rFonts w:hint="eastAsia" w:ascii="仿宋_GB2312" w:hAnsi="仿宋_GB2312" w:eastAsia="仿宋_GB2312" w:cs="仿宋_GB2312"/>
          <w:color w:val="auto"/>
          <w:sz w:val="32"/>
          <w:szCs w:val="32"/>
        </w:rPr>
        <w:t>和职业病四类病重点防控联络机制。抓好各类传染病日常监测，完善慢性病、重点癌症、青少年和脊椎侧弯等重点疾病防治模式。</w:t>
      </w:r>
      <w:r>
        <w:rPr>
          <w:rFonts w:hint="eastAsia" w:ascii="仿宋_GB2312" w:hAnsi="仿宋_GB2312" w:eastAsia="仿宋_GB2312" w:cs="仿宋_GB2312"/>
          <w:color w:val="auto"/>
          <w:sz w:val="32"/>
          <w:szCs w:val="32"/>
          <w:lang w:eastAsia="zh-CN"/>
        </w:rPr>
        <w:t>加强职业病防治工作，</w:t>
      </w:r>
      <w:r>
        <w:rPr>
          <w:rFonts w:hint="eastAsia" w:ascii="仿宋_GB2312" w:hAnsi="仿宋_GB2312" w:eastAsia="仿宋_GB2312" w:cs="仿宋_GB2312"/>
          <w:color w:val="auto"/>
          <w:sz w:val="32"/>
          <w:szCs w:val="32"/>
          <w:highlight w:val="none"/>
          <w:lang w:eastAsia="zh-CN"/>
        </w:rPr>
        <w:t>卫健、疾控、卫监、街道各司其职，共同</w:t>
      </w:r>
      <w:r>
        <w:rPr>
          <w:rFonts w:hint="eastAsia" w:ascii="仿宋_GB2312" w:hAnsi="仿宋_GB2312" w:eastAsia="仿宋_GB2312" w:cs="仿宋_GB2312"/>
          <w:color w:val="auto"/>
          <w:sz w:val="32"/>
          <w:szCs w:val="32"/>
          <w:lang w:eastAsia="zh-CN"/>
        </w:rPr>
        <w:t>推进</w:t>
      </w:r>
      <w:r>
        <w:rPr>
          <w:rFonts w:hint="eastAsia" w:ascii="仿宋_GB2312" w:hAnsi="仿宋_GB2312" w:eastAsia="仿宋_GB2312" w:cs="仿宋_GB2312"/>
          <w:color w:val="auto"/>
          <w:sz w:val="32"/>
          <w:szCs w:val="32"/>
        </w:rPr>
        <w:t>职业健康监管体系建设</w:t>
      </w:r>
      <w:r>
        <w:rPr>
          <w:rFonts w:hint="eastAsia" w:ascii="仿宋_GB2312" w:hAnsi="仿宋_GB2312" w:eastAsia="仿宋_GB2312" w:cs="仿宋_GB2312"/>
          <w:color w:val="auto"/>
          <w:sz w:val="32"/>
          <w:szCs w:val="32"/>
          <w:lang w:eastAsia="zh-CN"/>
        </w:rPr>
        <w:t>，优化职业健康体检流程。</w:t>
      </w:r>
      <w:r>
        <w:rPr>
          <w:rFonts w:hint="eastAsia" w:ascii="仿宋_GB2312" w:hAnsi="仿宋_GB2312" w:eastAsia="仿宋_GB2312" w:cs="仿宋_GB2312"/>
          <w:color w:val="auto"/>
          <w:sz w:val="32"/>
          <w:szCs w:val="32"/>
        </w:rPr>
        <w:t>推进精神卫生综合管理、社会心理服务</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lang w:val="en-US" w:eastAsia="zh-CN"/>
        </w:rPr>
        <w:t>推动区属综合医院设置精神科床位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扎实推进中小学健康促进、老年健康促进、癌症防治等健康行动计划，多方位干预健康影响因素。固化企业、校园健康管理团队工作专班机制，打造健康信息互通共享平台。</w:t>
      </w:r>
      <w:bookmarkEnd w:id="1472"/>
      <w:bookmarkStart w:id="1491" w:name="_Toc1666"/>
      <w:bookmarkStart w:id="1492" w:name="_Toc7293"/>
      <w:bookmarkStart w:id="1493" w:name="_Toc8877"/>
      <w:bookmarkStart w:id="1494" w:name="_Toc4684"/>
      <w:bookmarkStart w:id="1495" w:name="_Toc9890"/>
      <w:bookmarkStart w:id="1496" w:name="_Toc13355"/>
      <w:bookmarkStart w:id="1497" w:name="_Toc2479"/>
      <w:bookmarkStart w:id="1498" w:name="_Toc5939"/>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eastAsia" w:eastAsia="仿宋_GB2312" w:cs="Times New Roman"/>
          <w:b/>
          <w:color w:val="auto"/>
          <w:sz w:val="32"/>
          <w:szCs w:val="32"/>
          <w:lang w:eastAsia="zh-CN"/>
        </w:rPr>
      </w:pPr>
      <w:bookmarkStart w:id="1499" w:name="_Toc32476"/>
      <w:bookmarkStart w:id="1500" w:name="_Toc15223"/>
      <w:bookmarkStart w:id="1501" w:name="_Toc30021"/>
      <w:bookmarkStart w:id="1502" w:name="_Toc21581"/>
      <w:bookmarkStart w:id="1503" w:name="_Toc23797"/>
      <w:bookmarkStart w:id="1504" w:name="_Toc7131"/>
      <w:bookmarkStart w:id="1505" w:name="_Toc25997"/>
      <w:bookmarkStart w:id="1506" w:name="_Toc25518"/>
      <w:bookmarkStart w:id="1507" w:name="_Toc3226"/>
      <w:bookmarkStart w:id="1508" w:name="_Toc15558"/>
      <w:bookmarkStart w:id="1509" w:name="_Toc3553"/>
      <w:bookmarkStart w:id="1510" w:name="_Toc16003"/>
      <w:bookmarkStart w:id="1511" w:name="_Toc27603"/>
      <w:bookmarkStart w:id="1512" w:name="_Toc28986"/>
      <w:bookmarkStart w:id="1513" w:name="_Toc17270"/>
      <w:bookmarkStart w:id="1514" w:name="_Toc9771"/>
      <w:bookmarkStart w:id="1515" w:name="_Toc16651"/>
      <w:bookmarkStart w:id="1516" w:name="_Toc12259"/>
      <w:bookmarkStart w:id="1517" w:name="_Toc25215"/>
      <w:bookmarkStart w:id="1518" w:name="_Toc10657"/>
      <w:bookmarkStart w:id="1519" w:name="_Toc23489"/>
      <w:bookmarkStart w:id="1520" w:name="_Toc2318"/>
      <w:bookmarkStart w:id="1521" w:name="_Toc25898"/>
      <w:bookmarkStart w:id="1522" w:name="_Toc7298"/>
      <w:bookmarkStart w:id="1523" w:name="_Toc6987"/>
      <w:bookmarkStart w:id="1524" w:name="_Toc18735"/>
      <w:bookmarkStart w:id="1525" w:name="_Toc7707"/>
      <w:bookmarkStart w:id="1526" w:name="_Toc3612"/>
      <w:bookmarkStart w:id="1527" w:name="_Toc26150"/>
      <w:bookmarkStart w:id="1528" w:name="_Toc13900"/>
      <w:r>
        <w:rPr>
          <w:rFonts w:hint="eastAsia" w:ascii="仿宋_GB2312" w:eastAsia="仿宋_GB2312" w:cstheme="minorBidi"/>
          <w:b/>
          <w:bCs w:val="0"/>
          <w:color w:val="auto"/>
          <w:sz w:val="32"/>
          <w:szCs w:val="32"/>
          <w:lang w:val="en-US" w:eastAsia="zh-CN"/>
        </w:rPr>
        <w:t>2</w:t>
      </w:r>
      <w:r>
        <w:rPr>
          <w:rFonts w:hint="eastAsia" w:ascii="仿宋_GB2312" w:hAnsi="Times New Roman" w:eastAsia="仿宋_GB2312" w:cstheme="minorBidi"/>
          <w:b/>
          <w:bCs w:val="0"/>
          <w:color w:val="auto"/>
          <w:sz w:val="32"/>
          <w:szCs w:val="32"/>
          <w:lang w:val="en-US" w:eastAsia="zh-CN"/>
        </w:rPr>
        <w:t>.增强早期监测预警</w:t>
      </w:r>
      <w:r>
        <w:rPr>
          <w:rFonts w:hint="eastAsia" w:ascii="Times New Roman" w:hAnsi="Times New Roman" w:eastAsia="仿宋_GB2312" w:cs="Times New Roman"/>
          <w:b/>
          <w:color w:val="auto"/>
          <w:sz w:val="32"/>
          <w:szCs w:val="32"/>
          <w:lang w:eastAsia="zh-CN"/>
        </w:rPr>
        <w:t>能力</w:t>
      </w:r>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r>
        <w:rPr>
          <w:rFonts w:hint="eastAsia" w:eastAsia="仿宋_GB2312" w:cs="Times New Roman"/>
          <w:b/>
          <w:color w:val="auto"/>
          <w:sz w:val="32"/>
          <w:szCs w:val="32"/>
          <w:lang w:eastAsia="zh-CN"/>
        </w:rPr>
        <w:t>。</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Start w:id="1529" w:name="_Toc8699"/>
      <w:bookmarkStart w:id="1530" w:name="_Toc15282"/>
      <w:bookmarkStart w:id="1531" w:name="_Toc5628"/>
      <w:bookmarkStart w:id="1532" w:name="_Toc24769"/>
      <w:bookmarkStart w:id="1533" w:name="_Toc22985"/>
      <w:bookmarkStart w:id="1534" w:name="_Toc30788"/>
      <w:bookmarkStart w:id="1535" w:name="_Toc17681"/>
      <w:bookmarkStart w:id="1536" w:name="_Toc28505"/>
      <w:bookmarkStart w:id="1537" w:name="_Toc9552"/>
      <w:bookmarkStart w:id="1538" w:name="_Toc29229"/>
      <w:bookmarkStart w:id="1539" w:name="_Toc6197"/>
      <w:bookmarkStart w:id="1540" w:name="_Toc26676"/>
      <w:bookmarkStart w:id="1541" w:name="_Toc14680"/>
      <w:bookmarkStart w:id="1542" w:name="_Toc1040"/>
      <w:bookmarkStart w:id="1543" w:name="_Toc32661"/>
      <w:bookmarkStart w:id="1544" w:name="_Toc8446"/>
      <w:bookmarkStart w:id="1545" w:name="_Toc15050"/>
      <w:bookmarkStart w:id="1546" w:name="_Toc22192"/>
      <w:bookmarkStart w:id="1547" w:name="_Toc24518"/>
      <w:r>
        <w:rPr>
          <w:rFonts w:hint="eastAsia" w:ascii="仿宋_GB2312" w:hAnsi="仿宋_GB2312" w:eastAsia="仿宋_GB2312" w:cs="仿宋_GB2312"/>
          <w:color w:val="auto"/>
          <w:sz w:val="32"/>
          <w:szCs w:val="32"/>
        </w:rPr>
        <w:t>强化公共卫生安全底线思维，不断提高辖区居民对突发公共卫生事件认知水平和预防自救互救能力。完善协同作战的体制机制，</w:t>
      </w:r>
      <w:r>
        <w:rPr>
          <w:rFonts w:hint="eastAsia" w:ascii="仿宋_GB2312" w:hAnsi="Calibri" w:eastAsia="仿宋_GB2312" w:cs="Times New Roman"/>
          <w:color w:val="auto"/>
          <w:sz w:val="32"/>
          <w:szCs w:val="32"/>
        </w:rPr>
        <w:t>通过三级预防保健服务网络体系，协同开展区域内传染病监测预警与突发公共卫生事件处置、传染病防制与免疫规划、健康教育与健康促进、慢性非传染性疾病健康管理、精神卫生、职业卫生、学校卫生、环境卫生等各项公共卫生工作，实现公共卫生“上下贯通、资源共享、预防为主、防治结合”的全流程闭环管理。</w:t>
      </w:r>
      <w:r>
        <w:rPr>
          <w:rFonts w:hint="eastAsia" w:ascii="仿宋_GB2312" w:hAnsi="仿宋_GB2312" w:eastAsia="仿宋_GB2312" w:cs="仿宋_GB2312"/>
          <w:color w:val="auto"/>
          <w:sz w:val="32"/>
          <w:szCs w:val="32"/>
        </w:rPr>
        <w:t>充分利用传染病直报网络系统，加强公共卫生与诊疗系统联通互享，发挥基层哨点作用，利用大数据云计算平台及时监测事件产生的苗头及预判其发展趋势，支撑突发公共卫生事件的预警、监测、溯源、防控、救治以及资源调配。加强对突发公共卫生事件追踪分析，及时对可能出现的问题并根据发展趋势，制定相应切实可行的处置指引。</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pPr>
        <w:spacing w:line="560" w:lineRule="exact"/>
        <w:ind w:firstLine="660"/>
        <w:jc w:val="left"/>
        <w:rPr>
          <w:rFonts w:hint="eastAsia" w:ascii="仿宋_GB2312" w:hAnsi="仿宋_GB2312" w:eastAsia="仿宋_GB2312" w:cs="仿宋_GB2312"/>
          <w:color w:val="auto"/>
          <w:sz w:val="32"/>
          <w:szCs w:val="32"/>
        </w:rPr>
      </w:pPr>
      <w:bookmarkStart w:id="1548" w:name="_Toc1726"/>
      <w:bookmarkStart w:id="1549" w:name="_Toc30648"/>
      <w:bookmarkStart w:id="1550" w:name="_Toc20715"/>
      <w:bookmarkStart w:id="1551" w:name="_Toc14375"/>
      <w:bookmarkStart w:id="1552" w:name="_Toc17163"/>
      <w:bookmarkStart w:id="1553" w:name="_Toc6574"/>
      <w:bookmarkStart w:id="1554" w:name="_Toc12649"/>
      <w:bookmarkStart w:id="1555" w:name="_Toc17292"/>
      <w:bookmarkStart w:id="1556" w:name="_Toc8616"/>
      <w:bookmarkStart w:id="1557" w:name="_Toc11173"/>
      <w:bookmarkStart w:id="1558" w:name="_Toc9030"/>
      <w:bookmarkStart w:id="1559" w:name="_Toc23320"/>
      <w:bookmarkStart w:id="1560" w:name="_Toc32415"/>
      <w:bookmarkStart w:id="1561" w:name="_Toc339"/>
      <w:bookmarkStart w:id="1562" w:name="_Toc11824"/>
      <w:bookmarkStart w:id="1563" w:name="_Toc20181"/>
      <w:bookmarkStart w:id="1564" w:name="_Toc16850"/>
      <w:bookmarkStart w:id="1565" w:name="_Toc626"/>
      <w:bookmarkStart w:id="1566" w:name="_Toc8905"/>
      <w:bookmarkStart w:id="1567" w:name="_Toc7891"/>
      <w:bookmarkStart w:id="1568" w:name="_Toc9364"/>
      <w:bookmarkStart w:id="1569" w:name="_Toc4869"/>
      <w:bookmarkStart w:id="1570" w:name="_Toc20366"/>
      <w:bookmarkStart w:id="1571" w:name="_Toc11368"/>
      <w:bookmarkStart w:id="1572" w:name="_Toc15562"/>
      <w:bookmarkStart w:id="1573" w:name="_Toc7673"/>
      <w:bookmarkStart w:id="1574" w:name="_Toc28797"/>
      <w:bookmarkStart w:id="1575" w:name="_Toc14181"/>
      <w:bookmarkStart w:id="1576" w:name="_Toc19638"/>
      <w:bookmarkStart w:id="1577" w:name="_Toc24797"/>
      <w:r>
        <w:rPr>
          <w:rFonts w:hint="eastAsia" w:ascii="仿宋_GB2312" w:eastAsia="仿宋_GB2312" w:cstheme="minorBidi"/>
          <w:b/>
          <w:bCs w:val="0"/>
          <w:color w:val="auto"/>
          <w:sz w:val="32"/>
          <w:szCs w:val="32"/>
          <w:lang w:val="en-US" w:eastAsia="zh-CN"/>
        </w:rPr>
        <w:t>3</w:t>
      </w:r>
      <w:r>
        <w:rPr>
          <w:rFonts w:hint="eastAsia" w:ascii="仿宋_GB2312" w:hAnsi="Times New Roman" w:eastAsia="仿宋_GB2312" w:cstheme="minorBidi"/>
          <w:b/>
          <w:bCs w:val="0"/>
          <w:color w:val="auto"/>
          <w:sz w:val="32"/>
          <w:szCs w:val="32"/>
          <w:lang w:val="en-US" w:eastAsia="zh-CN"/>
        </w:rPr>
        <w:t>.健全公</w:t>
      </w:r>
      <w:r>
        <w:rPr>
          <w:rFonts w:hint="eastAsia" w:eastAsia="仿宋_GB2312" w:cs="Times New Roman"/>
          <w:b/>
          <w:color w:val="auto"/>
          <w:sz w:val="32"/>
          <w:szCs w:val="32"/>
          <w:lang w:eastAsia="zh-CN"/>
        </w:rPr>
        <w:t>共卫生应急管理体系</w:t>
      </w:r>
      <w:bookmarkEnd w:id="1548"/>
      <w:bookmarkEnd w:id="1549"/>
      <w:bookmarkEnd w:id="1550"/>
      <w:bookmarkEnd w:id="1551"/>
      <w:bookmarkEnd w:id="1552"/>
      <w:r>
        <w:rPr>
          <w:rFonts w:hint="eastAsia" w:eastAsia="仿宋_GB2312" w:cs="Times New Roman"/>
          <w:b/>
          <w:color w:val="auto"/>
          <w:sz w:val="32"/>
          <w:szCs w:val="32"/>
          <w:lang w:eastAsia="zh-CN"/>
        </w:rPr>
        <w:t>。</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Start w:id="1578" w:name="_Toc13141"/>
      <w:r>
        <w:rPr>
          <w:rFonts w:hint="eastAsia" w:ascii="仿宋_GB2312" w:hAnsi="仿宋_GB2312" w:eastAsia="仿宋_GB2312" w:cs="仿宋_GB2312"/>
          <w:color w:val="auto"/>
          <w:sz w:val="32"/>
          <w:szCs w:val="32"/>
          <w:lang w:eastAsia="zh-CN"/>
        </w:rPr>
        <w:t>健全</w:t>
      </w:r>
      <w:r>
        <w:rPr>
          <w:rFonts w:hint="eastAsia" w:ascii="仿宋_GB2312" w:hAnsi="仿宋_GB2312" w:eastAsia="仿宋_GB2312" w:cs="仿宋_GB2312"/>
          <w:color w:val="auto"/>
          <w:sz w:val="32"/>
          <w:szCs w:val="32"/>
        </w:rPr>
        <w:t>突发公共卫生应急管理、响应、基层治理和信息公开机制，建立集中、高效、统一的领导指挥体系，加强突发公共卫生事件应急指挥力量配备，建立公共卫生应急管理</w:t>
      </w:r>
      <w:r>
        <w:rPr>
          <w:rFonts w:hint="eastAsia" w:ascii="仿宋_GB2312" w:hAnsi="仿宋_GB2312" w:eastAsia="仿宋_GB2312" w:cs="仿宋_GB2312"/>
          <w:color w:val="auto"/>
          <w:sz w:val="32"/>
          <w:szCs w:val="32"/>
          <w:lang w:eastAsia="zh-CN"/>
        </w:rPr>
        <w:t>联席</w:t>
      </w:r>
      <w:r>
        <w:rPr>
          <w:rFonts w:hint="eastAsia" w:ascii="仿宋_GB2312" w:hAnsi="仿宋_GB2312" w:eastAsia="仿宋_GB2312" w:cs="仿宋_GB2312"/>
          <w:color w:val="auto"/>
          <w:sz w:val="32"/>
          <w:szCs w:val="32"/>
        </w:rPr>
        <w:t>会议制度，优化流行病学调查机制，形成卫生部门牵头、其它部门协同的联动调查机制。健全突发公共卫生应急预案，定期组织开展公共卫生应急管理技能培训和演练，完善公共卫生风险研判、评估、决策、防控协同机制</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健全公共卫生应急</w:t>
      </w:r>
      <w:r>
        <w:rPr>
          <w:rFonts w:hint="eastAsia" w:ascii="仿宋_GB2312" w:hAnsi="仿宋_GB2312" w:eastAsia="仿宋_GB2312" w:cs="仿宋_GB2312"/>
          <w:color w:val="auto"/>
          <w:sz w:val="32"/>
          <w:szCs w:val="32"/>
        </w:rPr>
        <w:t>物资储备和调度体系，确保应急物资保障有序有力，科学调整物资储备形式、品类、规模、结构，提升储备效能。强化社区“三位一体”联防联控机制，推进“健康细胞”工程，加强舆情研判和引导，完善公共卫生社会心理干预体系，建设应急心理援助和危机干预网络。</w:t>
      </w:r>
      <w:bookmarkEnd w:id="1578"/>
    </w:p>
    <w:p>
      <w:pPr>
        <w:keepNext w:val="0"/>
        <w:keepLines w:val="0"/>
        <w:pageBreakBefore w:val="0"/>
        <w:widowControl w:val="0"/>
        <w:shd w:val="clear"/>
        <w:kinsoku/>
        <w:wordWrap/>
        <w:overflowPunct/>
        <w:topLinePunct w:val="0"/>
        <w:autoSpaceDE/>
        <w:autoSpaceDN/>
        <w:bidi w:val="0"/>
        <w:adjustRightInd/>
        <w:snapToGrid w:val="0"/>
        <w:spacing w:after="157" w:afterLines="50" w:line="560" w:lineRule="exact"/>
        <w:ind w:firstLine="642" w:firstLineChars="200"/>
        <w:jc w:val="both"/>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4.提升基层公共卫生治理水平。</w:t>
      </w:r>
      <w:r>
        <w:rPr>
          <w:rFonts w:hint="eastAsia" w:ascii="仿宋_GB2312" w:hAnsi="仿宋_GB2312" w:eastAsia="仿宋_GB2312" w:cs="仿宋_GB2312"/>
          <w:color w:val="auto"/>
          <w:sz w:val="32"/>
          <w:szCs w:val="32"/>
        </w:rPr>
        <w:t>加强基层公共卫生治理。推动完善街道办事处、社区基层组织公共卫生职能和力量配置，做实社区公共卫生委员会，强化健康促进、健康管理、疫情防控、爱国卫生运动等相关工作组织动员。推动规模以上企业与基层医疗集团建立卫生健康对口协作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强化辖区企业健康管理。</w:t>
      </w:r>
    </w:p>
    <w:tbl>
      <w:tblPr>
        <w:tblStyle w:val="20"/>
        <w:tblW w:w="8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226"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before="156" w:beforeLines="50" w:line="440" w:lineRule="exact"/>
              <w:jc w:val="center"/>
              <w:rPr>
                <w:rFonts w:hint="eastAsia" w:ascii="仿宋_GB2312" w:hAnsi="宋体" w:eastAsia="仿宋_GB2312" w:cs="仿宋"/>
                <w:b/>
                <w:bCs/>
                <w:color w:val="auto"/>
                <w:kern w:val="0"/>
                <w:sz w:val="28"/>
                <w:szCs w:val="28"/>
                <w:highlight w:val="none"/>
              </w:rPr>
            </w:pPr>
            <w:r>
              <w:rPr>
                <w:rFonts w:hint="eastAsia" w:ascii="仿宋_GB2312" w:hAnsi="宋体" w:eastAsia="仿宋_GB2312" w:cs="仿宋"/>
                <w:b/>
                <w:bCs/>
                <w:color w:val="auto"/>
                <w:kern w:val="0"/>
                <w:sz w:val="28"/>
                <w:szCs w:val="28"/>
                <w:highlight w:val="none"/>
              </w:rPr>
              <w:t>专栏</w:t>
            </w:r>
            <w:r>
              <w:rPr>
                <w:rFonts w:hint="eastAsia" w:ascii="仿宋_GB2312" w:hAnsi="宋体" w:eastAsia="仿宋_GB2312" w:cs="仿宋"/>
                <w:b/>
                <w:bCs/>
                <w:color w:val="auto"/>
                <w:kern w:val="0"/>
                <w:sz w:val="28"/>
                <w:szCs w:val="28"/>
                <w:highlight w:val="none"/>
                <w:lang w:val="en-US" w:eastAsia="zh-CN"/>
              </w:rPr>
              <w:t xml:space="preserve">2 </w:t>
            </w:r>
            <w:r>
              <w:rPr>
                <w:rFonts w:hint="eastAsia" w:ascii="仿宋_GB2312" w:hAnsi="宋体" w:eastAsia="仿宋_GB2312" w:cs="仿宋"/>
                <w:b/>
                <w:bCs/>
                <w:color w:val="auto"/>
                <w:kern w:val="0"/>
                <w:sz w:val="28"/>
                <w:szCs w:val="28"/>
                <w:highlight w:val="none"/>
              </w:rPr>
              <w:t>公共卫生重点项目</w:t>
            </w:r>
          </w:p>
          <w:p>
            <w:pPr>
              <w:pStyle w:val="2"/>
              <w:keepNext w:val="0"/>
              <w:keepLines w:val="0"/>
              <w:pageBreakBefore w:val="0"/>
              <w:widowControl w:val="0"/>
              <w:kinsoku/>
              <w:wordWrap/>
              <w:overflowPunct/>
              <w:topLinePunct w:val="0"/>
              <w:autoSpaceDE/>
              <w:autoSpaceDN/>
              <w:bidi w:val="0"/>
              <w:adjustRightInd w:val="0"/>
              <w:snapToGrid w:val="0"/>
              <w:spacing w:before="156" w:beforeLines="50" w:after="157" w:afterLines="50" w:line="440" w:lineRule="exact"/>
              <w:ind w:left="119" w:firstLine="562" w:firstLineChars="200"/>
              <w:textAlignment w:val="auto"/>
              <w:rPr>
                <w:rStyle w:val="50"/>
                <w:rFonts w:eastAsia="仿宋_GB2312"/>
                <w:color w:val="auto"/>
                <w:highlight w:val="none"/>
              </w:rPr>
            </w:pPr>
            <w:r>
              <w:rPr>
                <w:rFonts w:hint="eastAsia" w:ascii="仿宋_GB2312" w:hAnsi="仿宋_GB2312" w:eastAsia="仿宋_GB2312" w:cs="仿宋_GB2312"/>
                <w:b/>
                <w:bCs/>
                <w:color w:val="auto"/>
                <w:kern w:val="0"/>
                <w:sz w:val="28"/>
                <w:szCs w:val="28"/>
                <w:highlight w:val="none"/>
              </w:rPr>
              <w:t>光明区公共卫生服务中心项目：</w:t>
            </w:r>
            <w:r>
              <w:rPr>
                <w:rFonts w:hint="eastAsia" w:ascii="仿宋_GB2312" w:hAnsi="仿宋_GB2312" w:eastAsia="仿宋_GB2312" w:cs="仿宋_GB2312"/>
                <w:color w:val="auto"/>
                <w:kern w:val="0"/>
                <w:sz w:val="28"/>
                <w:szCs w:val="28"/>
                <w:highlight w:val="none"/>
              </w:rPr>
              <w:t>项目用地面积6322.98㎡，总建筑面积47029㎡，其中地上建筑面积33665㎡，地下建筑面积13364㎡。项目建设内容包括疾病预防控制中心、检验中心、慢病防治中心、精神卫生中心、职业病防治所、卫生监督所、卫生技能培训中心和公共卫生医教中心。区公共卫生服务中心项目是提高区公共卫生服务能力，缓解现有公共卫生服务机构业务用房紧缺的现状，优化区医疗设施布局，促进区医疗卫生事业发展的建设项目。</w:t>
            </w:r>
          </w:p>
        </w:tc>
      </w:tr>
    </w:tbl>
    <w:p>
      <w:pPr>
        <w:keepNext w:val="0"/>
        <w:keepLines w:val="0"/>
        <w:pageBreakBefore w:val="0"/>
        <w:widowControl w:val="0"/>
        <w:shd w:val="clear"/>
        <w:kinsoku/>
        <w:wordWrap/>
        <w:overflowPunct/>
        <w:topLinePunct w:val="0"/>
        <w:autoSpaceDE/>
        <w:autoSpaceDN/>
        <w:bidi w:val="0"/>
        <w:adjustRightInd/>
        <w:snapToGrid w:val="0"/>
        <w:spacing w:before="157" w:beforeLines="50" w:line="560" w:lineRule="exact"/>
        <w:ind w:firstLine="640" w:firstLineChars="200"/>
        <w:jc w:val="both"/>
        <w:textAlignment w:val="auto"/>
        <w:outlineLvl w:val="2"/>
        <w:rPr>
          <w:rFonts w:hint="eastAsia" w:ascii="黑体" w:hAnsi="黑体" w:eastAsia="黑体" w:cs="黑体"/>
          <w:color w:val="auto"/>
          <w:sz w:val="32"/>
          <w:szCs w:val="32"/>
          <w:lang w:eastAsia="zh-CN"/>
        </w:rPr>
      </w:pPr>
      <w:bookmarkStart w:id="1579" w:name="_Toc538915420_WPSOffice_Level3"/>
      <w:r>
        <w:rPr>
          <w:rFonts w:hint="eastAsia" w:ascii="黑体" w:hAnsi="黑体" w:eastAsia="黑体" w:cs="黑体"/>
          <w:color w:val="auto"/>
          <w:sz w:val="32"/>
          <w:szCs w:val="32"/>
          <w:lang w:val="en-US" w:eastAsia="zh-CN"/>
        </w:rPr>
        <w:t>二、提高重大疫情防</w:t>
      </w:r>
      <w:r>
        <w:rPr>
          <w:rFonts w:hint="eastAsia" w:ascii="黑体" w:hAnsi="黑体" w:eastAsia="黑体" w:cs="黑体"/>
          <w:color w:val="auto"/>
          <w:sz w:val="32"/>
          <w:szCs w:val="32"/>
          <w:lang w:eastAsia="zh-CN"/>
        </w:rPr>
        <w:t>控能力</w:t>
      </w:r>
      <w:bookmarkEnd w:id="1579"/>
    </w:p>
    <w:p>
      <w:pPr>
        <w:spacing w:line="560" w:lineRule="exact"/>
        <w:ind w:firstLine="642" w:firstLineChars="200"/>
        <w:rPr>
          <w:rFonts w:ascii="仿宋_GB2312" w:hAnsi="Times New Roman" w:eastAsia="仿宋_GB2312" w:cs="Times New Roman"/>
          <w:color w:val="auto"/>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抓好新冠疫情应急处置和常态化防控</w:t>
      </w:r>
      <w:r>
        <w:rPr>
          <w:rFonts w:hint="eastAsia" w:ascii="仿宋_GB2312" w:hAnsi="仿宋_GB2312" w:eastAsia="仿宋_GB2312" w:cs="仿宋_GB2312"/>
          <w:b/>
          <w:bCs/>
          <w:color w:val="auto"/>
          <w:sz w:val="32"/>
          <w:szCs w:val="32"/>
          <w:lang w:eastAsia="zh-CN"/>
        </w:rPr>
        <w:t>。</w:t>
      </w:r>
      <w:r>
        <w:rPr>
          <w:rFonts w:hint="eastAsia" w:ascii="仿宋_GB2312" w:hAnsi="Times New Roman" w:eastAsia="仿宋_GB2312" w:cs="Times New Roman"/>
          <w:color w:val="auto"/>
          <w:sz w:val="32"/>
          <w:szCs w:val="32"/>
        </w:rPr>
        <w:t>坚持“外严防输入、内严防扩散”总体防控策略，坚持常态化精准防控和局部应急处置有机结合，强化聚集性疫情应急处置培训和演练，继续提升及时发现、快速处置、精准管控、有效救治能力，严防社区传播、多代传播。加强风险评估分析，健全人、物、环境多渠道监测体系，扩大监测哨点，完善多点触发预警机制。加强重点人群重点场所风险管控，严格落实入境人员、国内中高风险来深人员隔离医学观察、健康管理、核酸检测措施，对重点场所和重点行业从业人员开展定期核酸检测。充分联动街道-社区-网格，抓好基层常态化疫情防控。有序推进核酸检测和新冠疫苗大规模人群接种工作，规划采样、接种场所，做好人员培训和物资储备，确保采样、接种工作精准、高效、安全。</w:t>
      </w:r>
    </w:p>
    <w:p>
      <w:pPr>
        <w:spacing w:line="560" w:lineRule="exact"/>
        <w:ind w:firstLine="642" w:firstLineChars="200"/>
        <w:rPr>
          <w:rFonts w:hint="eastAsia" w:ascii="仿宋_GB2312" w:eastAsia="仿宋_GB2312"/>
          <w:color w:val="auto"/>
          <w:sz w:val="32"/>
          <w:szCs w:val="32"/>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探索升级区疾病预防控制中心实验室建设</w:t>
      </w:r>
      <w:bookmarkStart w:id="1580" w:name="_Toc75593174"/>
      <w:bookmarkStart w:id="1581" w:name="_Toc60144299"/>
      <w:bookmarkStart w:id="1582" w:name="_Toc59804929"/>
      <w:bookmarkStart w:id="1583" w:name="_Toc73375054"/>
      <w:bookmarkStart w:id="1584" w:name="_Toc73374926"/>
      <w:r>
        <w:rPr>
          <w:rFonts w:hint="eastAsia" w:ascii="仿宋_GB2312" w:eastAsia="仿宋_GB2312"/>
          <w:b/>
          <w:bCs/>
          <w:color w:val="auto"/>
          <w:sz w:val="32"/>
          <w:szCs w:val="32"/>
          <w:lang w:eastAsia="zh-CN"/>
        </w:rPr>
        <w:t>。</w:t>
      </w:r>
      <w:r>
        <w:rPr>
          <w:rFonts w:hint="eastAsia" w:ascii="仿宋_GB2312" w:eastAsia="仿宋_GB2312"/>
          <w:color w:val="auto"/>
          <w:sz w:val="32"/>
          <w:szCs w:val="32"/>
        </w:rPr>
        <w:t>结合疾控机构职能和公共卫生事业发展的需要，加强区疾病预防控制中心实验室整体规划</w:t>
      </w:r>
      <w:r>
        <w:rPr>
          <w:rFonts w:hint="eastAsia" w:ascii="仿宋_GB2312" w:eastAsia="仿宋_GB2312"/>
          <w:color w:val="auto"/>
          <w:sz w:val="32"/>
          <w:szCs w:val="32"/>
          <w:lang w:eastAsia="zh-CN"/>
        </w:rPr>
        <w:t>，扩充</w:t>
      </w:r>
      <w:r>
        <w:rPr>
          <w:rFonts w:hint="eastAsia" w:ascii="仿宋_GB2312" w:eastAsia="仿宋_GB2312"/>
          <w:color w:val="auto"/>
          <w:sz w:val="32"/>
          <w:szCs w:val="32"/>
        </w:rPr>
        <w:t>实验室</w:t>
      </w:r>
      <w:r>
        <w:rPr>
          <w:rFonts w:hint="eastAsia" w:ascii="仿宋_GB2312" w:eastAsia="仿宋_GB2312"/>
          <w:color w:val="auto"/>
          <w:sz w:val="32"/>
          <w:szCs w:val="32"/>
          <w:lang w:eastAsia="zh-CN"/>
        </w:rPr>
        <w:t>用房</w:t>
      </w:r>
      <w:r>
        <w:rPr>
          <w:rFonts w:hint="eastAsia" w:ascii="仿宋_GB2312" w:eastAsia="仿宋_GB2312"/>
          <w:color w:val="auto"/>
          <w:sz w:val="32"/>
          <w:szCs w:val="32"/>
        </w:rPr>
        <w:t>建设</w:t>
      </w:r>
      <w:r>
        <w:rPr>
          <w:rFonts w:hint="eastAsia" w:ascii="仿宋_GB2312" w:eastAsia="仿宋_GB2312"/>
          <w:color w:val="auto"/>
          <w:sz w:val="32"/>
          <w:szCs w:val="32"/>
          <w:lang w:eastAsia="zh-CN"/>
        </w:rPr>
        <w:t>，</w:t>
      </w:r>
      <w:r>
        <w:rPr>
          <w:rFonts w:hint="eastAsia" w:ascii="仿宋_GB2312" w:eastAsia="仿宋_GB2312"/>
          <w:color w:val="auto"/>
          <w:sz w:val="32"/>
          <w:szCs w:val="32"/>
        </w:rPr>
        <w:t>完善仪器设备配置，建设独立的病原微生物实验室、生物样本库、理化实验</w:t>
      </w:r>
      <w:r>
        <w:rPr>
          <w:rFonts w:hint="eastAsia" w:ascii="仿宋_GB2312" w:eastAsia="仿宋_GB2312"/>
          <w:color w:val="auto"/>
          <w:sz w:val="32"/>
          <w:szCs w:val="32"/>
          <w:lang w:eastAsia="zh-CN"/>
        </w:rPr>
        <w:t>室</w:t>
      </w:r>
      <w:r>
        <w:rPr>
          <w:rFonts w:hint="eastAsia" w:ascii="仿宋_GB2312" w:eastAsia="仿宋_GB2312"/>
          <w:color w:val="auto"/>
          <w:sz w:val="32"/>
          <w:szCs w:val="32"/>
        </w:rPr>
        <w:t>等。</w:t>
      </w:r>
      <w:bookmarkEnd w:id="1580"/>
      <w:bookmarkEnd w:id="1581"/>
      <w:bookmarkEnd w:id="1582"/>
      <w:bookmarkEnd w:id="1583"/>
      <w:bookmarkEnd w:id="1584"/>
      <w:r>
        <w:rPr>
          <w:rFonts w:hint="eastAsia" w:ascii="仿宋_GB2312" w:hAnsi="仿宋_GB2312" w:eastAsia="仿宋_GB2312" w:cs="仿宋_GB2312"/>
          <w:color w:val="auto"/>
          <w:sz w:val="32"/>
          <w:szCs w:val="32"/>
        </w:rPr>
        <w:t>加强实验室检测网络建设，提升传染病检测能力，配置以气相（液相）色谱-质谱联用仪、ICP-MS、化学性毒物快速检测系统等设备为基础的检测平台。</w:t>
      </w:r>
      <w:r>
        <w:rPr>
          <w:rFonts w:hint="eastAsia" w:ascii="仿宋_GB2312" w:eastAsia="仿宋_GB2312"/>
          <w:color w:val="auto"/>
          <w:sz w:val="32"/>
          <w:szCs w:val="32"/>
        </w:rPr>
        <w:t>建立并完善应急实验室检测网络，加大快速处置专用</w:t>
      </w:r>
      <w:r>
        <w:rPr>
          <w:rFonts w:hint="eastAsia" w:ascii="仿宋_GB2312" w:hAnsi="仿宋_GB2312" w:eastAsia="仿宋_GB2312" w:cs="仿宋_GB2312"/>
          <w:color w:val="auto"/>
          <w:sz w:val="32"/>
          <w:szCs w:val="32"/>
        </w:rPr>
        <w:t>硬件设施</w:t>
      </w:r>
      <w:r>
        <w:rPr>
          <w:rFonts w:hint="eastAsia" w:ascii="仿宋_GB2312" w:eastAsia="仿宋_GB2312"/>
          <w:color w:val="auto"/>
          <w:sz w:val="32"/>
          <w:szCs w:val="32"/>
        </w:rPr>
        <w:t>配备投入，实现</w:t>
      </w:r>
      <w:r>
        <w:rPr>
          <w:rFonts w:hint="eastAsia" w:ascii="仿宋_GB2312" w:eastAsia="仿宋_GB2312"/>
          <w:color w:val="auto"/>
          <w:sz w:val="32"/>
          <w:szCs w:val="32"/>
          <w:lang w:eastAsia="zh-CN"/>
        </w:rPr>
        <w:t>检验</w:t>
      </w:r>
      <w:r>
        <w:rPr>
          <w:rFonts w:hint="eastAsia" w:ascii="仿宋_GB2312" w:eastAsia="仿宋_GB2312"/>
          <w:color w:val="auto"/>
          <w:sz w:val="32"/>
          <w:szCs w:val="32"/>
        </w:rPr>
        <w:t>人才结构优化配置</w:t>
      </w:r>
      <w:r>
        <w:rPr>
          <w:rFonts w:hint="eastAsia" w:ascii="仿宋_GB2312" w:eastAsia="仿宋_GB2312"/>
          <w:color w:val="auto"/>
          <w:sz w:val="32"/>
          <w:szCs w:val="32"/>
          <w:lang w:eastAsia="zh-CN"/>
        </w:rPr>
        <w:t>，</w:t>
      </w:r>
      <w:r>
        <w:rPr>
          <w:rFonts w:hint="eastAsia" w:ascii="仿宋_GB2312" w:eastAsia="仿宋_GB2312"/>
          <w:color w:val="auto"/>
          <w:sz w:val="32"/>
          <w:szCs w:val="32"/>
        </w:rPr>
        <w:t>提升实验室检验检测综合能力，为疾病防控提供重要的技术力量支撑，提高快速应急、快速检测的能力，特别是在重大传染病暴发、食物中毒等突发公共卫生事件应急处理中能及时、快速、准确地筛选目标、查找病原，最大程度地减少突发公共卫生事件对人民群众健康造成的危害。</w:t>
      </w:r>
    </w:p>
    <w:p>
      <w:pPr>
        <w:spacing w:line="560" w:lineRule="exact"/>
        <w:ind w:firstLine="642" w:firstLineChars="200"/>
        <w:rPr>
          <w:rFonts w:hint="eastAsia" w:ascii="Times New Roman" w:hAnsi="Times New Roman" w:eastAsia="黑体" w:cstheme="minorBidi"/>
          <w:b w:val="0"/>
          <w:bCs/>
          <w:color w:val="auto"/>
          <w:kern w:val="44"/>
          <w:sz w:val="32"/>
          <w:szCs w:val="32"/>
          <w:lang w:val="en-US" w:eastAsia="zh-CN" w:bidi="ar-SA"/>
        </w:rPr>
      </w:pPr>
      <w:r>
        <w:rPr>
          <w:rFonts w:hint="eastAsia" w:ascii="仿宋_GB2312" w:eastAsia="仿宋_GB2312"/>
          <w:b/>
          <w:bCs/>
          <w:color w:val="auto"/>
          <w:sz w:val="32"/>
          <w:szCs w:val="32"/>
          <w:lang w:val="en-US" w:eastAsia="zh-CN"/>
        </w:rPr>
        <w:t>7.</w:t>
      </w:r>
      <w:r>
        <w:rPr>
          <w:rFonts w:hint="eastAsia" w:ascii="仿宋_GB2312" w:eastAsia="仿宋_GB2312"/>
          <w:b/>
          <w:bCs/>
          <w:color w:val="auto"/>
          <w:sz w:val="32"/>
          <w:szCs w:val="32"/>
        </w:rPr>
        <w:t>加强流行病学调查能力建设</w:t>
      </w:r>
      <w:r>
        <w:rPr>
          <w:rFonts w:hint="eastAsia" w:ascii="仿宋_GB2312" w:eastAsia="仿宋_GB2312"/>
          <w:b/>
          <w:bCs/>
          <w:color w:val="auto"/>
          <w:sz w:val="32"/>
          <w:szCs w:val="32"/>
          <w:lang w:eastAsia="zh-CN"/>
        </w:rPr>
        <w:t>。</w:t>
      </w:r>
      <w:r>
        <w:rPr>
          <w:rFonts w:hint="eastAsia" w:ascii="仿宋_GB2312" w:eastAsia="仿宋_GB2312"/>
          <w:color w:val="auto"/>
          <w:sz w:val="32"/>
          <w:szCs w:val="32"/>
        </w:rPr>
        <w:t>探索规划建设辖区流行病学调查中心，通过建设以区疾控中心为核心力量的区</w:t>
      </w:r>
      <w:r>
        <w:rPr>
          <w:rFonts w:ascii="仿宋_GB2312" w:eastAsia="仿宋_GB2312"/>
          <w:color w:val="auto"/>
          <w:sz w:val="32"/>
          <w:szCs w:val="32"/>
        </w:rPr>
        <w:t>域性</w:t>
      </w:r>
      <w:r>
        <w:rPr>
          <w:rFonts w:hint="eastAsia" w:ascii="仿宋_GB2312" w:eastAsia="仿宋_GB2312"/>
          <w:color w:val="auto"/>
          <w:sz w:val="32"/>
          <w:szCs w:val="32"/>
        </w:rPr>
        <w:t>重大疫情流调溯源工作基地，开展流行病学全方位的人才培养、轮训备战工作。重点围绕流行病学调查技术、实验室规范化操作能力建设，大力实施“现场流行病学培训项目”、实验室“手把手”培训项目，全面提升流调、采样、检测、分析报告等技术水平，提升疾控机构精准调查、科学研判、及时报告、提前预警等能力，提升基层防控和服务能力。加强流行病学调查专业人员引入，加强与社区联动，建立起稳定、专业的流调队伍，不断提升辖区流行病学调查能力。</w:t>
      </w:r>
    </w:p>
    <w:p>
      <w:pPr>
        <w:keepNext w:val="0"/>
        <w:keepLines w:val="0"/>
        <w:pageBreakBefore w:val="0"/>
        <w:widowControl w:val="0"/>
        <w:shd w:val="clear"/>
        <w:kinsoku/>
        <w:wordWrap/>
        <w:overflowPunct/>
        <w:topLinePunct w:val="0"/>
        <w:autoSpaceDN/>
        <w:bidi w:val="0"/>
        <w:snapToGrid w:val="0"/>
        <w:spacing w:line="560" w:lineRule="exact"/>
        <w:ind w:firstLine="640" w:firstLineChars="200"/>
        <w:jc w:val="both"/>
        <w:textAlignment w:val="auto"/>
        <w:outlineLvl w:val="2"/>
        <w:rPr>
          <w:rFonts w:ascii="Times New Roman" w:hAnsi="Times New Roman" w:eastAsia="楷体_GB2312" w:cstheme="minorBidi"/>
          <w:bCs w:val="0"/>
          <w:color w:val="auto"/>
        </w:rPr>
      </w:pPr>
      <w:bookmarkStart w:id="1585" w:name="_Toc351794712_WPSOffice_Level3"/>
      <w:r>
        <w:rPr>
          <w:rFonts w:hint="eastAsia" w:eastAsia="黑体" w:cstheme="minorBidi"/>
          <w:b w:val="0"/>
          <w:bCs/>
          <w:color w:val="auto"/>
          <w:kern w:val="44"/>
          <w:sz w:val="32"/>
          <w:szCs w:val="32"/>
          <w:lang w:val="en-US" w:eastAsia="zh-CN" w:bidi="ar-SA"/>
        </w:rPr>
        <w:t>三</w:t>
      </w:r>
      <w:r>
        <w:rPr>
          <w:rFonts w:hint="eastAsia" w:ascii="Times New Roman" w:hAnsi="Times New Roman" w:eastAsia="黑体" w:cstheme="minorBidi"/>
          <w:b w:val="0"/>
          <w:bCs/>
          <w:color w:val="auto"/>
          <w:kern w:val="44"/>
          <w:sz w:val="32"/>
          <w:szCs w:val="32"/>
          <w:lang w:val="en-US" w:eastAsia="zh-CN" w:bidi="ar-SA"/>
        </w:rPr>
        <w:t>、</w:t>
      </w:r>
      <w:r>
        <w:rPr>
          <w:rFonts w:hint="eastAsia" w:eastAsia="黑体" w:cstheme="minorBidi"/>
          <w:b w:val="0"/>
          <w:bCs/>
          <w:color w:val="auto"/>
          <w:kern w:val="44"/>
          <w:sz w:val="32"/>
          <w:szCs w:val="32"/>
          <w:lang w:val="en-US" w:eastAsia="zh-CN" w:bidi="ar-SA"/>
        </w:rPr>
        <w:t>推进</w:t>
      </w:r>
      <w:r>
        <w:rPr>
          <w:rFonts w:hint="eastAsia" w:ascii="Times New Roman" w:hAnsi="Times New Roman" w:eastAsia="黑体" w:cstheme="minorBidi"/>
          <w:b w:val="0"/>
          <w:bCs/>
          <w:color w:val="auto"/>
          <w:kern w:val="44"/>
          <w:sz w:val="32"/>
          <w:szCs w:val="32"/>
          <w:lang w:val="en-US" w:eastAsia="zh-CN" w:bidi="ar-SA"/>
        </w:rPr>
        <w:t>健康光明行动</w:t>
      </w:r>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585"/>
      <w:bookmarkStart w:id="1586" w:name="_Toc17428"/>
      <w:bookmarkStart w:id="1587" w:name="_Toc4788"/>
      <w:bookmarkStart w:id="1588" w:name="_Toc2199"/>
      <w:bookmarkStart w:id="1589" w:name="_Toc23321"/>
      <w:bookmarkStart w:id="1590" w:name="_Toc8085"/>
      <w:bookmarkStart w:id="1591" w:name="_Toc28193"/>
      <w:bookmarkStart w:id="1592" w:name="_Toc2102"/>
      <w:bookmarkStart w:id="1593" w:name="_Toc30500"/>
      <w:bookmarkStart w:id="1594" w:name="_Toc15403"/>
      <w:bookmarkStart w:id="1595" w:name="_Toc27107"/>
      <w:bookmarkStart w:id="1596" w:name="_Toc29622"/>
      <w:bookmarkStart w:id="1597" w:name="_Toc19066"/>
      <w:bookmarkStart w:id="1598" w:name="_Toc21203"/>
      <w:bookmarkStart w:id="1599" w:name="_Toc17664"/>
      <w:bookmarkStart w:id="1600" w:name="_Toc16626"/>
      <w:bookmarkStart w:id="1601" w:name="_Toc19888"/>
      <w:bookmarkStart w:id="1602" w:name="_Toc10748"/>
      <w:bookmarkStart w:id="1603" w:name="_Toc21802"/>
      <w:bookmarkStart w:id="1604" w:name="_Toc16145"/>
      <w:bookmarkStart w:id="1605" w:name="_Toc18373"/>
      <w:bookmarkStart w:id="1606" w:name="_Toc26166"/>
      <w:bookmarkStart w:id="1607" w:name="_Toc17747"/>
      <w:bookmarkStart w:id="1608" w:name="_Toc10743"/>
      <w:bookmarkStart w:id="1609" w:name="_Toc2186"/>
      <w:bookmarkStart w:id="1610" w:name="_Toc15007"/>
      <w:bookmarkStart w:id="1611" w:name="_Toc18345"/>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eastAsia" w:ascii="仿宋_GB2312" w:hAnsi="仿宋_GB2312" w:eastAsia="仿宋_GB2312" w:cs="仿宋_GB2312"/>
          <w:color w:val="auto"/>
          <w:sz w:val="32"/>
          <w:szCs w:val="32"/>
        </w:rPr>
      </w:pPr>
      <w:bookmarkStart w:id="1612" w:name="_Toc24123"/>
      <w:bookmarkStart w:id="1613" w:name="_Toc23713"/>
      <w:bookmarkStart w:id="1614" w:name="_Toc18233"/>
      <w:bookmarkStart w:id="1615" w:name="_Toc26825"/>
      <w:bookmarkStart w:id="1616" w:name="_Toc11073"/>
      <w:bookmarkStart w:id="1617" w:name="_Toc6729"/>
      <w:bookmarkStart w:id="1618" w:name="_Toc9082"/>
      <w:bookmarkStart w:id="1619" w:name="_Toc28266"/>
      <w:bookmarkStart w:id="1620" w:name="_Toc31761"/>
      <w:bookmarkStart w:id="1621" w:name="_Toc10696"/>
      <w:bookmarkStart w:id="1622" w:name="_Toc11413"/>
      <w:bookmarkStart w:id="1623" w:name="_Toc29603"/>
      <w:bookmarkStart w:id="1624" w:name="_Toc24612"/>
      <w:bookmarkStart w:id="1625" w:name="_Toc5098"/>
      <w:bookmarkStart w:id="1626" w:name="_Toc11552"/>
      <w:bookmarkStart w:id="1627" w:name="_Toc7984"/>
      <w:bookmarkStart w:id="1628" w:name="_Toc11355"/>
      <w:bookmarkStart w:id="1629" w:name="_Toc24994"/>
      <w:bookmarkStart w:id="1630" w:name="_Toc14655"/>
      <w:bookmarkStart w:id="1631" w:name="_Toc19121"/>
      <w:bookmarkStart w:id="1632" w:name="_Toc23482"/>
      <w:bookmarkStart w:id="1633" w:name="_Toc21639"/>
      <w:bookmarkStart w:id="1634" w:name="_Toc23957"/>
      <w:bookmarkStart w:id="1635" w:name="_Toc4282"/>
      <w:bookmarkStart w:id="1636" w:name="_Toc16991"/>
      <w:bookmarkStart w:id="1637" w:name="_Toc31193"/>
      <w:bookmarkStart w:id="1638" w:name="_Toc13719"/>
      <w:bookmarkStart w:id="1639" w:name="_Toc17913"/>
      <w:bookmarkStart w:id="1640" w:name="_Toc13812"/>
      <w:bookmarkStart w:id="1641" w:name="_Toc29499"/>
      <w:r>
        <w:rPr>
          <w:rFonts w:hint="eastAsia" w:ascii="仿宋_GB2312" w:hAnsi="仿宋_GB2312" w:eastAsia="仿宋_GB2312" w:cs="仿宋_GB2312"/>
          <w:b/>
          <w:bCs/>
          <w:color w:val="auto"/>
          <w:sz w:val="32"/>
          <w:szCs w:val="32"/>
          <w:lang w:val="en-US" w:eastAsia="zh-CN"/>
        </w:rPr>
        <w:t>8.完善健康光明体系</w:t>
      </w:r>
      <w:bookmarkEnd w:id="1586"/>
      <w:bookmarkEnd w:id="1587"/>
      <w:bookmarkEnd w:id="1588"/>
      <w:bookmarkEnd w:id="1589"/>
      <w:bookmarkEnd w:id="1590"/>
      <w:bookmarkEnd w:id="1591"/>
      <w:bookmarkEnd w:id="1592"/>
      <w:bookmarkEnd w:id="1593"/>
      <w:bookmarkEnd w:id="1612"/>
      <w:bookmarkEnd w:id="1613"/>
      <w:bookmarkEnd w:id="1614"/>
      <w:bookmarkEnd w:id="1615"/>
      <w:bookmarkEnd w:id="1616"/>
      <w:r>
        <w:rPr>
          <w:rFonts w:hint="eastAsia" w:ascii="仿宋_GB2312" w:hAnsi="仿宋_GB2312" w:eastAsia="仿宋_GB2312" w:cs="仿宋_GB2312"/>
          <w:b/>
          <w:bCs/>
          <w:color w:val="auto"/>
          <w:sz w:val="32"/>
          <w:szCs w:val="32"/>
          <w:lang w:val="en-US" w:eastAsia="zh-CN"/>
        </w:rPr>
        <w:t>。</w:t>
      </w:r>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Start w:id="1642" w:name="_Toc27904"/>
      <w:r>
        <w:rPr>
          <w:rFonts w:hint="eastAsia" w:ascii="仿宋_GB2312" w:hAnsi="Calibri" w:eastAsia="仿宋_GB2312" w:cs="Times New Roman"/>
          <w:color w:val="auto"/>
          <w:sz w:val="32"/>
          <w:szCs w:val="32"/>
        </w:rPr>
        <w:t>树立“大卫生、大健康”理念，</w:t>
      </w:r>
      <w:r>
        <w:rPr>
          <w:rFonts w:hint="eastAsia" w:ascii="仿宋_GB2312" w:hAnsi="仿宋_GB2312" w:eastAsia="仿宋_GB2312" w:cs="仿宋_GB2312"/>
          <w:color w:val="auto"/>
          <w:sz w:val="32"/>
          <w:szCs w:val="32"/>
        </w:rPr>
        <w:t>健全“政府引导、部门合作、社会协调、居民参与”的健康光明建设工作机制，将主要健康指标纳入绩效考核。以街道为单位组建健康社区行动推进委员会，以社区为单位成立健康社区工作小组，打造共建共治共享的社会治理格局。依托健康光明推进委员会，开展跨部门行动，推动社区、学校、企业、机关、医院等重点场所健康促进工作，全面提升市民健康意识和自我保健能力。完善辖区部门联动长效机制，让“把健康融入所有政策”得以有效实施。提高区级健康教育机构统筹协调能力，完善健康教育和健康促进体系，完善健康科普专家库和资源库，构建健康科普知识发布和传播机制。</w:t>
      </w:r>
      <w:bookmarkEnd w:id="1642"/>
      <w:bookmarkStart w:id="1643" w:name="_Toc21561"/>
      <w:bookmarkStart w:id="1644" w:name="_Toc3032"/>
      <w:bookmarkStart w:id="1645" w:name="_Toc5416"/>
      <w:bookmarkStart w:id="1646" w:name="_Toc8017"/>
      <w:bookmarkStart w:id="1647" w:name="_Toc30845"/>
      <w:bookmarkStart w:id="1648" w:name="_Toc1648"/>
      <w:bookmarkStart w:id="1649" w:name="_Toc3575"/>
      <w:bookmarkStart w:id="1650" w:name="_Toc9376"/>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eastAsia" w:ascii="仿宋_GB2312" w:hAnsi="仿宋" w:eastAsia="仿宋_GB2312" w:cs="仿宋_GB2312"/>
          <w:color w:val="auto"/>
          <w:kern w:val="2"/>
          <w:sz w:val="32"/>
          <w:szCs w:val="32"/>
        </w:rPr>
      </w:pPr>
      <w:bookmarkStart w:id="1651" w:name="_Toc8461"/>
      <w:bookmarkStart w:id="1652" w:name="_Toc22211"/>
      <w:bookmarkStart w:id="1653" w:name="_Toc13490"/>
      <w:bookmarkStart w:id="1654" w:name="_Toc12261"/>
      <w:bookmarkStart w:id="1655" w:name="_Toc932"/>
      <w:bookmarkStart w:id="1656" w:name="_Toc12813"/>
      <w:bookmarkStart w:id="1657" w:name="_Toc6999"/>
      <w:bookmarkStart w:id="1658" w:name="_Toc2951"/>
      <w:bookmarkStart w:id="1659" w:name="_Toc11683"/>
      <w:bookmarkStart w:id="1660" w:name="_Toc25868"/>
      <w:bookmarkStart w:id="1661" w:name="_Toc25953"/>
      <w:bookmarkStart w:id="1662" w:name="_Toc18734"/>
      <w:bookmarkStart w:id="1663" w:name="_Toc7015"/>
      <w:bookmarkStart w:id="1664" w:name="_Toc6048"/>
      <w:bookmarkStart w:id="1665" w:name="_Toc10357"/>
      <w:bookmarkStart w:id="1666" w:name="_Toc5907"/>
      <w:bookmarkStart w:id="1667" w:name="_Toc1147"/>
      <w:bookmarkStart w:id="1668" w:name="_Toc31773"/>
      <w:bookmarkStart w:id="1669" w:name="_Toc24457"/>
      <w:bookmarkStart w:id="1670" w:name="_Toc17185"/>
      <w:bookmarkStart w:id="1671" w:name="_Toc17545"/>
      <w:bookmarkStart w:id="1672" w:name="_Toc13478"/>
      <w:bookmarkStart w:id="1673" w:name="_Toc3643"/>
      <w:bookmarkStart w:id="1674" w:name="_Toc29704"/>
      <w:bookmarkStart w:id="1675" w:name="_Toc21572"/>
      <w:bookmarkStart w:id="1676" w:name="_Toc28615"/>
      <w:bookmarkStart w:id="1677" w:name="_Toc22428"/>
      <w:bookmarkStart w:id="1678" w:name="_Toc22206"/>
      <w:bookmarkStart w:id="1679" w:name="_Toc9555"/>
      <w:bookmarkStart w:id="1680" w:name="_Toc8821"/>
      <w:r>
        <w:rPr>
          <w:rFonts w:hint="eastAsia" w:ascii="仿宋_GB2312" w:hAnsi="仿宋_GB2312" w:eastAsia="仿宋_GB2312" w:cs="仿宋_GB2312"/>
          <w:b/>
          <w:bCs/>
          <w:color w:val="auto"/>
          <w:sz w:val="32"/>
          <w:szCs w:val="32"/>
          <w:lang w:val="en-US" w:eastAsia="zh-CN"/>
        </w:rPr>
        <w:t>9.推动健康教育与健康促进工作</w:t>
      </w:r>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Start w:id="1681" w:name="_Toc2917"/>
      <w:r>
        <w:rPr>
          <w:rFonts w:hint="eastAsia" w:ascii="仿宋_GB2312" w:hAnsi="仿宋_GB2312" w:eastAsia="仿宋_GB2312" w:cs="仿宋_GB2312"/>
          <w:b/>
          <w:bCs/>
          <w:color w:val="auto"/>
          <w:sz w:val="32"/>
          <w:szCs w:val="32"/>
          <w:lang w:val="en-US" w:eastAsia="zh-CN"/>
        </w:rPr>
        <w:t>。</w:t>
      </w:r>
      <w:r>
        <w:rPr>
          <w:rFonts w:hint="eastAsia" w:ascii="仿宋_GB2312" w:hAnsi="仿宋" w:eastAsia="仿宋_GB2312" w:cs="仿宋_GB2312"/>
          <w:color w:val="auto"/>
          <w:kern w:val="2"/>
          <w:sz w:val="32"/>
          <w:szCs w:val="32"/>
        </w:rPr>
        <w:t>将健康教育和健康促进工作纳入医疗机构绩效考核，纳入医务人员职称评定和绩效考核。深入开展健康教育和健康促进活动，定期进行居民健康素养监测调查，引导居民养成健康的生活方式和饮食习惯，推动无烟城市和食品安全示范城市创建行动。建设社区15分钟健身圈，完善健身绿道、全民健身中心、健康公园、健康步道、健康一条街、社区多功能运动场和社区服务体育健身站（点）等健康支持性环境建设，将慢性病综合防控示范区的建设与分级诊疗、家庭医生签约服务、创建健康城市相融合。到2025年，居民健康素养水平高</w:t>
      </w:r>
      <w:r>
        <w:rPr>
          <w:rFonts w:hint="eastAsia" w:ascii="仿宋_GB2312" w:hAnsi="仿宋" w:eastAsia="仿宋_GB2312" w:cs="仿宋_GB2312"/>
          <w:color w:val="auto"/>
          <w:kern w:val="2"/>
          <w:sz w:val="32"/>
          <w:szCs w:val="32"/>
          <w:lang w:eastAsia="zh-CN"/>
        </w:rPr>
        <w:t>于</w:t>
      </w:r>
      <w:r>
        <w:rPr>
          <w:rFonts w:hint="eastAsia" w:ascii="仿宋_GB2312" w:hAnsi="仿宋" w:eastAsia="仿宋_GB2312" w:cs="仿宋_GB2312"/>
          <w:color w:val="auto"/>
          <w:kern w:val="2"/>
          <w:sz w:val="32"/>
          <w:szCs w:val="32"/>
          <w:lang w:val="en-US" w:eastAsia="zh-CN"/>
        </w:rPr>
        <w:t>50</w:t>
      </w:r>
      <w:r>
        <w:rPr>
          <w:rFonts w:hint="eastAsia" w:ascii="仿宋_GB2312" w:hAnsi="仿宋" w:eastAsia="仿宋_GB2312" w:cs="仿宋_GB2312"/>
          <w:color w:val="auto"/>
          <w:kern w:val="2"/>
          <w:sz w:val="32"/>
          <w:szCs w:val="32"/>
        </w:rPr>
        <w:t>%，</w:t>
      </w:r>
      <w:r>
        <w:rPr>
          <w:rFonts w:hint="eastAsia" w:ascii="仿宋_GB2312" w:hAnsi="仿宋" w:eastAsia="仿宋_GB2312" w:cs="仿宋_GB2312"/>
          <w:color w:val="auto"/>
          <w:kern w:val="2"/>
          <w:sz w:val="32"/>
          <w:szCs w:val="32"/>
          <w:lang w:eastAsia="zh-CN"/>
        </w:rPr>
        <w:t>推进</w:t>
      </w:r>
      <w:r>
        <w:rPr>
          <w:rFonts w:hint="eastAsia" w:ascii="仿宋_GB2312" w:hAnsi="仿宋" w:eastAsia="仿宋_GB2312" w:cs="仿宋_GB2312"/>
          <w:color w:val="auto"/>
          <w:kern w:val="2"/>
          <w:sz w:val="32"/>
          <w:szCs w:val="32"/>
        </w:rPr>
        <w:t>全国健康促进区建设，</w:t>
      </w:r>
      <w:r>
        <w:rPr>
          <w:rFonts w:hint="eastAsia" w:ascii="仿宋_GB2312" w:hAnsi="仿宋" w:eastAsia="仿宋_GB2312" w:cs="仿宋_GB2312"/>
          <w:color w:val="auto"/>
          <w:kern w:val="2"/>
          <w:sz w:val="32"/>
          <w:szCs w:val="32"/>
          <w:lang w:eastAsia="zh-CN"/>
        </w:rPr>
        <w:t>推进</w:t>
      </w:r>
      <w:r>
        <w:rPr>
          <w:rFonts w:hint="eastAsia" w:ascii="仿宋_GB2312" w:hAnsi="仿宋" w:eastAsia="仿宋_GB2312" w:cs="仿宋_GB2312"/>
          <w:color w:val="auto"/>
          <w:kern w:val="2"/>
          <w:sz w:val="32"/>
          <w:szCs w:val="32"/>
        </w:rPr>
        <w:t>健康家庭</w:t>
      </w:r>
      <w:r>
        <w:rPr>
          <w:rFonts w:hint="eastAsia" w:ascii="仿宋_GB2312" w:hAnsi="仿宋" w:eastAsia="仿宋_GB2312" w:cs="仿宋_GB2312"/>
          <w:color w:val="auto"/>
          <w:kern w:val="2"/>
          <w:sz w:val="32"/>
          <w:szCs w:val="32"/>
          <w:lang w:eastAsia="zh-CN"/>
        </w:rPr>
        <w:t>、</w:t>
      </w:r>
      <w:r>
        <w:rPr>
          <w:rFonts w:hint="eastAsia" w:ascii="仿宋_GB2312" w:hAnsi="仿宋" w:eastAsia="仿宋_GB2312" w:cs="仿宋_GB2312"/>
          <w:color w:val="auto"/>
          <w:kern w:val="2"/>
          <w:sz w:val="32"/>
          <w:szCs w:val="32"/>
        </w:rPr>
        <w:t>健康促进企业</w:t>
      </w:r>
      <w:r>
        <w:rPr>
          <w:rFonts w:hint="eastAsia" w:ascii="仿宋_GB2312" w:hAnsi="仿宋" w:eastAsia="仿宋_GB2312" w:cs="仿宋_GB2312"/>
          <w:color w:val="auto"/>
          <w:kern w:val="2"/>
          <w:sz w:val="32"/>
          <w:szCs w:val="32"/>
          <w:lang w:eastAsia="zh-CN"/>
        </w:rPr>
        <w:t>、</w:t>
      </w:r>
      <w:r>
        <w:rPr>
          <w:rFonts w:hint="eastAsia" w:ascii="仿宋_GB2312" w:hAnsi="仿宋" w:eastAsia="仿宋_GB2312" w:cs="仿宋_GB2312"/>
          <w:color w:val="auto"/>
          <w:kern w:val="2"/>
          <w:sz w:val="32"/>
          <w:szCs w:val="32"/>
        </w:rPr>
        <w:t>健康社区、健康促进医院、健康促进学校和健康促进机关</w:t>
      </w:r>
      <w:r>
        <w:rPr>
          <w:rFonts w:hint="eastAsia" w:ascii="仿宋_GB2312" w:hAnsi="仿宋" w:eastAsia="仿宋_GB2312" w:cs="仿宋_GB2312"/>
          <w:color w:val="auto"/>
          <w:kern w:val="2"/>
          <w:sz w:val="32"/>
          <w:szCs w:val="32"/>
          <w:lang w:eastAsia="zh-CN"/>
        </w:rPr>
        <w:t>等健康细胞建设</w:t>
      </w:r>
      <w:r>
        <w:rPr>
          <w:rFonts w:hint="eastAsia" w:ascii="仿宋_GB2312" w:hAnsi="仿宋" w:eastAsia="仿宋_GB2312" w:cs="仿宋_GB2312"/>
          <w:color w:val="auto"/>
          <w:kern w:val="2"/>
          <w:sz w:val="32"/>
          <w:szCs w:val="32"/>
        </w:rPr>
        <w:t>。</w:t>
      </w:r>
      <w:bookmarkEnd w:id="1681"/>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eastAsia" w:ascii="仿宋_GB2312" w:hAnsi="仿宋" w:eastAsia="仿宋_GB2312" w:cs="仿宋_GB2312"/>
          <w:color w:val="auto"/>
          <w:kern w:val="2"/>
          <w:sz w:val="32"/>
          <w:szCs w:val="32"/>
        </w:rPr>
      </w:pPr>
      <w:bookmarkStart w:id="1682" w:name="_Toc2263"/>
      <w:bookmarkStart w:id="1683" w:name="_Toc11433"/>
      <w:bookmarkStart w:id="1684" w:name="_Toc11729"/>
      <w:bookmarkStart w:id="1685" w:name="_Toc14311"/>
      <w:bookmarkStart w:id="1686" w:name="_Toc994"/>
      <w:bookmarkStart w:id="1687" w:name="_Toc29757"/>
      <w:bookmarkStart w:id="1688" w:name="_Toc14096"/>
      <w:bookmarkStart w:id="1689" w:name="_Toc23736"/>
      <w:bookmarkStart w:id="1690" w:name="_Toc15066"/>
      <w:bookmarkStart w:id="1691" w:name="_Toc4744"/>
      <w:bookmarkStart w:id="1692" w:name="_Toc10640"/>
      <w:bookmarkStart w:id="1693" w:name="_Toc16412"/>
      <w:bookmarkStart w:id="1694" w:name="_Toc14704"/>
      <w:bookmarkStart w:id="1695" w:name="_Toc20207"/>
      <w:bookmarkStart w:id="1696" w:name="_Toc24536"/>
      <w:bookmarkStart w:id="1697" w:name="_Toc1634"/>
      <w:bookmarkStart w:id="1698" w:name="_Toc5241"/>
      <w:bookmarkStart w:id="1699" w:name="_Toc7846"/>
      <w:bookmarkStart w:id="1700" w:name="_Toc4265"/>
      <w:bookmarkStart w:id="1701" w:name="_Toc21867"/>
      <w:bookmarkStart w:id="1702" w:name="_Toc10025"/>
      <w:bookmarkStart w:id="1703" w:name="_Toc15356"/>
      <w:bookmarkStart w:id="1704" w:name="_Toc12358"/>
      <w:bookmarkStart w:id="1705" w:name="_Toc19452"/>
      <w:bookmarkStart w:id="1706" w:name="_Toc14592"/>
      <w:bookmarkStart w:id="1707" w:name="_Toc27725"/>
      <w:bookmarkStart w:id="1708" w:name="_Toc31503"/>
      <w:bookmarkStart w:id="1709" w:name="_Toc3281"/>
      <w:bookmarkStart w:id="1710" w:name="_Toc7167"/>
      <w:bookmarkStart w:id="1711" w:name="_Toc6191"/>
      <w:bookmarkStart w:id="1712" w:name="_Toc4059"/>
      <w:bookmarkStart w:id="1713" w:name="_Toc8276"/>
      <w:bookmarkStart w:id="1714" w:name="_Toc9459"/>
      <w:bookmarkStart w:id="1715" w:name="_Toc18315"/>
      <w:bookmarkStart w:id="1716" w:name="_Toc11774"/>
      <w:bookmarkStart w:id="1717" w:name="_Toc22466"/>
      <w:bookmarkStart w:id="1718" w:name="_Toc7606"/>
      <w:bookmarkStart w:id="1719" w:name="_Toc6962"/>
      <w:r>
        <w:rPr>
          <w:rFonts w:hint="eastAsia" w:ascii="仿宋_GB2312" w:hAnsi="仿宋_GB2312" w:eastAsia="仿宋_GB2312" w:cs="仿宋_GB2312"/>
          <w:b/>
          <w:bCs/>
          <w:color w:val="auto"/>
          <w:sz w:val="32"/>
          <w:szCs w:val="32"/>
          <w:lang w:val="en-US" w:eastAsia="zh-CN"/>
        </w:rPr>
        <w:t>10.开展爱国卫生运动</w:t>
      </w:r>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Start w:id="1720" w:name="_Toc9086"/>
      <w:r>
        <w:rPr>
          <w:rFonts w:hint="eastAsia" w:ascii="仿宋_GB2312" w:hAnsi="仿宋_GB2312" w:eastAsia="仿宋_GB2312" w:cs="仿宋_GB2312"/>
          <w:b/>
          <w:bCs/>
          <w:color w:val="auto"/>
          <w:sz w:val="32"/>
          <w:szCs w:val="32"/>
          <w:lang w:val="en-US" w:eastAsia="zh-CN"/>
        </w:rPr>
        <w:t>。</w:t>
      </w:r>
      <w:r>
        <w:rPr>
          <w:rFonts w:hint="eastAsia" w:ascii="仿宋_GB2312" w:hAnsi="仿宋" w:eastAsia="仿宋_GB2312" w:cs="仿宋_GB2312"/>
          <w:color w:val="auto"/>
          <w:kern w:val="2"/>
          <w:sz w:val="32"/>
          <w:szCs w:val="32"/>
        </w:rPr>
        <w:t>规范区爱卫会各成员单位的工作协作联动机制，广泛发动居民参与爱国卫生运动，扎实开展“爱国卫生月”暨“清洁深圳月”爱国卫生专项行动。推动医疗卫生机构厕所革命和垃圾分类工作，切实提升我区市容环境，督促做好重点公共区域消杀消毒工作，开展“四害”灭治统一行动。完善全区病媒生物预防控制服务机构管理体系，采取病媒生物防制有效措施，加强病媒密度监测，控制病媒生物密度，在2025年底前实现达到4项A级水平。</w:t>
      </w:r>
      <w:bookmarkEnd w:id="1720"/>
      <w:bookmarkStart w:id="1721" w:name="_Toc11482"/>
      <w:bookmarkStart w:id="1722" w:name="_Toc8453"/>
      <w:bookmarkStart w:id="1723" w:name="_Toc17936"/>
      <w:bookmarkStart w:id="1724" w:name="_Toc9247"/>
      <w:bookmarkStart w:id="1725" w:name="_Toc21885"/>
      <w:bookmarkStart w:id="1726" w:name="_Toc21414"/>
      <w:bookmarkStart w:id="1727" w:name="_Toc22311"/>
      <w:bookmarkStart w:id="1728" w:name="_Toc8803"/>
      <w:bookmarkStart w:id="1729" w:name="_Toc13874"/>
      <w:bookmarkStart w:id="1730" w:name="_Toc20819"/>
    </w:p>
    <w:p>
      <w:pPr>
        <w:keepNext w:val="0"/>
        <w:keepLines w:val="0"/>
        <w:pageBreakBefore w:val="0"/>
        <w:widowControl w:val="0"/>
        <w:numPr>
          <w:ilvl w:val="0"/>
          <w:numId w:val="0"/>
        </w:numPr>
        <w:shd w:val="clear"/>
        <w:kinsoku/>
        <w:wordWrap/>
        <w:overflowPunct/>
        <w:topLinePunct w:val="0"/>
        <w:autoSpaceDN/>
        <w:bidi w:val="0"/>
        <w:snapToGrid w:val="0"/>
        <w:spacing w:line="560" w:lineRule="exact"/>
        <w:ind w:firstLine="642" w:firstLineChars="200"/>
        <w:jc w:val="both"/>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val="en-US" w:eastAsia="zh-CN"/>
        </w:rPr>
        <w:t>11.完善老年健康服务体系。</w:t>
      </w:r>
      <w:r>
        <w:rPr>
          <w:rFonts w:hint="eastAsia" w:ascii="仿宋_GB2312" w:hAnsi="仿宋_GB2312" w:eastAsia="仿宋_GB2312" w:cs="仿宋_GB2312"/>
          <w:color w:val="auto"/>
          <w:sz w:val="32"/>
          <w:szCs w:val="32"/>
          <w:highlight w:val="none"/>
        </w:rPr>
        <w:t>扩充老年人健康服务供给，加大光明区护理院建设力度，统筹社区医院、护理院、医院老年医学科建设，建立医疗、康复、护理双向转诊机制，促进老年健康基层服务体系集约化、平台化发展。建立健全老年健康三级预防体系，实施老年人心理关爱、失能（失智）预防干预、阿尔兹海默病等神经退行性疾病的早期筛查和健康指导项目。推进老龄事业发展，进一步发挥老龄委统筹协调作用，大力建设老年友好社区、老年友善医疗机构，营造老年友好环境。</w:t>
      </w:r>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eastAsia" w:ascii="仿宋_GB2312" w:hAnsi="仿宋_GB2312" w:eastAsia="仿宋_GB2312" w:cs="仿宋_GB2312"/>
          <w:color w:val="auto"/>
          <w:sz w:val="32"/>
          <w:szCs w:val="32"/>
        </w:rPr>
      </w:pPr>
      <w:bookmarkStart w:id="1731" w:name="_Toc18792"/>
      <w:bookmarkStart w:id="1732" w:name="_Toc20281"/>
      <w:bookmarkStart w:id="1733" w:name="_Toc14455"/>
      <w:bookmarkStart w:id="1734" w:name="_Toc20076"/>
      <w:bookmarkStart w:id="1735" w:name="_Toc18010"/>
      <w:bookmarkStart w:id="1736" w:name="_Toc32720"/>
      <w:bookmarkStart w:id="1737" w:name="_Toc21068"/>
      <w:bookmarkStart w:id="1738" w:name="_Toc1502"/>
      <w:bookmarkStart w:id="1739" w:name="_Toc22155"/>
      <w:bookmarkStart w:id="1740" w:name="_Toc20958"/>
      <w:bookmarkStart w:id="1741" w:name="_Toc17213"/>
      <w:bookmarkStart w:id="1742" w:name="_Toc10085"/>
      <w:bookmarkStart w:id="1743" w:name="_Toc25177"/>
      <w:bookmarkStart w:id="1744" w:name="_Toc5356"/>
      <w:bookmarkStart w:id="1745" w:name="_Toc8230"/>
      <w:bookmarkStart w:id="1746" w:name="_Toc13571"/>
      <w:bookmarkStart w:id="1747" w:name="_Toc6759"/>
      <w:bookmarkStart w:id="1748" w:name="_Toc18153"/>
      <w:bookmarkStart w:id="1749" w:name="_Toc8067"/>
      <w:bookmarkStart w:id="1750" w:name="_Toc15043"/>
      <w:bookmarkStart w:id="1751" w:name="_Toc26"/>
      <w:bookmarkStart w:id="1752" w:name="_Toc11076"/>
      <w:bookmarkStart w:id="1753" w:name="_Toc24156"/>
      <w:bookmarkStart w:id="1754" w:name="_Toc28691"/>
      <w:bookmarkStart w:id="1755" w:name="_Toc30951"/>
      <w:bookmarkStart w:id="1756" w:name="_Toc11811"/>
      <w:bookmarkStart w:id="1757" w:name="_Toc220"/>
      <w:bookmarkStart w:id="1758" w:name="_Toc21976"/>
      <w:bookmarkStart w:id="1759" w:name="_Toc23103"/>
      <w:bookmarkStart w:id="1760" w:name="_Toc13186"/>
      <w:bookmarkStart w:id="1761" w:name="_Toc20049"/>
      <w:bookmarkStart w:id="1762" w:name="_Toc26702"/>
      <w:bookmarkStart w:id="1763" w:name="_Toc17968"/>
      <w:bookmarkStart w:id="1764" w:name="_Toc8698"/>
      <w:bookmarkStart w:id="1765" w:name="_Toc24436"/>
      <w:bookmarkStart w:id="1766" w:name="_Toc15928"/>
      <w:bookmarkStart w:id="1767" w:name="_Toc21083"/>
      <w:bookmarkStart w:id="1768" w:name="_Toc32229"/>
      <w:r>
        <w:rPr>
          <w:rFonts w:hint="eastAsia" w:ascii="仿宋_GB2312" w:hAnsi="仿宋_GB2312" w:eastAsia="仿宋_GB2312" w:cs="仿宋_GB2312"/>
          <w:b/>
          <w:bCs/>
          <w:color w:val="auto"/>
          <w:sz w:val="32"/>
          <w:szCs w:val="32"/>
          <w:lang w:val="en-US" w:eastAsia="zh-CN"/>
        </w:rPr>
        <w:t>12.加强重点人群管理</w:t>
      </w:r>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r>
        <w:rPr>
          <w:rFonts w:hint="eastAsia" w:ascii="仿宋_GB2312" w:hAnsi="仿宋_GB2312" w:eastAsia="仿宋_GB2312" w:cs="仿宋_GB2312"/>
          <w:b/>
          <w:bCs/>
          <w:color w:val="auto"/>
          <w:sz w:val="32"/>
          <w:szCs w:val="32"/>
          <w:lang w:val="en-US" w:eastAsia="zh-CN"/>
        </w:rPr>
        <w:t>。</w:t>
      </w:r>
      <w:bookmarkStart w:id="1769" w:name="_Toc771"/>
      <w:bookmarkStart w:id="1770" w:name="_Toc27735"/>
      <w:r>
        <w:rPr>
          <w:rFonts w:hint="eastAsia" w:ascii="仿宋_GB2312" w:hAnsi="仿宋_GB2312" w:eastAsia="仿宋_GB2312" w:cs="仿宋_GB2312"/>
          <w:color w:val="auto"/>
          <w:sz w:val="32"/>
          <w:szCs w:val="32"/>
        </w:rPr>
        <w:t>以创建区慢性病综合防控示范区为抓手，推进综合干预和慢性病患者自我管理，到2025年高血压、糖尿病规范管理率均达到65%，70岁以下人群慢性呼吸系统疾病死亡率下降2%，逐步提高居民健康期望寿命，减轻由慢性病导致的个人和社会负担。优化提升精神卫生综合服务管理，探索建立社区康复机构、家庭、“八位一体”工作小组相互衔接、相互促进的精神障碍社区康复服务体系，2025年严重精神障碍患者规范管理率达92</w:t>
      </w:r>
      <w:r>
        <w:rPr>
          <w:rFonts w:hint="eastAsia" w:ascii="仿宋_GB2312" w:hAnsi="仿宋_GB2312" w:eastAsia="仿宋_GB2312" w:cs="仿宋_GB2312"/>
          <w:color w:val="auto"/>
          <w:sz w:val="32"/>
          <w:szCs w:val="32"/>
          <w:lang w:val="en-US" w:eastAsia="zh-CN"/>
        </w:rPr>
        <w:t>.05</w:t>
      </w:r>
      <w:r>
        <w:rPr>
          <w:rFonts w:hint="eastAsia" w:ascii="仿宋_GB2312" w:hAnsi="仿宋_GB2312" w:eastAsia="仿宋_GB2312" w:cs="仿宋_GB2312"/>
          <w:color w:val="auto"/>
          <w:sz w:val="32"/>
          <w:szCs w:val="32"/>
        </w:rPr>
        <w:t>%以上。</w:t>
      </w:r>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769"/>
      <w:bookmarkEnd w:id="1770"/>
    </w:p>
    <w:p>
      <w:pPr>
        <w:keepNext w:val="0"/>
        <w:keepLines w:val="0"/>
        <w:pageBreakBefore w:val="0"/>
        <w:widowControl w:val="0"/>
        <w:shd w:val="clear"/>
        <w:kinsoku/>
        <w:wordWrap/>
        <w:overflowPunct/>
        <w:topLinePunct w:val="0"/>
        <w:autoSpaceDN/>
        <w:bidi w:val="0"/>
        <w:snapToGrid w:val="0"/>
        <w:spacing w:line="560" w:lineRule="exact"/>
        <w:ind w:left="319" w:leftChars="152" w:firstLine="320" w:firstLineChars="100"/>
        <w:jc w:val="both"/>
        <w:textAlignment w:val="auto"/>
        <w:outlineLvl w:val="2"/>
        <w:rPr>
          <w:rFonts w:hint="eastAsia" w:ascii="Times New Roman" w:hAnsi="Times New Roman" w:eastAsia="黑体" w:cstheme="minorBidi"/>
          <w:b w:val="0"/>
          <w:bCs/>
          <w:color w:val="auto"/>
          <w:kern w:val="44"/>
          <w:sz w:val="32"/>
          <w:szCs w:val="32"/>
          <w:lang w:val="en-US" w:eastAsia="zh-CN" w:bidi="ar-SA"/>
        </w:rPr>
      </w:pPr>
      <w:bookmarkStart w:id="1771" w:name="_Toc768108755_WPSOffice_Level3"/>
      <w:r>
        <w:rPr>
          <w:rFonts w:hint="eastAsia" w:eastAsia="黑体" w:cstheme="minorBidi"/>
          <w:b w:val="0"/>
          <w:bCs/>
          <w:color w:val="auto"/>
          <w:kern w:val="44"/>
          <w:sz w:val="32"/>
          <w:szCs w:val="32"/>
          <w:lang w:val="en-US" w:eastAsia="zh-CN" w:bidi="ar-SA"/>
        </w:rPr>
        <w:t>四、</w:t>
      </w:r>
      <w:r>
        <w:rPr>
          <w:rFonts w:hint="eastAsia" w:ascii="黑体" w:hAnsi="黑体" w:eastAsia="黑体" w:cs="黑体"/>
          <w:color w:val="auto"/>
          <w:kern w:val="2"/>
          <w:sz w:val="32"/>
          <w:szCs w:val="32"/>
          <w:highlight w:val="none"/>
          <w:shd w:val="clear" w:color="auto" w:fill="auto"/>
          <w:lang w:val="en-US" w:eastAsia="zh-CN" w:bidi="ar-SA"/>
        </w:rPr>
        <w:t>优化家庭妇幼服务体系</w:t>
      </w:r>
      <w:bookmarkEnd w:id="1771"/>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eastAsia" w:ascii="仿宋_GB2312" w:hAnsi="仿宋_GB2312" w:cs="仿宋_GB2312"/>
          <w:bCs w:val="0"/>
          <w:color w:val="auto"/>
          <w:kern w:val="2"/>
          <w:sz w:val="32"/>
          <w:szCs w:val="32"/>
          <w:lang w:val="en-US" w:eastAsia="zh-CN" w:bidi="ar-SA"/>
        </w:rPr>
      </w:pPr>
      <w:r>
        <w:rPr>
          <w:rFonts w:hint="eastAsia" w:ascii="仿宋_GB2312" w:hAnsi="仿宋_GB2312" w:cs="仿宋_GB2312"/>
          <w:b/>
          <w:bCs/>
          <w:color w:val="auto"/>
          <w:kern w:val="2"/>
          <w:sz w:val="32"/>
          <w:szCs w:val="32"/>
          <w:lang w:val="en-US" w:eastAsia="zh-CN" w:bidi="ar-SA"/>
        </w:rPr>
        <w:t>13.</w:t>
      </w:r>
      <w:r>
        <w:rPr>
          <w:rFonts w:hint="eastAsia" w:ascii="仿宋_GB2312" w:hAnsi="仿宋_GB2312" w:eastAsia="仿宋_GB2312" w:cs="仿宋_GB2312"/>
          <w:b/>
          <w:bCs/>
          <w:color w:val="auto"/>
          <w:kern w:val="2"/>
          <w:sz w:val="32"/>
          <w:szCs w:val="32"/>
          <w:lang w:val="en-US" w:eastAsia="zh-CN" w:bidi="ar-SA"/>
        </w:rPr>
        <w:t>提升妇幼保健服务能力</w:t>
      </w:r>
      <w:r>
        <w:rPr>
          <w:rFonts w:hint="eastAsia" w:ascii="仿宋_GB2312" w:hAnsi="仿宋_GB2312" w:cs="仿宋_GB2312"/>
          <w:b/>
          <w:bCs/>
          <w:color w:val="auto"/>
          <w:kern w:val="2"/>
          <w:sz w:val="32"/>
          <w:szCs w:val="32"/>
          <w:lang w:val="en-US" w:eastAsia="zh-CN" w:bidi="ar-SA"/>
        </w:rPr>
        <w:t>。</w:t>
      </w:r>
      <w:r>
        <w:rPr>
          <w:rFonts w:hint="eastAsia" w:ascii="仿宋_GB2312" w:hAnsi="仿宋_GB2312" w:eastAsia="仿宋_GB2312" w:cs="仿宋_GB2312"/>
          <w:bCs w:val="0"/>
          <w:color w:val="auto"/>
          <w:kern w:val="2"/>
          <w:sz w:val="32"/>
          <w:szCs w:val="32"/>
          <w:lang w:val="en-US" w:eastAsia="zh-CN" w:bidi="ar-SA"/>
        </w:rPr>
        <w:t>不断完善辖区妇幼保健体系建设，夯实以区妇幼保健院为主体、各级医疗单位妇幼保健部门为网点、社区健康服务中心为网底的妇幼保健服务网络。推进妇幼保健公共卫生服务、基础服务和特色专科建设等工作，全面落实妊娠风险筛查与评估、高危孕产妇专案管理、危急重症救治、孕产妇死亡个案报告和约谈通报等母婴安全五项制度。促进生殖健康服务融入妇女健康管理全过程，实施乳腺癌、宫颈癌两癌筛查，扩大免费筛查覆盖面，提高早诊早治率。综合防治出生缺陷，健全出生缺陷防治网络，落实三级预防措施，强化婚前保健，推进孕前优生健康检查，加强产前筛查和诊断，扩大新生儿疾病筛查病种范围，促进早筛早诊早治。积极落实围产期抑郁筛查与干预项目。加强少年儿童健康促进，加强儿童健康体检，建立儿童孤独症早期筛查机制，做到早发现早干预</w:t>
      </w:r>
      <w:r>
        <w:rPr>
          <w:rFonts w:hint="eastAsia" w:ascii="仿宋_GB2312" w:hAnsi="仿宋_GB2312" w:cs="仿宋_GB2312"/>
          <w:bCs w:val="0"/>
          <w:color w:val="auto"/>
          <w:kern w:val="2"/>
          <w:sz w:val="32"/>
          <w:szCs w:val="32"/>
          <w:lang w:val="en-US" w:eastAsia="zh-CN" w:bidi="ar-SA"/>
        </w:rPr>
        <w:t>。</w:t>
      </w:r>
      <w:r>
        <w:rPr>
          <w:rFonts w:hint="eastAsia" w:ascii="仿宋_GB2312" w:hAnsi="仿宋_GB2312" w:eastAsia="仿宋_GB2312" w:cs="仿宋_GB2312"/>
          <w:color w:val="auto"/>
          <w:sz w:val="32"/>
          <w:szCs w:val="32"/>
          <w:highlight w:val="none"/>
        </w:rPr>
        <w:t>到2025年，孕产妇系统管理率不低于95%，7岁以下儿童健康管理率不低于98%</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N/>
        <w:bidi w:val="0"/>
        <w:spacing w:line="560" w:lineRule="exact"/>
        <w:ind w:firstLine="642" w:firstLineChars="200"/>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14.完善普惠托育服务体系</w:t>
      </w:r>
      <w:r>
        <w:rPr>
          <w:rFonts w:hint="eastAsia" w:ascii="仿宋_GB2312" w:hAnsi="仿宋_GB2312" w:cs="仿宋_GB2312"/>
          <w:b/>
          <w:bCs/>
          <w:color w:val="auto"/>
          <w:kern w:val="2"/>
          <w:sz w:val="32"/>
          <w:szCs w:val="32"/>
          <w:lang w:val="en-US" w:eastAsia="zh-CN" w:bidi="ar-SA"/>
        </w:rPr>
        <w:t>。</w:t>
      </w:r>
      <w:r>
        <w:rPr>
          <w:rFonts w:hint="eastAsia" w:ascii="仿宋_GB2312" w:hAnsi="仿宋_GB2312" w:eastAsia="仿宋_GB2312" w:cs="仿宋_GB2312"/>
          <w:bCs w:val="0"/>
          <w:color w:val="auto"/>
          <w:kern w:val="2"/>
          <w:sz w:val="32"/>
          <w:szCs w:val="32"/>
          <w:lang w:val="en-US" w:eastAsia="zh-CN" w:bidi="ar-SA"/>
        </w:rPr>
        <w:t>完善婴幼儿照护服务的政策法规体系和标准规范体系，推动形成多元化、多样化、全覆盖的婴幼儿照护服务体系，婴幼儿照护服务水平明显提升，人民群众婴幼儿照护服务的需求得到进一步满足。加强对家庭婴幼儿照护的支持和指导，为婴幼儿家庭开展新生儿访视、膳食营养、生长发育、预防接种、安全防护、疾病防控等服务。遵循婴幼儿发展规律和婴幼儿照护服务的标准规范，加大对社区婴幼儿照护服务的支持力度。大力发展医育融合、老幼共托、托幼一体等多种形式的托育服务机构，加快婴幼儿照护服务体系布局。加强婴幼儿照护服务专业化、规范化建设，到2025年，提供全日托、半日托、计时托、临时托等婴幼儿托育服务的机构在社区合理分布，全区托幼服务一体化的幼儿园（幼儿中心）达18家，每千人口拥有3岁以下婴幼儿托位数达4.5个。</w:t>
      </w:r>
    </w:p>
    <w:p>
      <w:pPr>
        <w:keepNext w:val="0"/>
        <w:keepLines w:val="0"/>
        <w:pageBreakBefore w:val="0"/>
        <w:widowControl w:val="0"/>
        <w:kinsoku/>
        <w:wordWrap/>
        <w:overflowPunct/>
        <w:topLinePunct w:val="0"/>
        <w:autoSpaceDN/>
        <w:bidi w:val="0"/>
        <w:spacing w:line="560" w:lineRule="exact"/>
        <w:ind w:firstLine="642" w:firstLineChars="200"/>
        <w:jc w:val="both"/>
        <w:textAlignment w:val="auto"/>
        <w:rPr>
          <w:rFonts w:hint="eastAsia" w:ascii="仿宋_GB2312" w:hAnsi="仿宋_GB2312" w:eastAsia="仿宋_GB2312" w:cs="仿宋_GB2312"/>
          <w:color w:val="auto"/>
          <w:sz w:val="32"/>
          <w:szCs w:val="32"/>
          <w:lang w:eastAsia="zh-CN"/>
        </w:rPr>
      </w:pPr>
      <w:bookmarkStart w:id="1772" w:name="_Toc27165"/>
      <w:bookmarkStart w:id="1773" w:name="_Toc15286"/>
      <w:bookmarkStart w:id="1774" w:name="_Toc24089"/>
      <w:bookmarkStart w:id="1775" w:name="_Toc19022"/>
      <w:bookmarkStart w:id="1776" w:name="_Toc27275"/>
      <w:bookmarkStart w:id="1777" w:name="_Toc28234"/>
      <w:bookmarkStart w:id="1778" w:name="_Toc30647"/>
      <w:bookmarkStart w:id="1779" w:name="_Toc22252"/>
      <w:bookmarkStart w:id="1780" w:name="_Toc3302"/>
      <w:bookmarkStart w:id="1781" w:name="_Toc3150"/>
      <w:bookmarkStart w:id="1782" w:name="_Toc17110"/>
      <w:bookmarkStart w:id="1783" w:name="_Toc18003"/>
      <w:bookmarkStart w:id="1784" w:name="_Toc15086"/>
      <w:bookmarkStart w:id="1785" w:name="_Toc12329"/>
      <w:bookmarkStart w:id="1786" w:name="_Toc24578"/>
      <w:r>
        <w:rPr>
          <w:rFonts w:hint="eastAsia" w:ascii="仿宋_GB2312" w:hAnsi="仿宋_GB2312" w:eastAsia="仿宋_GB2312" w:cs="仿宋_GB2312"/>
          <w:b/>
          <w:bCs/>
          <w:color w:val="auto"/>
          <w:kern w:val="2"/>
          <w:sz w:val="32"/>
          <w:szCs w:val="32"/>
          <w:lang w:val="en-US" w:eastAsia="zh-CN" w:bidi="ar-SA"/>
        </w:rPr>
        <w:t>15.推进家庭发展能力建设。</w:t>
      </w:r>
      <w:r>
        <w:rPr>
          <w:rFonts w:hint="eastAsia" w:ascii="仿宋_GB2312" w:hAnsi="仿宋_GB2312" w:eastAsia="仿宋_GB2312" w:cs="仿宋_GB2312"/>
          <w:bCs w:val="0"/>
          <w:color w:val="auto"/>
          <w:kern w:val="2"/>
          <w:sz w:val="32"/>
          <w:szCs w:val="32"/>
          <w:lang w:val="en-US" w:eastAsia="zh-CN" w:bidi="ar-SA"/>
        </w:rPr>
        <w:t>落实一对夫妻可以生育三个子女政策，提倡适龄婚育、优生优育。取消社会抚养费，清理和废止相关处罚规定，加强宣传引导，促进相关惠民政策与生育政策有效衔接，精准做好各项管理服务。落实生育登记制度，做好生育咨询指导。推进出生医学证明、儿童预防接种、户口登记、医保参保、社保卡申领等“出生一件事”联办。加强人口监测和形势研判，实现公安、民政、卫健等人口服务基础信息互联互通。</w:t>
      </w:r>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r>
        <w:rPr>
          <w:rFonts w:hint="eastAsia" w:ascii="仿宋_GB2312" w:hAnsi="仿宋_GB2312" w:eastAsia="仿宋_GB2312" w:cs="仿宋_GB2312"/>
          <w:bCs w:val="0"/>
          <w:color w:val="auto"/>
          <w:kern w:val="2"/>
          <w:sz w:val="32"/>
          <w:szCs w:val="32"/>
          <w:lang w:val="en-US" w:eastAsia="zh-CN" w:bidi="ar-SA"/>
        </w:rPr>
        <w:t>完善计生家庭发展政策体系，建立以家庭为中心的人口公共服务体系，加强新型家庭人口文化建设，促进家庭和谐幸福，全面推行免费婚检、出生缺陷干预制度，广泛开展科学育儿项目活动。推进独生子女家庭保险保障计划，深化计划生育协会组织建设工作，推动家庭健康和家庭发展功能融入社区党群服务中心，探索发展融入型家庭发展服务中心阵地。构建多层次计划生育特殊家庭终身服务体系，完善经济、保险、健康、结伴、成长、婚育、养老等关爱措施。深入开展“暖心行动”，落实计划生育特殊家庭“双岗”联系人制度、家庭医生签约服务、就医绿色通道“三个全覆盖”。</w:t>
      </w:r>
    </w:p>
    <w:p>
      <w:pPr>
        <w:pStyle w:val="6"/>
        <w:keepNext w:val="0"/>
        <w:keepLines w:val="0"/>
        <w:pageBreakBefore w:val="0"/>
        <w:shd w:val="clear"/>
        <w:kinsoku/>
        <w:wordWrap/>
        <w:overflowPunct/>
        <w:topLinePunct w:val="0"/>
        <w:autoSpaceDN/>
        <w:bidi w:val="0"/>
        <w:snapToGrid w:val="0"/>
        <w:spacing w:before="0" w:after="0" w:line="560" w:lineRule="exact"/>
        <w:ind w:firstLine="108" w:firstLineChars="34"/>
        <w:jc w:val="center"/>
        <w:textAlignment w:val="auto"/>
        <w:outlineLvl w:val="1"/>
        <w:rPr>
          <w:rFonts w:hint="eastAsia" w:ascii="黑体" w:hAnsi="黑体" w:eastAsia="黑体" w:cs="黑体"/>
          <w:b w:val="0"/>
          <w:bCs/>
          <w:color w:val="auto"/>
          <w:kern w:val="2"/>
          <w:sz w:val="32"/>
          <w:szCs w:val="32"/>
          <w:lang w:val="en-US" w:eastAsia="zh-CN" w:bidi="ar-SA"/>
        </w:rPr>
      </w:pPr>
    </w:p>
    <w:p>
      <w:pPr>
        <w:pStyle w:val="6"/>
        <w:keepNext w:val="0"/>
        <w:keepLines w:val="0"/>
        <w:pageBreakBefore w:val="0"/>
        <w:shd w:val="clear"/>
        <w:kinsoku/>
        <w:wordWrap/>
        <w:overflowPunct/>
        <w:topLinePunct w:val="0"/>
        <w:autoSpaceDN/>
        <w:bidi w:val="0"/>
        <w:snapToGrid w:val="0"/>
        <w:spacing w:before="0" w:after="0" w:line="560" w:lineRule="exact"/>
        <w:ind w:firstLine="108" w:firstLineChars="34"/>
        <w:jc w:val="center"/>
        <w:textAlignment w:val="auto"/>
        <w:outlineLvl w:val="1"/>
        <w:rPr>
          <w:color w:val="auto"/>
        </w:rPr>
      </w:pPr>
      <w:bookmarkStart w:id="1787" w:name="_Toc1797005352_WPSOffice_Level2"/>
      <w:r>
        <w:rPr>
          <w:rFonts w:hint="eastAsia" w:ascii="黑体" w:hAnsi="黑体" w:eastAsia="黑体" w:cs="黑体"/>
          <w:b w:val="0"/>
          <w:bCs/>
          <w:color w:val="auto"/>
          <w:kern w:val="2"/>
          <w:sz w:val="32"/>
          <w:szCs w:val="32"/>
          <w:lang w:val="en-US" w:eastAsia="zh-CN" w:bidi="ar-SA"/>
        </w:rPr>
        <w:t xml:space="preserve">第二节 </w:t>
      </w:r>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Start w:id="1788" w:name="_Toc225"/>
      <w:bookmarkStart w:id="1789" w:name="_Toc9693"/>
      <w:bookmarkStart w:id="1790" w:name="_Toc20598"/>
      <w:bookmarkStart w:id="1791" w:name="_Toc4203"/>
      <w:bookmarkStart w:id="1792" w:name="_Toc8770"/>
      <w:bookmarkStart w:id="1793" w:name="_Toc15251"/>
      <w:bookmarkStart w:id="1794" w:name="_Toc2646"/>
      <w:bookmarkStart w:id="1795" w:name="_Toc20613"/>
      <w:bookmarkStart w:id="1796" w:name="_Toc14857"/>
      <w:bookmarkStart w:id="1797" w:name="_Toc19257"/>
      <w:bookmarkStart w:id="1798" w:name="_Toc26568"/>
      <w:bookmarkStart w:id="1799" w:name="_Toc31209"/>
      <w:bookmarkStart w:id="1800" w:name="_Toc3773"/>
      <w:bookmarkStart w:id="1801" w:name="_Toc90"/>
      <w:bookmarkStart w:id="1802" w:name="_Toc1950"/>
      <w:bookmarkStart w:id="1803" w:name="_Toc27924"/>
      <w:bookmarkStart w:id="1804" w:name="_Toc21212"/>
      <w:bookmarkStart w:id="1805" w:name="_Toc16428"/>
      <w:bookmarkStart w:id="1806" w:name="_Toc15687"/>
      <w:bookmarkStart w:id="1807" w:name="_Toc6857"/>
      <w:bookmarkStart w:id="1808" w:name="_Toc10942"/>
      <w:bookmarkStart w:id="1809" w:name="_Toc16179"/>
      <w:bookmarkStart w:id="1810" w:name="_Toc3383"/>
      <w:bookmarkStart w:id="1811" w:name="_Toc330"/>
      <w:bookmarkStart w:id="1812" w:name="_Toc26908"/>
      <w:bookmarkStart w:id="1813" w:name="_Toc19960"/>
      <w:bookmarkStart w:id="1814" w:name="_Toc28919"/>
      <w:bookmarkStart w:id="1815" w:name="_Toc6911"/>
      <w:bookmarkStart w:id="1816" w:name="_Toc20097"/>
      <w:bookmarkStart w:id="1817" w:name="_Toc9558"/>
      <w:bookmarkStart w:id="1818" w:name="_Toc16059"/>
      <w:bookmarkStart w:id="1819" w:name="_Toc22029"/>
      <w:bookmarkStart w:id="1820" w:name="_Toc30353"/>
      <w:bookmarkStart w:id="1821" w:name="_Toc29746"/>
      <w:bookmarkStart w:id="1822" w:name="_Toc11092"/>
      <w:bookmarkStart w:id="1823" w:name="_Toc10751"/>
      <w:bookmarkStart w:id="1824" w:name="_Toc8088"/>
      <w:bookmarkStart w:id="1825" w:name="_Toc18005"/>
      <w:bookmarkStart w:id="1826" w:name="_Toc4396"/>
      <w:r>
        <w:rPr>
          <w:rFonts w:hint="eastAsia" w:ascii="黑体" w:hAnsi="黑体" w:eastAsia="黑体" w:cs="黑体"/>
          <w:b w:val="0"/>
          <w:bCs/>
          <w:color w:val="auto"/>
          <w:kern w:val="2"/>
          <w:sz w:val="32"/>
          <w:szCs w:val="32"/>
          <w:lang w:val="en-US" w:eastAsia="zh-CN" w:bidi="ar-SA"/>
        </w:rPr>
        <w:t>健全基本医疗卫生服务体系</w:t>
      </w:r>
      <w:bookmarkEnd w:id="1787"/>
    </w:p>
    <w:p>
      <w:pPr>
        <w:keepNext w:val="0"/>
        <w:keepLines w:val="0"/>
        <w:pageBreakBefore w:val="0"/>
        <w:widowControl w:val="0"/>
        <w:shd w:val="clear"/>
        <w:kinsoku/>
        <w:wordWrap/>
        <w:overflowPunct/>
        <w:topLinePunct w:val="0"/>
        <w:autoSpaceDN/>
        <w:bidi w:val="0"/>
        <w:snapToGrid w:val="0"/>
        <w:spacing w:line="560" w:lineRule="exact"/>
        <w:ind w:firstLine="640" w:firstLineChars="200"/>
        <w:jc w:val="both"/>
        <w:textAlignment w:val="auto"/>
        <w:outlineLvl w:val="2"/>
        <w:rPr>
          <w:rFonts w:hint="eastAsia" w:ascii="黑体" w:hAnsi="黑体" w:eastAsia="黑体" w:cs="黑体"/>
          <w:b w:val="0"/>
          <w:bCs/>
          <w:color w:val="auto"/>
          <w:kern w:val="2"/>
          <w:sz w:val="32"/>
          <w:szCs w:val="32"/>
          <w:lang w:val="en-US" w:eastAsia="zh-CN" w:bidi="ar-SA"/>
        </w:rPr>
      </w:pPr>
      <w:bookmarkStart w:id="1827" w:name="_Toc859813547_WPSOffice_Level3"/>
      <w:bookmarkStart w:id="1828" w:name="_Toc28091"/>
      <w:bookmarkStart w:id="1829" w:name="_Toc19821"/>
      <w:bookmarkStart w:id="1830" w:name="_Toc20098"/>
      <w:bookmarkStart w:id="1831" w:name="_Toc4914"/>
      <w:bookmarkStart w:id="1832" w:name="_Toc29851"/>
      <w:bookmarkStart w:id="1833" w:name="_Toc18837"/>
      <w:r>
        <w:rPr>
          <w:rFonts w:hint="eastAsia" w:ascii="黑体" w:hAnsi="黑体" w:eastAsia="黑体" w:cs="黑体"/>
          <w:b w:val="0"/>
          <w:bCs/>
          <w:color w:val="auto"/>
          <w:kern w:val="2"/>
          <w:sz w:val="32"/>
          <w:szCs w:val="32"/>
          <w:lang w:val="en-US" w:eastAsia="zh-CN" w:bidi="ar-SA"/>
        </w:rPr>
        <w:t>一、整合区域医疗卫生资源</w:t>
      </w:r>
      <w:bookmarkEnd w:id="1827"/>
    </w:p>
    <w:p>
      <w:pPr>
        <w:ind w:firstLine="642" w:firstLineChars="200"/>
        <w:rPr>
          <w:rFonts w:hint="eastAsia" w:ascii="仿宋_GB2312" w:hAnsi="仿宋" w:eastAsia="仿宋_GB2312"/>
          <w:bCs/>
          <w:color w:val="auto"/>
          <w:kern w:val="0"/>
          <w:sz w:val="32"/>
          <w:szCs w:val="32"/>
          <w:lang w:eastAsia="zh-CN"/>
        </w:rPr>
      </w:pPr>
      <w:r>
        <w:rPr>
          <w:rFonts w:hint="eastAsia" w:ascii="仿宋_GB2312" w:hAnsi="仿宋" w:eastAsia="仿宋_GB2312"/>
          <w:b/>
          <w:bCs w:val="0"/>
          <w:color w:val="auto"/>
          <w:kern w:val="0"/>
          <w:sz w:val="32"/>
          <w:szCs w:val="32"/>
          <w:lang w:val="en-US" w:eastAsia="zh-CN"/>
        </w:rPr>
        <w:t>16.</w:t>
      </w:r>
      <w:bookmarkEnd w:id="1828"/>
      <w:bookmarkEnd w:id="1829"/>
      <w:bookmarkEnd w:id="1830"/>
      <w:bookmarkEnd w:id="1831"/>
      <w:bookmarkEnd w:id="1832"/>
      <w:bookmarkEnd w:id="1833"/>
      <w:bookmarkStart w:id="1834" w:name="_Toc12020"/>
      <w:bookmarkStart w:id="1835" w:name="_Toc23508"/>
      <w:bookmarkStart w:id="1836" w:name="_Toc11025"/>
      <w:bookmarkStart w:id="1837" w:name="_Toc21791"/>
      <w:bookmarkStart w:id="1838" w:name="_Toc12446"/>
      <w:bookmarkStart w:id="1839" w:name="_Toc14362"/>
      <w:bookmarkStart w:id="1840" w:name="_Toc27708"/>
      <w:bookmarkStart w:id="1841" w:name="_Toc4861"/>
      <w:bookmarkStart w:id="1842" w:name="_Toc20694"/>
      <w:bookmarkStart w:id="1843" w:name="_Toc12538"/>
      <w:bookmarkStart w:id="1844" w:name="_Toc11557"/>
      <w:bookmarkStart w:id="1845" w:name="_Toc1300"/>
      <w:bookmarkStart w:id="1846" w:name="_Toc19057"/>
      <w:bookmarkStart w:id="1847" w:name="_Toc21645"/>
      <w:bookmarkStart w:id="1848" w:name="_Toc15433"/>
      <w:bookmarkStart w:id="1849" w:name="_Toc26177"/>
      <w:bookmarkStart w:id="1850" w:name="_Toc1057"/>
      <w:bookmarkStart w:id="1851" w:name="_Toc26864"/>
      <w:bookmarkStart w:id="1852" w:name="_Toc5946"/>
      <w:bookmarkStart w:id="1853" w:name="_Toc12764"/>
      <w:bookmarkStart w:id="1854" w:name="_Toc29703"/>
      <w:bookmarkStart w:id="1855" w:name="_Toc1244"/>
      <w:bookmarkStart w:id="1856" w:name="_Toc2282"/>
      <w:bookmarkStart w:id="1857" w:name="_Toc15448"/>
      <w:bookmarkStart w:id="1858" w:name="_Toc6924"/>
      <w:bookmarkStart w:id="1859" w:name="_Toc162"/>
      <w:bookmarkStart w:id="1860" w:name="_Toc3199"/>
      <w:bookmarkStart w:id="1861" w:name="_Toc22617"/>
      <w:r>
        <w:rPr>
          <w:rFonts w:hint="eastAsia" w:ascii="仿宋_GB2312" w:hAnsi="仿宋" w:eastAsia="仿宋_GB2312"/>
          <w:b/>
          <w:bCs w:val="0"/>
          <w:color w:val="auto"/>
          <w:kern w:val="0"/>
          <w:sz w:val="32"/>
          <w:szCs w:val="32"/>
          <w:lang w:val="en-US" w:eastAsia="zh-CN"/>
        </w:rPr>
        <w:t>推进辖区医院差异化发展</w:t>
      </w:r>
      <w:bookmarkStart w:id="1862" w:name="_Toc31249"/>
      <w:r>
        <w:rPr>
          <w:rFonts w:hint="eastAsia" w:ascii="仿宋_GB2312" w:hAnsi="仿宋" w:eastAsia="仿宋_GB2312"/>
          <w:b/>
          <w:bCs w:val="0"/>
          <w:color w:val="auto"/>
          <w:kern w:val="0"/>
          <w:sz w:val="32"/>
          <w:szCs w:val="32"/>
          <w:lang w:val="en-US" w:eastAsia="zh-CN"/>
        </w:rPr>
        <w:t>。</w:t>
      </w:r>
      <w:r>
        <w:rPr>
          <w:rFonts w:hint="eastAsia" w:ascii="仿宋_GB2312" w:hAnsi="仿宋" w:eastAsia="仿宋_GB2312"/>
          <w:bCs/>
          <w:color w:val="auto"/>
          <w:kern w:val="0"/>
          <w:sz w:val="32"/>
          <w:szCs w:val="32"/>
          <w:lang w:val="en-US" w:eastAsia="zh-CN"/>
        </w:rPr>
        <w:t>市属医疗机构作为主体“设立区域医疗中心，承担危重症、疑难复杂疾病诊疗任务”，负责学科建设“顶天”。中山七院定位为区域医疗中心，</w:t>
      </w:r>
      <w:r>
        <w:rPr>
          <w:rFonts w:hint="eastAsia" w:ascii="仿宋_GB2312" w:hAnsi="仿宋" w:eastAsia="仿宋_GB2312"/>
          <w:bCs/>
          <w:color w:val="auto"/>
          <w:kern w:val="0"/>
          <w:sz w:val="32"/>
          <w:szCs w:val="32"/>
        </w:rPr>
        <w:t>创建“国家级区域医疗中心、应急与灾难医学中心、国家级保健康复中心”，在医教研和医院管理上对标国际一流。市中医院光明院区定位为市中医区域医疗中心</w:t>
      </w:r>
      <w:r>
        <w:rPr>
          <w:rFonts w:hint="eastAsia" w:ascii="仿宋_GB2312" w:hAnsi="仿宋" w:eastAsia="仿宋_GB2312"/>
          <w:bCs/>
          <w:color w:val="auto"/>
          <w:kern w:val="0"/>
          <w:sz w:val="32"/>
          <w:szCs w:val="32"/>
          <w:lang w:eastAsia="zh-CN"/>
        </w:rPr>
        <w:t>，</w:t>
      </w:r>
      <w:r>
        <w:rPr>
          <w:rFonts w:hint="eastAsia" w:ascii="仿宋_GB2312" w:hAnsi="仿宋" w:eastAsia="仿宋_GB2312"/>
          <w:bCs/>
          <w:color w:val="auto"/>
          <w:kern w:val="0"/>
          <w:sz w:val="32"/>
          <w:szCs w:val="32"/>
        </w:rPr>
        <w:t>建设全市中医药最高水平临床示范基地</w:t>
      </w:r>
      <w:r>
        <w:rPr>
          <w:rFonts w:hint="eastAsia" w:ascii="仿宋_GB2312" w:hAnsi="仿宋" w:eastAsia="仿宋_GB2312"/>
          <w:bCs/>
          <w:color w:val="auto"/>
          <w:kern w:val="0"/>
          <w:sz w:val="32"/>
          <w:szCs w:val="32"/>
          <w:lang w:eastAsia="zh-CN"/>
        </w:rPr>
        <w:t>，建立系统完善的中医“治未病”工作制度和服务规范的服务项目</w:t>
      </w:r>
      <w:r>
        <w:rPr>
          <w:rFonts w:hint="eastAsia" w:ascii="仿宋_GB2312" w:hAnsi="仿宋" w:eastAsia="仿宋_GB2312"/>
          <w:bCs/>
          <w:color w:val="auto"/>
          <w:kern w:val="0"/>
          <w:sz w:val="32"/>
          <w:szCs w:val="32"/>
        </w:rPr>
        <w:t>。区属国科大深圳医院（光明）牵头组建“社区健康服务机构和其他医疗卫生机构参与的基层医疗联合体，</w:t>
      </w:r>
      <w:r>
        <w:rPr>
          <w:rFonts w:hint="eastAsia" w:ascii="仿宋_GB2312" w:hAnsi="仿宋" w:eastAsia="仿宋_GB2312"/>
          <w:bCs/>
          <w:color w:val="auto"/>
          <w:kern w:val="0"/>
          <w:sz w:val="32"/>
          <w:szCs w:val="32"/>
          <w:lang w:val="en-US" w:eastAsia="zh-CN"/>
        </w:rPr>
        <w:t>为片区内居民提供预防、诊疗、营养、康复、护理、健康管理等一体化、连续性的健康管理服务”，“主攻”占比高达90%以上的常见病、多发病，负责基本医疗卫生服务“立地”</w:t>
      </w:r>
      <w:r>
        <w:rPr>
          <w:rFonts w:hint="eastAsia" w:ascii="仿宋_GB2312" w:hAnsi="仿宋" w:eastAsia="仿宋_GB2312"/>
          <w:bCs/>
          <w:color w:val="auto"/>
          <w:kern w:val="0"/>
          <w:sz w:val="32"/>
          <w:szCs w:val="32"/>
          <w:lang w:eastAsia="zh-CN"/>
        </w:rPr>
        <w:t>，其中</w:t>
      </w:r>
      <w:r>
        <w:rPr>
          <w:rFonts w:hint="eastAsia" w:ascii="仿宋_GB2312" w:hAnsi="仿宋" w:eastAsia="仿宋_GB2312"/>
          <w:bCs/>
          <w:color w:val="auto"/>
          <w:kern w:val="0"/>
          <w:sz w:val="32"/>
          <w:szCs w:val="32"/>
          <w:lang w:val="en-US" w:eastAsia="zh-CN"/>
        </w:rPr>
        <w:t>东院区定位为现代化研究型医院。区妇幼保健院定位为以妇幼保健为特色的专科医院，建设成为集保健、医疗、教学于一体的辖区妇幼保健机构。支持宝田医院作为辖区内</w:t>
      </w:r>
      <w:r>
        <w:rPr>
          <w:rFonts w:hint="eastAsia" w:ascii="仿宋_GB2312" w:hAnsi="仿宋" w:eastAsia="仿宋_GB2312"/>
          <w:bCs/>
          <w:color w:val="auto"/>
          <w:kern w:val="0"/>
          <w:sz w:val="32"/>
          <w:szCs w:val="32"/>
        </w:rPr>
        <w:t>现代化新型综合性社会办医院</w:t>
      </w:r>
      <w:r>
        <w:rPr>
          <w:rFonts w:hint="eastAsia" w:ascii="仿宋_GB2312" w:hAnsi="仿宋" w:eastAsia="仿宋_GB2312"/>
          <w:bCs/>
          <w:color w:val="auto"/>
          <w:kern w:val="0"/>
          <w:sz w:val="32"/>
          <w:szCs w:val="32"/>
          <w:lang w:eastAsia="zh-CN"/>
        </w:rPr>
        <w:t>，</w:t>
      </w:r>
      <w:r>
        <w:rPr>
          <w:rFonts w:hint="eastAsia" w:ascii="仿宋_GB2312" w:hAnsi="仿宋" w:eastAsia="仿宋_GB2312"/>
          <w:bCs/>
          <w:color w:val="auto"/>
          <w:kern w:val="0"/>
          <w:sz w:val="32"/>
          <w:szCs w:val="32"/>
        </w:rPr>
        <w:t>参加区域医疗中心、基层医疗集团开展的业务协作</w:t>
      </w:r>
      <w:r>
        <w:rPr>
          <w:rFonts w:hint="eastAsia" w:ascii="仿宋_GB2312" w:hAnsi="仿宋" w:eastAsia="仿宋_GB2312"/>
          <w:bCs/>
          <w:color w:val="auto"/>
          <w:kern w:val="0"/>
          <w:sz w:val="32"/>
          <w:szCs w:val="32"/>
          <w:lang w:eastAsia="zh-CN"/>
        </w:rPr>
        <w:t>，</w:t>
      </w:r>
      <w:r>
        <w:rPr>
          <w:rFonts w:hint="eastAsia" w:ascii="仿宋_GB2312" w:hAnsi="仿宋" w:eastAsia="仿宋_GB2312"/>
          <w:bCs/>
          <w:color w:val="auto"/>
          <w:kern w:val="0"/>
          <w:sz w:val="32"/>
          <w:szCs w:val="32"/>
        </w:rPr>
        <w:t>提供多层次、多样化的优质医疗健康服务</w:t>
      </w:r>
      <w:r>
        <w:rPr>
          <w:rFonts w:hint="eastAsia" w:ascii="仿宋_GB2312" w:hAnsi="仿宋" w:eastAsia="仿宋_GB2312"/>
          <w:bCs/>
          <w:color w:val="auto"/>
          <w:kern w:val="0"/>
          <w:sz w:val="32"/>
          <w:szCs w:val="32"/>
          <w:lang w:val="en-US" w:eastAsia="zh-CN"/>
        </w:rPr>
        <w:t>。</w:t>
      </w:r>
      <w:r>
        <w:rPr>
          <w:rFonts w:hint="eastAsia" w:ascii="仿宋_GB2312" w:hAnsi="仿宋" w:eastAsia="仿宋_GB2312"/>
          <w:bCs/>
          <w:color w:val="auto"/>
          <w:kern w:val="0"/>
          <w:sz w:val="32"/>
          <w:szCs w:val="32"/>
        </w:rPr>
        <w:t>高质量完成“三甲”创建，持续巩固创建成果，力争2025年前完成2家三甲医院创建。</w:t>
      </w:r>
      <w:bookmarkEnd w:id="1862"/>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eastAsia" w:ascii="仿宋_GB2312" w:hAnsi="仿宋_GB2312" w:eastAsia="仿宋_GB2312" w:cs="仿宋_GB2312"/>
          <w:color w:val="auto"/>
          <w:sz w:val="32"/>
          <w:szCs w:val="32"/>
          <w:lang w:eastAsia="zh-CN"/>
        </w:rPr>
      </w:pPr>
      <w:r>
        <w:rPr>
          <w:rFonts w:hint="eastAsia" w:ascii="仿宋_GB2312" w:eastAsia="仿宋_GB2312" w:cstheme="minorBidi"/>
          <w:b/>
          <w:color w:val="auto"/>
          <w:sz w:val="32"/>
          <w:szCs w:val="32"/>
          <w:lang w:val="en-US" w:eastAsia="zh-CN"/>
        </w:rPr>
        <w:t>17.</w:t>
      </w:r>
      <w:r>
        <w:rPr>
          <w:rFonts w:hint="eastAsia" w:ascii="仿宋_GB2312" w:hAnsi="Times New Roman" w:eastAsia="仿宋_GB2312" w:cstheme="minorBidi"/>
          <w:b/>
          <w:color w:val="auto"/>
          <w:sz w:val="32"/>
          <w:szCs w:val="32"/>
          <w:lang w:val="en-US" w:eastAsia="zh-CN"/>
        </w:rPr>
        <w:t>优化医疗资源配置</w:t>
      </w:r>
      <w:r>
        <w:rPr>
          <w:rFonts w:hint="eastAsia" w:ascii="仿宋_GB2312" w:eastAsia="仿宋_GB2312" w:cstheme="minorBidi"/>
          <w:b/>
          <w:color w:val="auto"/>
          <w:sz w:val="32"/>
          <w:szCs w:val="32"/>
          <w:lang w:val="en-US" w:eastAsia="zh-CN"/>
        </w:rPr>
        <w:t>。</w:t>
      </w:r>
      <w:r>
        <w:rPr>
          <w:rFonts w:hint="eastAsia" w:ascii="仿宋_GB2312" w:hAnsi="仿宋_GB2312" w:eastAsia="仿宋_GB2312" w:cs="仿宋_GB2312"/>
          <w:color w:val="auto"/>
          <w:sz w:val="32"/>
          <w:szCs w:val="32"/>
          <w:lang w:eastAsia="zh-CN"/>
        </w:rPr>
        <w:t>加快推动区域医疗中心与基层医疗集团协同高效运行，</w:t>
      </w:r>
      <w:r>
        <w:rPr>
          <w:rFonts w:hint="eastAsia" w:ascii="仿宋_GB2312" w:eastAsia="仿宋_GB2312" w:cstheme="minorBidi"/>
          <w:b w:val="0"/>
          <w:bCs/>
          <w:color w:val="auto"/>
          <w:sz w:val="32"/>
          <w:szCs w:val="32"/>
          <w:lang w:eastAsia="zh-CN"/>
        </w:rPr>
        <w:t>构建优质高效整合型医疗卫生服务体系</w:t>
      </w:r>
      <w:r>
        <w:rPr>
          <w:rFonts w:hint="eastAsia" w:ascii="仿宋_GB2312" w:hAnsi="仿宋_GB2312" w:eastAsia="仿宋_GB2312" w:cs="仿宋_GB2312"/>
          <w:color w:val="auto"/>
          <w:sz w:val="32"/>
          <w:szCs w:val="32"/>
          <w:lang w:eastAsia="zh-CN"/>
        </w:rPr>
        <w:t>。以疾病防治为核心，以学科建设为纽带，健全区域性医疗中心与基层医疗集团之间的分工协作机制，促进优质资源的均衡发展，推动区域内医疗水平同质化发展。大力发展远程检查、远程诊疗、远程会诊，提高“区域性医疗中心</w:t>
      </w:r>
      <w:r>
        <w:rPr>
          <w:rFonts w:hint="eastAsia" w:ascii="仿宋_GB2312" w:hAnsi="仿宋_GB2312" w:eastAsia="仿宋_GB2312" w:cs="仿宋_GB2312"/>
          <w:color w:val="auto"/>
          <w:sz w:val="32"/>
          <w:szCs w:val="32"/>
          <w:lang w:val="en-US" w:eastAsia="zh-CN"/>
        </w:rPr>
        <w:t>+基层医疗集团</w:t>
      </w:r>
      <w:r>
        <w:rPr>
          <w:rFonts w:hint="eastAsia" w:ascii="仿宋_GB2312" w:hAnsi="仿宋_GB2312" w:eastAsia="仿宋_GB2312" w:cs="仿宋_GB2312"/>
          <w:color w:val="auto"/>
          <w:sz w:val="32"/>
          <w:szCs w:val="32"/>
          <w:lang w:eastAsia="zh-CN"/>
        </w:rPr>
        <w:t>”协作效率。通过组建专科联盟、专科共建、临床带教、教学查房、科研与项目协作等多种方式，提升责任区域内各医疗卫生机构的医疗服务能力和学科建设水平，进一步</w:t>
      </w:r>
      <w:r>
        <w:rPr>
          <w:rFonts w:hint="eastAsia" w:ascii="仿宋_GB2312" w:hAnsi="仿宋_GB2312" w:eastAsia="仿宋_GB2312" w:cs="仿宋_GB2312"/>
          <w:color w:val="auto"/>
          <w:sz w:val="32"/>
          <w:szCs w:val="32"/>
        </w:rPr>
        <w:t>提升</w:t>
      </w:r>
      <w:r>
        <w:rPr>
          <w:rFonts w:hint="eastAsia" w:ascii="仿宋_GB2312" w:hAnsi="仿宋_GB2312" w:eastAsia="仿宋_GB2312" w:cs="仿宋_GB2312"/>
          <w:color w:val="auto"/>
          <w:sz w:val="32"/>
          <w:szCs w:val="32"/>
          <w:lang w:eastAsia="zh-CN"/>
        </w:rPr>
        <w:t>“建高地、强基层、促健康”发展能级。</w:t>
      </w:r>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eastAsia" w:ascii="仿宋_GB2312" w:hAnsi="仿宋_GB2312" w:eastAsia="仿宋_GB2312" w:cs="仿宋_GB2312"/>
          <w:color w:val="auto"/>
          <w:sz w:val="32"/>
          <w:szCs w:val="32"/>
          <w:lang w:eastAsia="zh-CN"/>
        </w:rPr>
      </w:pPr>
      <w:r>
        <w:rPr>
          <w:rFonts w:hint="eastAsia" w:ascii="仿宋_GB2312" w:eastAsia="仿宋_GB2312" w:cstheme="minorBidi"/>
          <w:b/>
          <w:color w:val="auto"/>
          <w:sz w:val="32"/>
          <w:szCs w:val="32"/>
          <w:lang w:val="en-US" w:eastAsia="zh-CN"/>
        </w:rPr>
        <w:t>18.</w:t>
      </w:r>
      <w:r>
        <w:rPr>
          <w:rFonts w:hint="eastAsia" w:ascii="仿宋_GB2312" w:hAnsi="Times New Roman" w:eastAsia="仿宋_GB2312" w:cstheme="minorBidi"/>
          <w:b/>
          <w:color w:val="auto"/>
          <w:sz w:val="32"/>
          <w:szCs w:val="32"/>
          <w:lang w:val="en-US" w:eastAsia="zh-CN"/>
        </w:rPr>
        <w:t>突出光明特色重点学科建设</w:t>
      </w:r>
      <w:bookmarkEnd w:id="1834"/>
      <w:bookmarkEnd w:id="1835"/>
      <w:bookmarkEnd w:id="1836"/>
      <w:bookmarkEnd w:id="1837"/>
      <w:bookmarkEnd w:id="1838"/>
      <w:bookmarkEnd w:id="1839"/>
      <w:r>
        <w:rPr>
          <w:rFonts w:hint="eastAsia" w:ascii="仿宋_GB2312" w:eastAsia="仿宋_GB2312" w:cstheme="minorBidi"/>
          <w:b/>
          <w:color w:val="auto"/>
          <w:sz w:val="32"/>
          <w:szCs w:val="32"/>
          <w:lang w:val="en-US" w:eastAsia="zh-CN"/>
        </w:rPr>
        <w:t>。</w:t>
      </w:r>
      <w:r>
        <w:rPr>
          <w:rFonts w:hint="eastAsia" w:ascii="仿宋_GB2312" w:hAnsi="仿宋" w:eastAsia="仿宋_GB2312"/>
          <w:bCs/>
          <w:color w:val="auto"/>
          <w:kern w:val="0"/>
          <w:sz w:val="32"/>
          <w:szCs w:val="32"/>
        </w:rPr>
        <w:t>打造重点学科“123”计划，力争创建1个国家级重点学科、2个省级重点学科、3个深圳市重点学科。科学规划重点学</w:t>
      </w:r>
      <w:r>
        <w:rPr>
          <w:rFonts w:hint="eastAsia" w:ascii="仿宋_GB2312" w:hAnsi="仿宋_GB2312" w:eastAsia="仿宋_GB2312" w:cs="仿宋_GB2312"/>
          <w:color w:val="auto"/>
          <w:sz w:val="32"/>
          <w:szCs w:val="32"/>
        </w:rPr>
        <w:t>科发展，集中力量发展优势学科、打造特色专科。适应疾病谱变化，引入多学科协作诊疗模式，打造多学科合作中心，促进学科交叉发展。加强区域医学重点学科建设，完成区级第三周期医学重点学科验收，开展第四、第五周期医学重点学科建设，各周期择优评选出不少于10个重点学科或特色学科，周期内打造出5-8个学科竞争市级重点学科，80%以上的学科达到深圳市平均水平，力争建成1-2个省级医学重点学科，打造1-2个学科竞争国家级名专科、重点专科或实验室</w:t>
      </w:r>
      <w:r>
        <w:rPr>
          <w:rFonts w:hint="eastAsia" w:ascii="仿宋_GB2312" w:hAnsi="仿宋_GB2312" w:eastAsia="仿宋_GB2312" w:cs="仿宋_GB2312"/>
          <w:color w:val="auto"/>
          <w:sz w:val="32"/>
          <w:szCs w:val="32"/>
          <w:lang w:eastAsia="zh-CN"/>
        </w:rPr>
        <w:t>。</w:t>
      </w:r>
      <w:bookmarkStart w:id="1863" w:name="_Toc32374"/>
      <w:bookmarkStart w:id="1864" w:name="_Toc17434"/>
      <w:bookmarkStart w:id="1865" w:name="_Toc13297"/>
      <w:bookmarkStart w:id="1866" w:name="_Toc30090"/>
      <w:bookmarkStart w:id="1867" w:name="_Toc27787"/>
      <w:bookmarkStart w:id="1868" w:name="_Toc13261"/>
    </w:p>
    <w:p>
      <w:pPr>
        <w:spacing w:line="240" w:lineRule="exact"/>
        <w:jc w:val="center"/>
        <w:rPr>
          <w:rFonts w:ascii="仿宋_GB2312" w:hAnsi="仿宋_GB2312" w:eastAsia="仿宋_GB2312" w:cs="仿宋_GB2312"/>
          <w:color w:val="auto"/>
          <w:sz w:val="32"/>
          <w:szCs w:val="32"/>
          <w:highlight w:val="none"/>
        </w:rPr>
      </w:pPr>
    </w:p>
    <w:tbl>
      <w:tblPr>
        <w:tblStyle w:val="20"/>
        <w:tblW w:w="8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226"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before="156" w:beforeLines="50" w:line="440" w:lineRule="exact"/>
              <w:jc w:val="center"/>
              <w:rPr>
                <w:rFonts w:ascii="仿宋_GB2312" w:hAnsi="宋体" w:eastAsia="仿宋_GB2312" w:cs="仿宋"/>
                <w:b/>
                <w:bCs/>
                <w:color w:val="auto"/>
                <w:kern w:val="0"/>
                <w:sz w:val="28"/>
                <w:szCs w:val="28"/>
                <w:highlight w:val="none"/>
              </w:rPr>
            </w:pPr>
            <w:r>
              <w:rPr>
                <w:rFonts w:hint="eastAsia" w:ascii="仿宋_GB2312" w:hAnsi="宋体" w:eastAsia="仿宋_GB2312" w:cs="仿宋"/>
                <w:b/>
                <w:bCs/>
                <w:color w:val="auto"/>
                <w:kern w:val="0"/>
                <w:sz w:val="28"/>
                <w:szCs w:val="28"/>
                <w:highlight w:val="none"/>
              </w:rPr>
              <w:t>专栏</w:t>
            </w:r>
            <w:r>
              <w:rPr>
                <w:rFonts w:hint="eastAsia" w:ascii="仿宋_GB2312" w:hAnsi="宋体" w:eastAsia="仿宋_GB2312" w:cs="仿宋"/>
                <w:b/>
                <w:bCs/>
                <w:color w:val="auto"/>
                <w:kern w:val="0"/>
                <w:sz w:val="28"/>
                <w:szCs w:val="28"/>
                <w:highlight w:val="none"/>
                <w:lang w:val="en-US" w:eastAsia="zh-CN"/>
              </w:rPr>
              <w:t xml:space="preserve">3 </w:t>
            </w:r>
            <w:r>
              <w:rPr>
                <w:rFonts w:hint="eastAsia" w:ascii="仿宋_GB2312" w:hAnsi="宋体" w:eastAsia="仿宋_GB2312" w:cs="仿宋"/>
                <w:b/>
                <w:bCs/>
                <w:color w:val="auto"/>
                <w:kern w:val="0"/>
                <w:sz w:val="28"/>
                <w:szCs w:val="28"/>
                <w:highlight w:val="none"/>
              </w:rPr>
              <w:t>医院建设重点项目</w:t>
            </w:r>
          </w:p>
          <w:p>
            <w:pPr>
              <w:pStyle w:val="2"/>
              <w:adjustRightInd w:val="0"/>
              <w:snapToGrid w:val="0"/>
              <w:spacing w:before="156" w:beforeLines="50" w:line="440" w:lineRule="exact"/>
              <w:ind w:firstLine="562"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中山大学附属第七医院（二期）项目：</w:t>
            </w:r>
            <w:r>
              <w:rPr>
                <w:rFonts w:hint="eastAsia" w:ascii="仿宋_GB2312" w:hAnsi="仿宋_GB2312" w:eastAsia="仿宋_GB2312" w:cs="仿宋_GB2312"/>
                <w:b w:val="0"/>
                <w:bCs w:val="0"/>
                <w:color w:val="auto"/>
                <w:kern w:val="0"/>
                <w:sz w:val="28"/>
                <w:szCs w:val="28"/>
                <w:highlight w:val="none"/>
              </w:rPr>
              <w:t>项目用地面积15.3万平方米，建筑面积70万平方米，规划床位数3200张</w:t>
            </w:r>
            <w:r>
              <w:rPr>
                <w:rFonts w:hint="eastAsia" w:ascii="仿宋_GB2312" w:hAnsi="仿宋_GB2312" w:eastAsia="仿宋_GB2312" w:cs="仿宋_GB2312"/>
                <w:color w:val="auto"/>
                <w:kern w:val="0"/>
                <w:sz w:val="28"/>
                <w:szCs w:val="28"/>
                <w:highlight w:val="none"/>
              </w:rPr>
              <w:t>。项目定位为国家级区域医疗中心、国家级应急与灾难医学中心、国家级保健康复中心，建设成为国际一流水平医院。到 2025 年，建成大湾区医学人才培养标杆医院，引进专职科研人员 350 人，引进 2-3 个“三名工程”高水平团队；争取获批 1 个国家级科研平台，1 个省部级及以上科研平台；培育 1 项国家级教学成果；成为国家住院医师规范化培训基地，1-2 个优质专科成为国家专科医师规范化培训试点基地；打造 1-2 个国内知名的专科培训学院；打造 1-2 个国家级培训基地（国家级心肺复苏培训基地、国家级航空救护培训基地）。</w:t>
            </w:r>
          </w:p>
          <w:p>
            <w:pPr>
              <w:pStyle w:val="2"/>
              <w:adjustRightInd w:val="0"/>
              <w:snapToGrid w:val="0"/>
              <w:spacing w:before="156" w:beforeLines="50" w:line="440" w:lineRule="exact"/>
              <w:ind w:firstLine="562"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市中医院光明院区项目：</w:t>
            </w:r>
            <w:r>
              <w:rPr>
                <w:rFonts w:hint="eastAsia" w:ascii="仿宋_GB2312" w:hAnsi="仿宋_GB2312" w:eastAsia="仿宋_GB2312" w:cs="仿宋_GB2312"/>
                <w:color w:val="auto"/>
                <w:kern w:val="0"/>
                <w:sz w:val="28"/>
                <w:szCs w:val="28"/>
                <w:highlight w:val="none"/>
              </w:rPr>
              <w:t>项目一期用地面积为111574.49m²，总建筑面积为440225m²，总床位数2000床。项目定位为集医疗、教学、科研、预防、保健、康复、养老为一体的国际化大型综合三级甲等研究型中医医院及医养结合的区域医疗中心，打造成为中医特色鲜明，医疗技术领先，医疗功能完善，医疗服务优良面向粤港澳大湾区的中医医疗中心。开设光明院区细胞分子生物学平台。以光明院区建设为契机，增加细胞培养房5-10间，增加分子生物学实验场地，并购置相关配套设备，争取满足院内科研需求。布局光明院区制剂研发平台，建设成为中药生产、教学培训基地。</w:t>
            </w:r>
          </w:p>
          <w:p>
            <w:pPr>
              <w:pStyle w:val="2"/>
              <w:adjustRightInd w:val="0"/>
              <w:snapToGrid w:val="0"/>
              <w:spacing w:before="156" w:beforeLines="50" w:line="440" w:lineRule="exact"/>
              <w:ind w:firstLine="562"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中国科学院大学深圳医院</w:t>
            </w:r>
            <w:r>
              <w:rPr>
                <w:rFonts w:hint="eastAsia" w:ascii="仿宋_GB2312" w:hAnsi="仿宋_GB2312" w:eastAsia="仿宋_GB2312" w:cs="仿宋_GB2312"/>
                <w:b/>
                <w:bCs/>
                <w:color w:val="auto"/>
                <w:kern w:val="0"/>
                <w:sz w:val="28"/>
                <w:szCs w:val="28"/>
                <w:highlight w:val="none"/>
                <w:lang w:eastAsia="zh-CN"/>
              </w:rPr>
              <w:t>（</w:t>
            </w:r>
            <w:r>
              <w:rPr>
                <w:rFonts w:hint="eastAsia" w:ascii="仿宋_GB2312" w:hAnsi="仿宋_GB2312" w:eastAsia="仿宋_GB2312" w:cs="仿宋_GB2312"/>
                <w:b/>
                <w:bCs/>
                <w:color w:val="auto"/>
                <w:kern w:val="0"/>
                <w:sz w:val="28"/>
                <w:szCs w:val="28"/>
                <w:highlight w:val="none"/>
              </w:rPr>
              <w:t>新院</w:t>
            </w:r>
            <w:r>
              <w:rPr>
                <w:rFonts w:hint="eastAsia" w:ascii="仿宋_GB2312" w:hAnsi="仿宋_GB2312" w:eastAsia="仿宋_GB2312" w:cs="仿宋_GB2312"/>
                <w:b/>
                <w:bCs/>
                <w:color w:val="auto"/>
                <w:kern w:val="0"/>
                <w:sz w:val="28"/>
                <w:szCs w:val="28"/>
                <w:highlight w:val="none"/>
                <w:lang w:eastAsia="zh-CN"/>
              </w:rPr>
              <w:t>）</w:t>
            </w:r>
            <w:r>
              <w:rPr>
                <w:rFonts w:hint="eastAsia" w:ascii="仿宋_GB2312" w:hAnsi="仿宋_GB2312" w:eastAsia="仿宋_GB2312" w:cs="仿宋_GB2312"/>
                <w:b/>
                <w:bCs/>
                <w:color w:val="auto"/>
                <w:kern w:val="0"/>
                <w:sz w:val="28"/>
                <w:szCs w:val="28"/>
                <w:highlight w:val="none"/>
              </w:rPr>
              <w:t>项目：</w:t>
            </w:r>
            <w:r>
              <w:rPr>
                <w:rFonts w:hint="eastAsia" w:ascii="仿宋_GB2312" w:hAnsi="仿宋_GB2312" w:eastAsia="仿宋_GB2312" w:cs="仿宋_GB2312"/>
                <w:color w:val="auto"/>
                <w:kern w:val="0"/>
                <w:sz w:val="28"/>
                <w:szCs w:val="28"/>
                <w:highlight w:val="none"/>
              </w:rPr>
              <w:t>项目用地面积49962.22平方米，总建筑面积336944平方米，规划床位数1500张。项目定位为集医疗、科研、教学、预防保健功能于一体的三级甲等综合医院、区域医疗中心。</w:t>
            </w:r>
            <w:r>
              <w:rPr>
                <w:rFonts w:hint="eastAsia" w:ascii="仿宋_GB2312" w:hAnsi="仿宋_GB2312" w:eastAsia="仿宋_GB2312" w:cs="仿宋_GB2312"/>
                <w:color w:val="auto"/>
                <w:kern w:val="0"/>
                <w:sz w:val="28"/>
                <w:szCs w:val="28"/>
                <w:highlight w:val="none"/>
                <w:lang w:val="en-US" w:eastAsia="zh-CN"/>
              </w:rPr>
              <w:t>建立内科、外科、妇科、儿科、肿瘤中心、脑科学中心等重点学科，向片区内居民提供一体化、连续性的常见病、多发病等疾病诊疗服务。建设急救中心（包含胸痛中心、卒中中心、危重孕产妇和新生儿救治中心、危重儿童救治中心、创伤中心），落实医疗急救、重大疾病或者灾害救治任务。建立社康业务中心，为健康社区建设、突发公共卫生事件应急处置等提供卫生健康技术支持。建成独立的传染病病区+区属平疫结合收治中心，具备有应对重大疫情的能力。</w:t>
            </w:r>
          </w:p>
          <w:p>
            <w:pPr>
              <w:pStyle w:val="2"/>
              <w:keepNext w:val="0"/>
              <w:keepLines w:val="0"/>
              <w:pageBreakBefore w:val="0"/>
              <w:widowControl w:val="0"/>
              <w:kinsoku/>
              <w:wordWrap/>
              <w:overflowPunct/>
              <w:topLinePunct w:val="0"/>
              <w:autoSpaceDE/>
              <w:autoSpaceDN/>
              <w:bidi w:val="0"/>
              <w:adjustRightInd w:val="0"/>
              <w:snapToGrid w:val="0"/>
              <w:spacing w:before="156" w:beforeLines="50" w:after="157" w:afterLines="50" w:line="440" w:lineRule="exact"/>
              <w:ind w:left="119" w:firstLine="562" w:firstLineChars="200"/>
              <w:textAlignment w:val="auto"/>
              <w:rPr>
                <w:rStyle w:val="50"/>
                <w:rFonts w:eastAsia="仿宋_GB2312"/>
                <w:color w:val="auto"/>
                <w:highlight w:val="none"/>
              </w:rPr>
            </w:pPr>
            <w:r>
              <w:rPr>
                <w:rFonts w:hint="eastAsia" w:ascii="仿宋_GB2312" w:hAnsi="仿宋_GB2312" w:eastAsia="仿宋_GB2312" w:cs="仿宋_GB2312"/>
                <w:b/>
                <w:bCs/>
                <w:color w:val="auto"/>
                <w:kern w:val="0"/>
                <w:sz w:val="28"/>
                <w:szCs w:val="28"/>
                <w:highlight w:val="none"/>
              </w:rPr>
              <w:t>光明区中心医院续建（二期）项目（区妇幼保健院）：</w:t>
            </w:r>
            <w:r>
              <w:rPr>
                <w:rFonts w:hint="eastAsia" w:ascii="仿宋_GB2312" w:hAnsi="仿宋_GB2312" w:eastAsia="仿宋_GB2312" w:cs="仿宋_GB2312"/>
                <w:color w:val="auto"/>
                <w:kern w:val="0"/>
                <w:sz w:val="28"/>
                <w:szCs w:val="28"/>
                <w:highlight w:val="none"/>
              </w:rPr>
              <w:t>项目总建筑面积200999㎡，其中地下建筑面积66150㎡，规划床位数600张。主要建设内容为门诊综合楼、妇幼住院大楼和感染楼</w:t>
            </w:r>
            <w:r>
              <w:rPr>
                <w:rFonts w:hint="eastAsia" w:ascii="仿宋_GB2312" w:hAnsi="仿宋_GB2312" w:eastAsia="仿宋_GB2312" w:cs="仿宋_GB2312"/>
                <w:color w:val="auto"/>
                <w:kern w:val="0"/>
                <w:sz w:val="28"/>
                <w:szCs w:val="28"/>
                <w:highlight w:val="none"/>
                <w:lang w:eastAsia="zh-CN"/>
              </w:rPr>
              <w:t>。争取</w:t>
            </w:r>
            <w:r>
              <w:rPr>
                <w:rFonts w:hint="eastAsia" w:ascii="仿宋_GB2312" w:hAnsi="仿宋_GB2312" w:eastAsia="仿宋_GB2312" w:cs="仿宋_GB2312"/>
                <w:color w:val="auto"/>
                <w:kern w:val="0"/>
                <w:sz w:val="28"/>
                <w:szCs w:val="28"/>
                <w:highlight w:val="none"/>
              </w:rPr>
              <w:t>2023年完成二级妇幼保健院评审</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加快推进新院区建设，协同配置与医院等级相匹配的医疗设备及配套设施，争取2024年下半年投入使用</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2025年启动三级妇幼保健院评审工作，致力打造集保健、医疗、教学于一体的、与世界一流科学城相匹配的深圳北部妇女儿童医疗保健中心。</w:t>
            </w:r>
          </w:p>
        </w:tc>
      </w:tr>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3"/>
      <w:bookmarkEnd w:id="1864"/>
      <w:bookmarkEnd w:id="1865"/>
      <w:bookmarkEnd w:id="1866"/>
      <w:bookmarkEnd w:id="1867"/>
      <w:bookmarkEnd w:id="1868"/>
    </w:tbl>
    <w:p>
      <w:pPr>
        <w:keepNext w:val="0"/>
        <w:keepLines w:val="0"/>
        <w:pageBreakBefore w:val="0"/>
        <w:widowControl w:val="0"/>
        <w:shd w:val="clear"/>
        <w:kinsoku/>
        <w:wordWrap/>
        <w:overflowPunct/>
        <w:topLinePunct w:val="0"/>
        <w:autoSpaceDE/>
        <w:autoSpaceDN/>
        <w:bidi w:val="0"/>
        <w:adjustRightInd/>
        <w:snapToGrid w:val="0"/>
        <w:spacing w:before="157" w:beforeLines="50" w:line="560" w:lineRule="exact"/>
        <w:ind w:firstLine="640" w:firstLineChars="200"/>
        <w:jc w:val="both"/>
        <w:textAlignment w:val="auto"/>
        <w:outlineLvl w:val="2"/>
        <w:rPr>
          <w:rFonts w:hint="eastAsia" w:ascii="黑体" w:hAnsi="黑体" w:eastAsia="黑体" w:cs="黑体"/>
          <w:color w:val="auto"/>
          <w:sz w:val="32"/>
          <w:szCs w:val="32"/>
          <w:lang w:val="en-US" w:eastAsia="zh-CN"/>
        </w:rPr>
      </w:pPr>
      <w:bookmarkStart w:id="1869" w:name="_Toc10669"/>
      <w:bookmarkStart w:id="1870" w:name="_Toc29501"/>
      <w:bookmarkStart w:id="1871" w:name="_Toc8069"/>
      <w:bookmarkStart w:id="1872" w:name="_Toc4886"/>
      <w:bookmarkStart w:id="1873" w:name="_Toc30220"/>
      <w:bookmarkStart w:id="1874" w:name="_Toc22978"/>
      <w:bookmarkStart w:id="1875" w:name="_Toc17864"/>
      <w:bookmarkStart w:id="1876" w:name="_Toc30251"/>
      <w:bookmarkStart w:id="1877" w:name="_Toc9694"/>
      <w:bookmarkStart w:id="1878" w:name="_Toc11645"/>
      <w:bookmarkStart w:id="1879" w:name="_Toc1653"/>
      <w:bookmarkStart w:id="1880" w:name="_Toc13108"/>
      <w:bookmarkStart w:id="1881" w:name="_Toc9956"/>
      <w:bookmarkStart w:id="1882" w:name="_Toc32174"/>
      <w:bookmarkStart w:id="1883" w:name="_Toc18851"/>
      <w:bookmarkStart w:id="1884" w:name="_Toc18401"/>
      <w:bookmarkStart w:id="1885" w:name="_Toc10498"/>
      <w:bookmarkStart w:id="1886" w:name="_Toc5131"/>
      <w:bookmarkStart w:id="1887" w:name="_Toc10473"/>
      <w:bookmarkStart w:id="1888" w:name="_Toc1226"/>
      <w:bookmarkStart w:id="1889" w:name="_Toc5107"/>
      <w:bookmarkStart w:id="1890" w:name="_Toc20284"/>
      <w:bookmarkStart w:id="1891" w:name="_Toc19513"/>
      <w:bookmarkStart w:id="1892" w:name="_Toc24922"/>
      <w:bookmarkStart w:id="1893" w:name="_Toc30612"/>
      <w:bookmarkStart w:id="1894" w:name="_Toc22565"/>
      <w:bookmarkStart w:id="1895" w:name="_Toc11529"/>
      <w:bookmarkStart w:id="1896" w:name="_Toc22460"/>
      <w:bookmarkStart w:id="1897" w:name="_Toc32703"/>
      <w:bookmarkStart w:id="1898" w:name="_Toc3180"/>
      <w:bookmarkStart w:id="1899" w:name="_Toc3256"/>
      <w:bookmarkStart w:id="1900" w:name="_Toc15112"/>
      <w:bookmarkStart w:id="1901" w:name="_Toc12679"/>
      <w:bookmarkStart w:id="1902" w:name="_Toc30033"/>
      <w:bookmarkStart w:id="1903" w:name="_Toc31752"/>
      <w:bookmarkStart w:id="1904" w:name="_Toc3449"/>
      <w:bookmarkStart w:id="1905" w:name="_Toc6421"/>
      <w:bookmarkStart w:id="1906" w:name="_Toc816266804_WPSOffice_Level3"/>
      <w:bookmarkStart w:id="1907" w:name="_Toc7955"/>
      <w:bookmarkStart w:id="1908" w:name="_Toc32349"/>
      <w:bookmarkStart w:id="1909" w:name="_Toc23579"/>
      <w:bookmarkStart w:id="1910" w:name="_Toc26643"/>
      <w:bookmarkStart w:id="1911" w:name="_Toc30269"/>
      <w:bookmarkStart w:id="1912" w:name="_Toc31783"/>
      <w:bookmarkStart w:id="1913" w:name="_Toc8260"/>
      <w:bookmarkStart w:id="1914" w:name="_Toc127"/>
      <w:bookmarkStart w:id="1915" w:name="_Toc23179"/>
      <w:bookmarkStart w:id="1916" w:name="_Toc18563"/>
      <w:bookmarkStart w:id="1917" w:name="_Toc3437"/>
      <w:bookmarkStart w:id="1918" w:name="_Toc17256"/>
      <w:bookmarkStart w:id="1919" w:name="_Toc30341"/>
      <w:bookmarkStart w:id="1920" w:name="_Toc22221"/>
      <w:bookmarkStart w:id="1921" w:name="_Toc21311"/>
      <w:bookmarkStart w:id="1922" w:name="_Toc30138"/>
      <w:bookmarkStart w:id="1923" w:name="_Toc22551"/>
      <w:bookmarkStart w:id="1924" w:name="_Toc4129"/>
      <w:bookmarkStart w:id="1925" w:name="_Toc5295"/>
      <w:bookmarkStart w:id="1926" w:name="_Toc2638"/>
      <w:bookmarkStart w:id="1927" w:name="_Toc7574"/>
      <w:bookmarkStart w:id="1928" w:name="_Toc29579"/>
      <w:bookmarkStart w:id="1929" w:name="_Toc5791"/>
      <w:bookmarkStart w:id="1930" w:name="_Toc27424"/>
      <w:bookmarkStart w:id="1931" w:name="_Toc19177"/>
      <w:bookmarkStart w:id="1932" w:name="_Toc29743"/>
      <w:bookmarkStart w:id="1933" w:name="_Toc27967"/>
      <w:bookmarkStart w:id="1934" w:name="_Toc10039"/>
      <w:bookmarkStart w:id="1935" w:name="_Toc30559"/>
      <w:bookmarkStart w:id="1936" w:name="_Toc28474"/>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lang w:val="en-US" w:eastAsia="zh-CN"/>
        </w:rPr>
        <w:t>提升医疗服务质量</w:t>
      </w:r>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p>
    <w:bookmarkEnd w:id="1926"/>
    <w:bookmarkEnd w:id="1927"/>
    <w:bookmarkEnd w:id="1928"/>
    <w:bookmarkEnd w:id="1929"/>
    <w:bookmarkEnd w:id="1930"/>
    <w:bookmarkEnd w:id="1931"/>
    <w:bookmarkEnd w:id="1932"/>
    <w:bookmarkEnd w:id="1933"/>
    <w:bookmarkEnd w:id="1934"/>
    <w:bookmarkEnd w:id="1935"/>
    <w:bookmarkEnd w:id="1936"/>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eastAsia" w:ascii="仿宋_GB2312" w:hAnsi="仿宋_GB2312" w:eastAsia="仿宋_GB2312" w:cs="仿宋_GB2312"/>
          <w:bCs/>
          <w:color w:val="auto"/>
          <w:sz w:val="32"/>
          <w:szCs w:val="32"/>
        </w:rPr>
      </w:pPr>
      <w:r>
        <w:rPr>
          <w:rFonts w:hint="eastAsia" w:ascii="仿宋_GB2312" w:eastAsia="仿宋_GB2312" w:cstheme="minorBidi"/>
          <w:b/>
          <w:color w:val="auto"/>
          <w:sz w:val="32"/>
          <w:szCs w:val="32"/>
          <w:lang w:val="en-US" w:eastAsia="zh-CN"/>
        </w:rPr>
        <w:t>19.优化医疗服务流程</w:t>
      </w:r>
      <w:bookmarkStart w:id="1937" w:name="_Toc27328"/>
      <w:r>
        <w:rPr>
          <w:rFonts w:hint="eastAsia" w:ascii="仿宋_GB2312" w:eastAsia="仿宋_GB2312" w:cstheme="minorBidi"/>
          <w:b/>
          <w:color w:val="auto"/>
          <w:sz w:val="32"/>
          <w:szCs w:val="32"/>
          <w:lang w:val="en-US" w:eastAsia="zh-CN"/>
        </w:rPr>
        <w:t>。</w:t>
      </w:r>
      <w:r>
        <w:rPr>
          <w:rFonts w:hint="eastAsia" w:ascii="仿宋_GB2312" w:hAnsi="仿宋_GB2312" w:eastAsia="仿宋_GB2312" w:cs="仿宋_GB2312"/>
          <w:bCs/>
          <w:color w:val="auto"/>
          <w:sz w:val="32"/>
          <w:szCs w:val="32"/>
        </w:rPr>
        <w:t>实施全程规范服务，实现将医疗服务从医院到家庭的延伸，为患者提供更贴心、方便的优质服务，增强就医获得感。继续优化预约诊疗服务，充分发挥客服中心和志愿者作用，为群众提供导医、导诊、挂号、缴费等门诊“一站式”服务。全面实施整体护理模式，扩大优质护理服务覆盖面，为患者提供全方位、延续性护理服务。推进医院精神文明建设，促进形成良好医德医风，增强医务人员职业荣誉感，实现医患关系双满意，争取患者满意度评测达到全市中上水平。</w:t>
      </w:r>
      <w:bookmarkEnd w:id="1937"/>
      <w:bookmarkStart w:id="1938" w:name="_Toc2145"/>
      <w:bookmarkStart w:id="1939" w:name="_Toc3012"/>
      <w:bookmarkStart w:id="1940" w:name="_Toc1963"/>
      <w:bookmarkStart w:id="1941" w:name="_Toc10923"/>
      <w:bookmarkStart w:id="1942" w:name="_Toc8362"/>
      <w:bookmarkStart w:id="1943" w:name="_Toc4959"/>
      <w:bookmarkStart w:id="1944" w:name="_Toc16752"/>
      <w:bookmarkStart w:id="1945" w:name="_Toc7403"/>
      <w:bookmarkStart w:id="1946" w:name="_Toc1885"/>
      <w:bookmarkStart w:id="1947" w:name="_Toc8524"/>
      <w:bookmarkStart w:id="1948" w:name="_Toc18491"/>
      <w:bookmarkStart w:id="1949" w:name="_Toc8233"/>
      <w:bookmarkStart w:id="1950" w:name="_Toc22686"/>
      <w:bookmarkStart w:id="1951" w:name="_Toc11252"/>
      <w:bookmarkStart w:id="1952" w:name="_Toc7334"/>
      <w:bookmarkStart w:id="1953" w:name="_Toc13931"/>
      <w:bookmarkStart w:id="1954" w:name="_Toc15427"/>
      <w:bookmarkStart w:id="1955" w:name="_Toc25724"/>
      <w:bookmarkStart w:id="1956" w:name="_Toc43"/>
      <w:bookmarkStart w:id="1957" w:name="_Toc19186"/>
      <w:bookmarkStart w:id="1958" w:name="_Toc9520"/>
      <w:bookmarkStart w:id="1959" w:name="_Toc4931"/>
      <w:bookmarkStart w:id="1960" w:name="_Toc19459"/>
      <w:bookmarkStart w:id="1961" w:name="_Toc7553"/>
      <w:bookmarkStart w:id="1962" w:name="_Toc25821"/>
      <w:bookmarkStart w:id="1963" w:name="_Toc21613"/>
      <w:bookmarkStart w:id="1964" w:name="_Toc9862"/>
      <w:bookmarkStart w:id="1965" w:name="_Toc22759"/>
      <w:bookmarkStart w:id="1966" w:name="_Toc11850"/>
      <w:bookmarkStart w:id="1967" w:name="_Toc21054"/>
      <w:bookmarkStart w:id="1968" w:name="_Toc30180"/>
      <w:bookmarkStart w:id="1969" w:name="_Toc2495"/>
      <w:bookmarkStart w:id="1970" w:name="_Toc15057"/>
      <w:bookmarkStart w:id="1971" w:name="_Toc27792"/>
      <w:bookmarkStart w:id="1972" w:name="_Toc32025"/>
      <w:bookmarkStart w:id="1973" w:name="_Toc4054"/>
      <w:bookmarkStart w:id="1974" w:name="_Toc27939"/>
      <w:bookmarkStart w:id="1975" w:name="_Toc16997"/>
      <w:bookmarkStart w:id="1976" w:name="_Toc31746"/>
      <w:bookmarkStart w:id="1977" w:name="_Toc23517"/>
      <w:bookmarkStart w:id="1978" w:name="_Toc6068"/>
      <w:bookmarkStart w:id="1979" w:name="_Toc12462"/>
      <w:bookmarkStart w:id="1980" w:name="_Toc32011"/>
      <w:bookmarkStart w:id="1981" w:name="_Toc2293"/>
      <w:bookmarkStart w:id="1982" w:name="_Toc14605"/>
      <w:bookmarkStart w:id="1983" w:name="_Toc11946"/>
      <w:bookmarkStart w:id="1984" w:name="_Toc6257"/>
      <w:bookmarkStart w:id="1985" w:name="_Toc16836"/>
      <w:bookmarkStart w:id="1986" w:name="_Toc20056"/>
      <w:bookmarkStart w:id="1987" w:name="_Toc24738"/>
      <w:bookmarkStart w:id="1988" w:name="_Toc18750"/>
      <w:bookmarkStart w:id="1989" w:name="_Toc27891"/>
      <w:bookmarkStart w:id="1990" w:name="_Toc16419"/>
      <w:bookmarkStart w:id="1991" w:name="_Toc22449"/>
      <w:bookmarkStart w:id="1992" w:name="_Toc2419"/>
      <w:bookmarkStart w:id="1993" w:name="_Toc19318"/>
      <w:bookmarkStart w:id="1994" w:name="_Toc22834"/>
      <w:bookmarkStart w:id="1995" w:name="_Toc5980"/>
      <w:bookmarkStart w:id="1996" w:name="_Toc30107"/>
      <w:bookmarkStart w:id="1997" w:name="_Toc5842"/>
      <w:bookmarkStart w:id="1998" w:name="_Toc4359"/>
      <w:bookmarkStart w:id="1999" w:name="_Toc31705"/>
      <w:bookmarkStart w:id="2000" w:name="_Toc17938"/>
      <w:bookmarkStart w:id="2001" w:name="_Toc8583"/>
      <w:bookmarkStart w:id="2002" w:name="_Toc22100"/>
      <w:bookmarkStart w:id="2003" w:name="_Toc13682"/>
      <w:bookmarkStart w:id="2004" w:name="_Toc28388"/>
      <w:bookmarkStart w:id="2005" w:name="_Toc8989"/>
      <w:bookmarkStart w:id="2006" w:name="_Toc21396"/>
      <w:bookmarkStart w:id="2007" w:name="_Toc22623"/>
      <w:bookmarkStart w:id="2008" w:name="_Toc5461"/>
      <w:bookmarkStart w:id="2009" w:name="_Toc27780"/>
      <w:bookmarkStart w:id="2010" w:name="_Toc12769"/>
      <w:bookmarkStart w:id="2011" w:name="_Toc30199"/>
      <w:bookmarkStart w:id="2012" w:name="_Toc22397"/>
      <w:bookmarkStart w:id="2013" w:name="_Toc27771"/>
      <w:bookmarkStart w:id="2014" w:name="_Toc26004"/>
      <w:bookmarkStart w:id="2015" w:name="_Toc18674"/>
      <w:bookmarkStart w:id="2016" w:name="_Toc26234"/>
      <w:bookmarkStart w:id="2017" w:name="_Toc28963"/>
      <w:bookmarkStart w:id="2018" w:name="_Toc6016"/>
      <w:bookmarkStart w:id="2019" w:name="_Toc6656"/>
      <w:bookmarkStart w:id="2020" w:name="_Toc8422"/>
      <w:bookmarkStart w:id="2021" w:name="_Toc7966"/>
      <w:bookmarkStart w:id="2022" w:name="_Toc31551"/>
      <w:bookmarkStart w:id="2023" w:name="_Toc24296"/>
      <w:bookmarkStart w:id="2024" w:name="_Toc19114"/>
      <w:bookmarkStart w:id="2025" w:name="_Toc24808"/>
      <w:bookmarkStart w:id="2026" w:name="_Toc25287"/>
      <w:bookmarkStart w:id="2027" w:name="_Toc9865"/>
      <w:bookmarkStart w:id="2028" w:name="_Toc26104"/>
      <w:bookmarkStart w:id="2029" w:name="_Toc6498"/>
      <w:bookmarkStart w:id="2030" w:name="_Toc21521"/>
      <w:bookmarkStart w:id="2031" w:name="_Toc6767"/>
      <w:bookmarkStart w:id="2032" w:name="_Toc25221"/>
      <w:bookmarkStart w:id="2033" w:name="_Toc30202"/>
      <w:bookmarkStart w:id="2034" w:name="_Toc437"/>
      <w:bookmarkStart w:id="2035" w:name="_Toc26493"/>
      <w:bookmarkStart w:id="2036" w:name="_Toc11718"/>
      <w:bookmarkStart w:id="2037" w:name="_Toc199"/>
      <w:bookmarkStart w:id="2038" w:name="_Toc26352"/>
      <w:bookmarkStart w:id="2039" w:name="_Toc2453"/>
      <w:bookmarkStart w:id="2040" w:name="_Toc5120"/>
      <w:bookmarkStart w:id="2041" w:name="_Toc11412"/>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jc w:val="both"/>
        <w:textAlignment w:val="auto"/>
        <w:outlineLvl w:val="1"/>
        <w:rPr>
          <w:rFonts w:hint="eastAsia" w:ascii="仿宋_GB2312" w:hAnsi="仿宋_GB2312" w:eastAsia="仿宋_GB2312" w:cs="仿宋_GB2312"/>
          <w:bCs/>
          <w:color w:val="auto"/>
          <w:sz w:val="32"/>
          <w:szCs w:val="32"/>
        </w:rPr>
      </w:pPr>
      <w:r>
        <w:rPr>
          <w:rFonts w:hint="eastAsia" w:ascii="仿宋_GB2312" w:eastAsia="仿宋_GB2312" w:cstheme="minorBidi"/>
          <w:b/>
          <w:color w:val="auto"/>
          <w:sz w:val="32"/>
          <w:szCs w:val="32"/>
          <w:lang w:val="en-US" w:eastAsia="zh-CN"/>
        </w:rPr>
        <w:t>20.加强药品安全管理</w:t>
      </w:r>
      <w:bookmarkEnd w:id="1938"/>
      <w:r>
        <w:rPr>
          <w:rFonts w:hint="eastAsia" w:ascii="仿宋_GB2312" w:eastAsia="仿宋_GB2312" w:cstheme="minorBidi"/>
          <w:b/>
          <w:color w:val="auto"/>
          <w:sz w:val="32"/>
          <w:szCs w:val="32"/>
          <w:lang w:val="en-US" w:eastAsia="zh-CN"/>
        </w:rPr>
        <w:t>。</w:t>
      </w:r>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r>
        <w:rPr>
          <w:rFonts w:hint="eastAsia" w:ascii="仿宋_GB2312" w:hAnsi="仿宋_GB2312" w:eastAsia="仿宋_GB2312" w:cs="仿宋_GB2312"/>
          <w:bCs/>
          <w:color w:val="auto"/>
          <w:sz w:val="32"/>
          <w:szCs w:val="32"/>
        </w:rPr>
        <w:t>加强药事管理，建立完善覆盖药品采购、贮存、发放、调配、使用等全过程的监测体系，加强药品使用情况动态监测分析，严格特殊管理药品和高警示药品管理。提高临床合理用药水平，优先选用国家基本药物，落实国家基本药物政策和国家组织药品集中采购工作，加强药品不良反应监测，提高应急处置能力，保证用药安全。加大处方审核和点评力度，控制药费过快增长，确保实现安全、有效、经济、适宜用药，缓解群众“看病贵”问题。</w:t>
      </w:r>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default" w:ascii="黑体" w:hAnsi="黑体" w:eastAsia="黑体" w:cs="黑体"/>
          <w:b w:val="0"/>
          <w:bCs/>
          <w:color w:val="auto"/>
          <w:kern w:val="2"/>
          <w:sz w:val="32"/>
          <w:szCs w:val="32"/>
          <w:lang w:val="en-US" w:eastAsia="zh-CN" w:bidi="ar-SA"/>
        </w:rPr>
      </w:pPr>
      <w:r>
        <w:rPr>
          <w:rFonts w:hint="eastAsia" w:ascii="仿宋_GB2312" w:eastAsia="仿宋_GB2312" w:cstheme="minorBidi"/>
          <w:b/>
          <w:color w:val="auto"/>
          <w:sz w:val="32"/>
          <w:szCs w:val="32"/>
          <w:lang w:val="en-US" w:eastAsia="zh-CN"/>
        </w:rPr>
        <w:t>21.</w:t>
      </w:r>
      <w:r>
        <w:rPr>
          <w:rFonts w:hint="eastAsia" w:ascii="仿宋_GB2312" w:hAnsi="Times New Roman" w:eastAsia="仿宋_GB2312" w:cstheme="minorBidi"/>
          <w:b/>
          <w:color w:val="auto"/>
          <w:sz w:val="32"/>
          <w:szCs w:val="32"/>
          <w:lang w:val="en-US" w:eastAsia="zh-CN"/>
        </w:rPr>
        <w:t>完善多元化办医格局</w:t>
      </w:r>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Start w:id="2042" w:name="_Toc7433"/>
      <w:r>
        <w:rPr>
          <w:rFonts w:hint="eastAsia" w:ascii="仿宋_GB2312" w:eastAsia="仿宋_GB2312" w:cstheme="minorBidi"/>
          <w:b/>
          <w:color w:val="auto"/>
          <w:sz w:val="32"/>
          <w:szCs w:val="32"/>
          <w:lang w:val="en-US" w:eastAsia="zh-CN"/>
        </w:rPr>
        <w:t>。</w:t>
      </w:r>
      <w:r>
        <w:rPr>
          <w:rFonts w:hint="eastAsia" w:ascii="仿宋_GB2312" w:hAnsi="仿宋_GB2312" w:eastAsia="仿宋_GB2312" w:cs="仿宋_GB2312"/>
          <w:bCs/>
          <w:color w:val="auto"/>
          <w:sz w:val="32"/>
          <w:szCs w:val="32"/>
          <w:lang w:eastAsia="zh-CN"/>
        </w:rPr>
        <w:t>针对</w:t>
      </w:r>
      <w:r>
        <w:rPr>
          <w:rFonts w:hint="eastAsia" w:ascii="仿宋_GB2312" w:hAnsi="仿宋_GB2312" w:eastAsia="仿宋_GB2312" w:cs="仿宋_GB2312"/>
          <w:bCs/>
          <w:color w:val="auto"/>
          <w:sz w:val="32"/>
          <w:szCs w:val="32"/>
        </w:rPr>
        <w:t>群众多层次多样化健康需求</w:t>
      </w:r>
      <w:r>
        <w:rPr>
          <w:rFonts w:hint="eastAsia" w:ascii="仿宋_GB2312" w:hAnsi="仿宋_GB2312" w:eastAsia="仿宋_GB2312" w:cs="仿宋_GB2312"/>
          <w:bCs/>
          <w:color w:val="auto"/>
          <w:sz w:val="32"/>
          <w:szCs w:val="32"/>
          <w:lang w:eastAsia="zh-CN"/>
        </w:rPr>
        <w:t>，完善多元化办医格局。</w:t>
      </w:r>
      <w:r>
        <w:rPr>
          <w:rFonts w:hint="eastAsia" w:ascii="仿宋_GB2312" w:hAnsi="仿宋_GB2312" w:eastAsia="仿宋_GB2312" w:cs="仿宋_GB2312"/>
          <w:bCs/>
          <w:color w:val="auto"/>
          <w:sz w:val="32"/>
          <w:szCs w:val="32"/>
        </w:rPr>
        <w:t>积极引进优质的国内外医疗卫生资源，推动社会力量建设高水平、国际化医疗机构，为在科学城工作的国外专家提供国际化医疗保障。借鉴国内外先进专科医院的经验，进一步激发医疗市场主体的创新活力，支持社会力量在光明区创新打造特色鲜明的专科技术品牌和专科服务品牌。鼓励医生多点执业，形成政府办医疗机构保基本、兜底线，社会办医供高端、促改革，基本和特需医疗互相补充、公立和非公立医疗机构协同发展、竞争互补的良性发展格局。</w:t>
      </w:r>
      <w:bookmarkEnd w:id="2042"/>
    </w:p>
    <w:p>
      <w:pPr>
        <w:pStyle w:val="6"/>
        <w:keepNext w:val="0"/>
        <w:keepLines w:val="0"/>
        <w:pageBreakBefore w:val="0"/>
        <w:shd w:val="clear"/>
        <w:kinsoku/>
        <w:wordWrap/>
        <w:overflowPunct/>
        <w:topLinePunct w:val="0"/>
        <w:autoSpaceDN/>
        <w:bidi w:val="0"/>
        <w:snapToGrid w:val="0"/>
        <w:spacing w:before="0" w:after="0" w:line="560" w:lineRule="exact"/>
        <w:ind w:firstLine="640" w:firstLineChars="200"/>
        <w:jc w:val="left"/>
        <w:textAlignment w:val="auto"/>
        <w:rPr>
          <w:rFonts w:hint="eastAsia" w:ascii="Times New Roman" w:hAnsi="Times New Roman" w:eastAsia="楷体_GB2312" w:cstheme="minorBidi"/>
          <w:bCs w:val="0"/>
          <w:color w:val="auto"/>
        </w:rPr>
      </w:pPr>
      <w:bookmarkStart w:id="2043" w:name="_Toc1379"/>
      <w:bookmarkStart w:id="2044" w:name="_Toc30093"/>
      <w:bookmarkStart w:id="2045" w:name="_Toc14749"/>
      <w:bookmarkStart w:id="2046" w:name="_Toc2550"/>
      <w:bookmarkStart w:id="2047" w:name="_Toc19864"/>
      <w:bookmarkStart w:id="2048" w:name="_Toc24883"/>
      <w:bookmarkStart w:id="2049" w:name="_Toc29568"/>
      <w:bookmarkStart w:id="2050" w:name="_Toc11100"/>
      <w:bookmarkStart w:id="2051" w:name="_Toc4259"/>
      <w:bookmarkStart w:id="2052" w:name="_Toc17624"/>
      <w:bookmarkStart w:id="2053" w:name="_Toc17367"/>
      <w:bookmarkStart w:id="2054" w:name="_Toc15685"/>
      <w:bookmarkStart w:id="2055" w:name="_Toc12692"/>
      <w:bookmarkStart w:id="2056" w:name="_Toc1399"/>
      <w:bookmarkStart w:id="2057" w:name="_Toc10678"/>
      <w:bookmarkStart w:id="2058" w:name="_Toc1659"/>
      <w:bookmarkStart w:id="2059" w:name="_Toc23518"/>
      <w:bookmarkStart w:id="2060" w:name="_Toc23404"/>
      <w:bookmarkStart w:id="2061" w:name="_Toc20685"/>
      <w:bookmarkStart w:id="2062" w:name="_Toc25860"/>
      <w:bookmarkStart w:id="2063" w:name="_Toc6121"/>
      <w:bookmarkStart w:id="2064" w:name="_Toc4399"/>
      <w:bookmarkStart w:id="2065" w:name="_Toc17166"/>
      <w:bookmarkStart w:id="2066" w:name="_Toc29268"/>
      <w:bookmarkStart w:id="2067" w:name="_Toc1865"/>
      <w:bookmarkStart w:id="2068" w:name="_Toc16920"/>
      <w:bookmarkStart w:id="2069" w:name="_Toc8866"/>
      <w:bookmarkStart w:id="2070" w:name="_Toc11259"/>
      <w:bookmarkStart w:id="2071" w:name="_Toc26222"/>
      <w:bookmarkStart w:id="2072" w:name="_Toc5803"/>
      <w:bookmarkStart w:id="2073" w:name="_Toc12195"/>
      <w:bookmarkStart w:id="2074" w:name="_Toc15226"/>
      <w:bookmarkStart w:id="2075" w:name="_Toc166"/>
      <w:bookmarkStart w:id="2076" w:name="_Toc30968"/>
      <w:bookmarkStart w:id="2077" w:name="_Toc8914"/>
      <w:bookmarkStart w:id="2078" w:name="_Toc24577"/>
      <w:bookmarkStart w:id="2079" w:name="_Toc14576"/>
      <w:bookmarkStart w:id="2080" w:name="_Toc5407"/>
      <w:bookmarkStart w:id="2081" w:name="_Toc22231"/>
      <w:bookmarkStart w:id="2082" w:name="_Toc32537"/>
      <w:bookmarkStart w:id="2083" w:name="_Toc25340"/>
      <w:bookmarkStart w:id="2084" w:name="_Toc4146"/>
      <w:bookmarkStart w:id="2085" w:name="_Toc4939"/>
      <w:bookmarkStart w:id="2086" w:name="_Toc1621"/>
      <w:bookmarkStart w:id="2087" w:name="_Toc374"/>
      <w:bookmarkStart w:id="2088" w:name="_Toc18579"/>
      <w:bookmarkStart w:id="2089" w:name="_Toc8298"/>
      <w:bookmarkStart w:id="2090" w:name="_Toc15679"/>
      <w:bookmarkStart w:id="2091" w:name="_Toc6747"/>
      <w:bookmarkStart w:id="2092" w:name="_Toc10051"/>
      <w:bookmarkStart w:id="2093" w:name="_Toc30318"/>
      <w:bookmarkStart w:id="2094" w:name="_Toc31657"/>
      <w:bookmarkStart w:id="2095" w:name="_Toc12815"/>
      <w:bookmarkStart w:id="2096" w:name="_Toc2618"/>
      <w:bookmarkStart w:id="2097" w:name="_Toc29466"/>
      <w:bookmarkStart w:id="2098" w:name="_Toc1970"/>
      <w:bookmarkStart w:id="2099" w:name="_Toc1959738502_WPSOffice_Level3"/>
      <w:bookmarkStart w:id="2100" w:name="_Toc6872"/>
      <w:bookmarkStart w:id="2101" w:name="_Toc18240"/>
      <w:bookmarkStart w:id="2102" w:name="_Toc13209"/>
      <w:bookmarkStart w:id="2103" w:name="_Toc19060"/>
      <w:bookmarkStart w:id="2104" w:name="_Toc27803"/>
      <w:bookmarkStart w:id="2105" w:name="_Toc18097"/>
      <w:bookmarkStart w:id="2106" w:name="_Toc21445"/>
      <w:bookmarkStart w:id="2107" w:name="_Toc32702"/>
      <w:bookmarkStart w:id="2108" w:name="_Toc3627"/>
      <w:bookmarkStart w:id="2109" w:name="_Toc28552"/>
      <w:bookmarkStart w:id="2110" w:name="_Toc8811"/>
      <w:bookmarkStart w:id="2111" w:name="_Toc7480"/>
      <w:bookmarkStart w:id="2112" w:name="_Toc14196"/>
      <w:bookmarkStart w:id="2113" w:name="_Toc25720"/>
      <w:bookmarkStart w:id="2114" w:name="_Toc21963"/>
      <w:bookmarkStart w:id="2115" w:name="_Toc29055"/>
      <w:bookmarkStart w:id="2116" w:name="_Toc10405"/>
      <w:bookmarkStart w:id="2117" w:name="_Toc25932"/>
      <w:bookmarkStart w:id="2118" w:name="_Toc17231"/>
      <w:bookmarkStart w:id="2119" w:name="_Toc27098"/>
      <w:bookmarkStart w:id="2120" w:name="_Toc5360"/>
      <w:bookmarkStart w:id="2121" w:name="_Toc19238"/>
      <w:bookmarkStart w:id="2122" w:name="_Toc21547"/>
      <w:bookmarkStart w:id="2123" w:name="_Toc6732"/>
      <w:bookmarkStart w:id="2124" w:name="_Toc12368"/>
      <w:bookmarkStart w:id="2125" w:name="_Toc32361"/>
      <w:bookmarkStart w:id="2126" w:name="_Toc6586"/>
      <w:bookmarkStart w:id="2127" w:name="_Toc14683"/>
      <w:bookmarkStart w:id="2128" w:name="_Toc26816"/>
      <w:bookmarkStart w:id="2129" w:name="_Toc24960"/>
      <w:bookmarkStart w:id="2130" w:name="_Toc4807"/>
      <w:bookmarkStart w:id="2131" w:name="_Toc1884"/>
      <w:bookmarkStart w:id="2132" w:name="_Toc18189"/>
      <w:bookmarkStart w:id="2133" w:name="_Toc21752"/>
      <w:bookmarkStart w:id="2134" w:name="_Toc2767"/>
      <w:bookmarkStart w:id="2135" w:name="_Toc17285"/>
      <w:bookmarkStart w:id="2136" w:name="_Toc2191"/>
      <w:bookmarkStart w:id="2137" w:name="_Toc19443"/>
      <w:bookmarkStart w:id="2138" w:name="_Toc10488"/>
      <w:bookmarkStart w:id="2139" w:name="_Toc22447"/>
      <w:bookmarkStart w:id="2140" w:name="_Toc15119"/>
      <w:bookmarkStart w:id="2141" w:name="_Toc18867"/>
      <w:bookmarkStart w:id="2142" w:name="_Toc22143"/>
      <w:bookmarkStart w:id="2143" w:name="_Toc20938"/>
      <w:bookmarkStart w:id="2144" w:name="_Toc2008"/>
      <w:bookmarkStart w:id="2145" w:name="_Toc22109"/>
      <w:bookmarkStart w:id="2146" w:name="_Toc8417"/>
      <w:bookmarkStart w:id="2147" w:name="_Toc8448"/>
      <w:bookmarkStart w:id="2148" w:name="_Toc15247"/>
      <w:bookmarkStart w:id="2149" w:name="_Toc19259"/>
      <w:bookmarkStart w:id="2150" w:name="_Toc24923"/>
      <w:bookmarkStart w:id="2151" w:name="_Toc13323"/>
      <w:bookmarkStart w:id="2152" w:name="_Toc6676"/>
      <w:bookmarkStart w:id="2153" w:name="_Toc29018"/>
      <w:bookmarkStart w:id="2154" w:name="_Toc21597"/>
      <w:r>
        <w:rPr>
          <w:rFonts w:hint="eastAsia" w:ascii="黑体" w:hAnsi="黑体" w:eastAsia="黑体" w:cs="黑体"/>
          <w:b w:val="0"/>
          <w:bCs/>
          <w:color w:val="auto"/>
          <w:lang w:eastAsia="zh-CN"/>
        </w:rPr>
        <w:t>三、</w:t>
      </w:r>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r>
        <w:rPr>
          <w:rFonts w:hint="eastAsia" w:ascii="黑体" w:hAnsi="黑体" w:eastAsia="黑体" w:cs="黑体"/>
          <w:b w:val="0"/>
          <w:bCs/>
          <w:color w:val="auto"/>
          <w:lang w:eastAsia="zh-CN"/>
        </w:rPr>
        <w:t>推进社区健康服务跨越式发展</w:t>
      </w:r>
      <w:bookmarkEnd w:id="2099"/>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ascii="仿宋_GB2312" w:hAnsi="黑体" w:eastAsia="仿宋_GB2312"/>
          <w:color w:val="auto"/>
          <w:sz w:val="32"/>
          <w:szCs w:val="32"/>
        </w:rPr>
      </w:pPr>
      <w:bookmarkStart w:id="2155" w:name="_Toc32423"/>
      <w:bookmarkStart w:id="2156" w:name="_Toc9988"/>
      <w:bookmarkStart w:id="2157" w:name="_Toc28591"/>
      <w:bookmarkStart w:id="2158" w:name="_Toc6524"/>
      <w:bookmarkStart w:id="2159" w:name="_Toc9758"/>
      <w:bookmarkStart w:id="2160" w:name="_Toc28464"/>
      <w:bookmarkStart w:id="2161" w:name="_Toc21264"/>
      <w:bookmarkStart w:id="2162" w:name="_Toc15141"/>
      <w:bookmarkStart w:id="2163" w:name="_Toc1712"/>
      <w:bookmarkStart w:id="2164" w:name="_Toc11968"/>
      <w:bookmarkStart w:id="2165" w:name="_Toc22788"/>
      <w:bookmarkStart w:id="2166" w:name="_Toc9794"/>
      <w:bookmarkStart w:id="2167" w:name="_Toc14403"/>
      <w:bookmarkStart w:id="2168" w:name="_Toc17596"/>
      <w:bookmarkStart w:id="2169" w:name="_Toc22058"/>
      <w:bookmarkStart w:id="2170" w:name="_Toc27878"/>
      <w:bookmarkStart w:id="2171" w:name="_Toc3380"/>
      <w:bookmarkStart w:id="2172" w:name="_Toc25793"/>
      <w:bookmarkStart w:id="2173" w:name="_Toc16035"/>
      <w:bookmarkStart w:id="2174" w:name="_Toc8106"/>
      <w:bookmarkStart w:id="2175" w:name="_Toc8779"/>
      <w:bookmarkStart w:id="2176" w:name="_Toc24991"/>
      <w:bookmarkStart w:id="2177" w:name="_Toc17162"/>
      <w:bookmarkStart w:id="2178" w:name="_Toc28494"/>
      <w:bookmarkStart w:id="2179" w:name="_Toc12131"/>
      <w:bookmarkStart w:id="2180" w:name="_Toc19427"/>
      <w:bookmarkStart w:id="2181" w:name="_Toc336"/>
      <w:bookmarkStart w:id="2182" w:name="_Toc20147"/>
      <w:bookmarkStart w:id="2183" w:name="_Toc1184"/>
      <w:bookmarkStart w:id="2184" w:name="_Toc7556"/>
      <w:bookmarkStart w:id="2185" w:name="_Toc16131"/>
      <w:bookmarkStart w:id="2186" w:name="_Toc8441"/>
      <w:bookmarkStart w:id="2187" w:name="_Toc27162"/>
      <w:bookmarkStart w:id="2188" w:name="_Toc31192"/>
      <w:bookmarkStart w:id="2189" w:name="_Toc30012"/>
      <w:bookmarkStart w:id="2190" w:name="_Toc12164"/>
      <w:bookmarkStart w:id="2191" w:name="_Toc31506"/>
      <w:bookmarkStart w:id="2192" w:name="_Toc30360"/>
      <w:bookmarkStart w:id="2193" w:name="_Toc8901"/>
      <w:bookmarkStart w:id="2194" w:name="_Toc9156"/>
      <w:bookmarkStart w:id="2195" w:name="_Toc6286"/>
      <w:bookmarkStart w:id="2196" w:name="_Toc32036"/>
      <w:bookmarkStart w:id="2197" w:name="_Toc15795"/>
      <w:bookmarkStart w:id="2198" w:name="_Toc17262"/>
      <w:bookmarkStart w:id="2199" w:name="_Toc6182"/>
      <w:bookmarkStart w:id="2200" w:name="_Toc32088"/>
      <w:bookmarkStart w:id="2201" w:name="_Toc1119"/>
      <w:bookmarkStart w:id="2202" w:name="_Toc26771"/>
      <w:bookmarkStart w:id="2203" w:name="_Toc18618"/>
      <w:bookmarkStart w:id="2204" w:name="_Toc14051"/>
      <w:bookmarkStart w:id="2205" w:name="_Toc1713"/>
      <w:bookmarkStart w:id="2206" w:name="_Toc21599"/>
      <w:bookmarkStart w:id="2207" w:name="_Toc1742"/>
      <w:bookmarkStart w:id="2208" w:name="_Toc9823"/>
      <w:bookmarkStart w:id="2209" w:name="_Toc9608"/>
      <w:bookmarkStart w:id="2210" w:name="_Toc18852"/>
      <w:r>
        <w:rPr>
          <w:rFonts w:hint="eastAsia" w:ascii="仿宋_GB2312" w:hAnsi="仿宋_GB2312" w:eastAsia="仿宋_GB2312" w:cs="仿宋_GB2312"/>
          <w:b/>
          <w:bCs w:val="0"/>
          <w:color w:val="auto"/>
          <w:sz w:val="32"/>
          <w:szCs w:val="32"/>
          <w:lang w:val="en-US" w:eastAsia="zh-CN"/>
        </w:rPr>
        <w:t>22.坚持高标准一体化管理</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Start w:id="2211" w:name="_Toc17396"/>
      <w:bookmarkStart w:id="2212" w:name="_Toc31610"/>
      <w:bookmarkStart w:id="2213" w:name="_Toc28930"/>
      <w:bookmarkStart w:id="2214" w:name="_Toc24293"/>
      <w:bookmarkStart w:id="2215" w:name="_Toc20233"/>
      <w:bookmarkStart w:id="2216" w:name="_Toc13645"/>
      <w:bookmarkStart w:id="2217" w:name="_Toc8910"/>
      <w:bookmarkStart w:id="2218" w:name="_Toc24644"/>
      <w:bookmarkStart w:id="2219" w:name="_Toc30367"/>
      <w:bookmarkStart w:id="2220" w:name="_Toc27849"/>
      <w:bookmarkStart w:id="2221" w:name="_Toc16951"/>
      <w:bookmarkStart w:id="2222" w:name="_Toc20841"/>
      <w:bookmarkStart w:id="2223" w:name="_Toc11714"/>
      <w:bookmarkStart w:id="2224" w:name="_Toc19358"/>
      <w:bookmarkStart w:id="2225" w:name="_Toc29441"/>
      <w:bookmarkStart w:id="2226" w:name="_Toc3233"/>
      <w:bookmarkStart w:id="2227" w:name="_Toc16959"/>
      <w:bookmarkStart w:id="2228" w:name="_Toc7825"/>
      <w:bookmarkStart w:id="2229" w:name="_Toc14666"/>
      <w:bookmarkStart w:id="2230" w:name="_Toc25846"/>
      <w:bookmarkStart w:id="2231" w:name="_Toc6881"/>
      <w:bookmarkStart w:id="2232" w:name="_Toc26462"/>
      <w:bookmarkStart w:id="2233" w:name="_Toc19393"/>
      <w:bookmarkStart w:id="2234" w:name="_Toc1196"/>
      <w:bookmarkStart w:id="2235" w:name="_Toc27668"/>
      <w:bookmarkStart w:id="2236" w:name="_Toc22049"/>
      <w:bookmarkStart w:id="2237" w:name="_Toc14624"/>
      <w:bookmarkStart w:id="2238" w:name="_Toc20843"/>
      <w:bookmarkStart w:id="2239" w:name="_Toc14712"/>
      <w:bookmarkStart w:id="2240" w:name="_Toc14900"/>
      <w:bookmarkStart w:id="2241" w:name="_Toc30241"/>
      <w:bookmarkStart w:id="2242" w:name="_Toc2960"/>
      <w:bookmarkStart w:id="2243" w:name="_Toc24893"/>
      <w:bookmarkStart w:id="2244" w:name="_Toc19034"/>
      <w:bookmarkStart w:id="2245" w:name="_Toc6637"/>
      <w:bookmarkStart w:id="2246" w:name="_Toc14372"/>
      <w:bookmarkStart w:id="2247" w:name="_Toc31505"/>
      <w:bookmarkStart w:id="2248" w:name="_Toc16645"/>
      <w:bookmarkStart w:id="2249" w:name="_Toc16934"/>
      <w:bookmarkStart w:id="2250" w:name="_Toc24420"/>
      <w:bookmarkStart w:id="2251" w:name="_Toc30410"/>
      <w:bookmarkStart w:id="2252" w:name="_Toc3116"/>
      <w:bookmarkStart w:id="2253" w:name="_Toc20473"/>
      <w:bookmarkStart w:id="2254" w:name="_Toc27020"/>
      <w:bookmarkStart w:id="2255" w:name="_Toc5403"/>
      <w:bookmarkStart w:id="2256" w:name="_Toc20996"/>
      <w:bookmarkStart w:id="2257" w:name="_Toc13175"/>
      <w:bookmarkStart w:id="2258" w:name="_Toc27547"/>
      <w:bookmarkStart w:id="2259" w:name="_Toc20936"/>
      <w:bookmarkStart w:id="2260" w:name="_Toc11776"/>
      <w:bookmarkStart w:id="2261" w:name="_Toc646"/>
      <w:r>
        <w:rPr>
          <w:rFonts w:hint="eastAsia" w:ascii="仿宋_GB2312" w:hAnsi="仿宋_GB2312" w:eastAsia="仿宋_GB2312" w:cs="仿宋_GB2312"/>
          <w:b/>
          <w:bCs w:val="0"/>
          <w:color w:val="auto"/>
          <w:sz w:val="32"/>
          <w:szCs w:val="32"/>
          <w:lang w:val="en-US" w:eastAsia="zh-CN"/>
        </w:rPr>
        <w:t>。</w:t>
      </w:r>
      <w:r>
        <w:rPr>
          <w:rFonts w:hint="eastAsia" w:ascii="仿宋_GB2312" w:hAnsi="仿宋_GB2312" w:eastAsia="仿宋_GB2312" w:cs="仿宋_GB2312"/>
          <w:bCs/>
          <w:color w:val="auto"/>
          <w:sz w:val="32"/>
          <w:szCs w:val="32"/>
        </w:rPr>
        <w:t>坚持“健全网络、完善功能、充实内涵、形成特色”发展思路，强化社区健康服务一体化管理，</w:t>
      </w:r>
      <w:r>
        <w:rPr>
          <w:rFonts w:hint="eastAsia" w:ascii="仿宋_GB2312" w:hAnsi="仿宋_GB2312" w:eastAsia="仿宋_GB2312" w:cs="仿宋_GB2312"/>
          <w:bCs/>
          <w:color w:val="auto"/>
          <w:sz w:val="32"/>
          <w:szCs w:val="32"/>
          <w:lang w:eastAsia="zh-CN"/>
        </w:rPr>
        <w:t>高标准</w:t>
      </w:r>
      <w:r>
        <w:rPr>
          <w:rFonts w:hint="eastAsia" w:ascii="仿宋_GB2312" w:hAnsi="仿宋_GB2312" w:eastAsia="仿宋_GB2312" w:cs="仿宋_GB2312"/>
          <w:bCs/>
          <w:color w:val="auto"/>
          <w:sz w:val="32"/>
          <w:szCs w:val="32"/>
        </w:rPr>
        <w:t>构建网络设置合理、基础设施完备、建设标准统一、服务功能健全、人员</w:t>
      </w:r>
      <w:bookmarkStart w:id="3688" w:name="_GoBack"/>
      <w:bookmarkEnd w:id="3688"/>
      <w:r>
        <w:rPr>
          <w:rFonts w:hint="eastAsia" w:ascii="仿宋_GB2312" w:hAnsi="仿宋_GB2312" w:eastAsia="仿宋_GB2312" w:cs="仿宋_GB2312"/>
          <w:bCs/>
          <w:color w:val="auto"/>
          <w:sz w:val="32"/>
          <w:szCs w:val="32"/>
        </w:rPr>
        <w:t>配备到位、监督管理规范的区域社康中心+社康中心+社康站的社区健康服务体系。推动社康机构和举办医院在人财物资源配置、业务管理和服务提供等方面融合发展。调动全集团力量加强社区健康服务体系及全科医学等学科建设，推动全科与专科有机分离、密切协作，畅通医院社康双向转诊通道和费用结算流程，推动医防融合发展，全面提升社区健康服务能力</w:t>
      </w:r>
      <w:r>
        <w:rPr>
          <w:rFonts w:hint="eastAsia" w:ascii="仿宋_GB2312" w:hAnsi="黑体" w:eastAsia="仿宋_GB2312"/>
          <w:color w:val="auto"/>
          <w:sz w:val="32"/>
          <w:szCs w:val="32"/>
        </w:rPr>
        <w:t>。</w:t>
      </w:r>
      <w:bookmarkEnd w:id="2211"/>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eastAsia" w:ascii="仿宋_GB2312" w:hAnsi="黑体" w:eastAsia="仿宋_GB2312" w:cs="楷体_GB2312"/>
          <w:b/>
          <w:bCs/>
          <w:color w:val="auto"/>
          <w:sz w:val="28"/>
          <w:szCs w:val="28"/>
          <w:lang w:val="en-US" w:eastAsia="zh-CN"/>
        </w:rPr>
      </w:pPr>
      <w:bookmarkStart w:id="2262" w:name="_Toc11386"/>
      <w:bookmarkStart w:id="2263" w:name="_Toc5030"/>
      <w:bookmarkStart w:id="2264" w:name="_Toc20809"/>
      <w:bookmarkStart w:id="2265" w:name="_Toc20800"/>
      <w:bookmarkStart w:id="2266" w:name="_Toc16540"/>
      <w:bookmarkStart w:id="2267" w:name="_Toc4243"/>
      <w:r>
        <w:rPr>
          <w:rFonts w:hint="eastAsia" w:ascii="仿宋_GB2312" w:eastAsia="仿宋_GB2312" w:cstheme="minorBidi"/>
          <w:b/>
          <w:color w:val="auto"/>
          <w:sz w:val="32"/>
          <w:szCs w:val="32"/>
          <w:lang w:val="en-US" w:eastAsia="zh-CN"/>
        </w:rPr>
        <w:t>23.</w:t>
      </w:r>
      <w:r>
        <w:rPr>
          <w:rFonts w:hint="eastAsia" w:ascii="仿宋_GB2312" w:hAnsi="Times New Roman" w:eastAsia="仿宋_GB2312" w:cstheme="minorBidi"/>
          <w:b/>
          <w:color w:val="auto"/>
          <w:sz w:val="32"/>
          <w:szCs w:val="32"/>
        </w:rPr>
        <w:t>强化健康网格化建设</w:t>
      </w:r>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Start w:id="2268" w:name="_Toc13421"/>
      <w:bookmarkStart w:id="2269" w:name="_Toc12127"/>
      <w:bookmarkStart w:id="2270" w:name="_Toc22349"/>
      <w:bookmarkStart w:id="2271" w:name="_Toc1844"/>
      <w:bookmarkStart w:id="2272" w:name="_Toc3369"/>
      <w:bookmarkStart w:id="2273" w:name="_Toc18236"/>
      <w:bookmarkStart w:id="2274" w:name="_Toc2705"/>
      <w:bookmarkStart w:id="2275" w:name="_Toc4027"/>
      <w:bookmarkStart w:id="2276" w:name="_Toc10545"/>
      <w:bookmarkStart w:id="2277" w:name="_Toc1730"/>
      <w:bookmarkStart w:id="2278" w:name="_Toc114"/>
      <w:bookmarkStart w:id="2279" w:name="_Toc26918"/>
      <w:bookmarkStart w:id="2280" w:name="_Toc31170"/>
      <w:bookmarkStart w:id="2281" w:name="_Toc3161"/>
      <w:bookmarkStart w:id="2282" w:name="_Toc30195"/>
      <w:bookmarkStart w:id="2283" w:name="_Toc20658"/>
      <w:bookmarkStart w:id="2284" w:name="_Toc18620"/>
      <w:bookmarkStart w:id="2285" w:name="_Toc25302"/>
      <w:bookmarkStart w:id="2286" w:name="_Toc30141"/>
      <w:bookmarkStart w:id="2287" w:name="_Toc17578"/>
      <w:bookmarkStart w:id="2288" w:name="_Toc18353"/>
      <w:bookmarkStart w:id="2289" w:name="_Toc24428"/>
      <w:bookmarkStart w:id="2290" w:name="_Toc7670"/>
      <w:bookmarkStart w:id="2291" w:name="_Toc10055"/>
      <w:bookmarkStart w:id="2292" w:name="_Toc24119"/>
      <w:bookmarkStart w:id="2293" w:name="_Toc9375"/>
      <w:bookmarkStart w:id="2294" w:name="_Toc4052"/>
      <w:bookmarkStart w:id="2295" w:name="_Toc6873"/>
      <w:bookmarkStart w:id="2296" w:name="_Toc24137"/>
      <w:bookmarkStart w:id="2297" w:name="_Toc29147"/>
      <w:bookmarkStart w:id="2298" w:name="_Toc26443"/>
      <w:bookmarkStart w:id="2299" w:name="_Toc7976"/>
      <w:bookmarkStart w:id="2300" w:name="_Toc24148"/>
      <w:bookmarkStart w:id="2301" w:name="_Toc30576"/>
      <w:bookmarkStart w:id="2302" w:name="_Toc6344"/>
      <w:bookmarkStart w:id="2303" w:name="_Toc10121"/>
      <w:bookmarkStart w:id="2304" w:name="_Toc27150"/>
      <w:bookmarkStart w:id="2305" w:name="_Toc1273"/>
      <w:bookmarkStart w:id="2306" w:name="_Toc24480"/>
      <w:bookmarkStart w:id="2307" w:name="_Toc19113"/>
      <w:bookmarkStart w:id="2308" w:name="_Toc19920"/>
      <w:bookmarkStart w:id="2309" w:name="_Toc28928"/>
      <w:bookmarkStart w:id="2310" w:name="_Toc14594"/>
      <w:bookmarkStart w:id="2311" w:name="_Toc8813"/>
      <w:bookmarkStart w:id="2312" w:name="_Toc4257"/>
      <w:bookmarkStart w:id="2313" w:name="_Toc8476"/>
      <w:bookmarkStart w:id="2314" w:name="_Toc13041"/>
      <w:bookmarkStart w:id="2315" w:name="_Toc9486"/>
      <w:bookmarkStart w:id="2316" w:name="_Toc10652"/>
      <w:bookmarkStart w:id="2317" w:name="_Toc31082"/>
      <w:bookmarkStart w:id="2318" w:name="_Toc122"/>
      <w:r>
        <w:rPr>
          <w:rFonts w:hint="eastAsia" w:ascii="仿宋_GB2312" w:eastAsia="仿宋_GB2312" w:cstheme="minorBidi"/>
          <w:b/>
          <w:color w:val="auto"/>
          <w:sz w:val="32"/>
          <w:szCs w:val="32"/>
          <w:lang w:eastAsia="zh-CN"/>
        </w:rPr>
        <w:t>。</w:t>
      </w:r>
      <w:bookmarkEnd w:id="2268"/>
      <w:r>
        <w:rPr>
          <w:rFonts w:hint="eastAsia" w:ascii="仿宋_GB2312" w:hAnsi="仿宋_GB2312" w:eastAsia="仿宋_GB2312" w:cs="仿宋_GB2312"/>
          <w:color w:val="auto"/>
          <w:sz w:val="32"/>
          <w:szCs w:val="32"/>
          <w:highlight w:val="none"/>
        </w:rPr>
        <w:t>制订2021-2025年社康机构设置规划实行健康网格化管理，扎实做好基本公共卫生服务项目和家庭医生服务，完善以健康档案为中心的人群健康管理，拓宽家庭医生服务内涵。到2025年，</w:t>
      </w:r>
      <w:r>
        <w:rPr>
          <w:rFonts w:hint="eastAsia" w:ascii="仿宋_GB2312" w:hAnsi="仿宋_GB2312" w:eastAsia="仿宋_GB2312" w:cs="仿宋_GB2312"/>
          <w:color w:val="auto"/>
          <w:sz w:val="32"/>
          <w:szCs w:val="32"/>
          <w:highlight w:val="none"/>
          <w:lang w:eastAsia="zh-CN"/>
        </w:rPr>
        <w:t>实际提供社区服务的</w:t>
      </w:r>
      <w:r>
        <w:rPr>
          <w:rFonts w:hint="eastAsia" w:ascii="仿宋_GB2312" w:hAnsi="仿宋_GB2312" w:eastAsia="仿宋_GB2312" w:cs="仿宋_GB2312"/>
          <w:color w:val="auto"/>
          <w:sz w:val="32"/>
          <w:szCs w:val="32"/>
          <w:highlight w:val="none"/>
        </w:rPr>
        <w:t>社康机构达到66家以上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每个街道有1家</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000㎡以上的社区医院（加挂区域社康中心牌子），在玉塘街道建设1家纯中医社区医院，共计7家</w:t>
      </w:r>
      <w:r>
        <w:rPr>
          <w:rFonts w:hint="eastAsia" w:ascii="仿宋_GB2312" w:hAnsi="仿宋_GB2312" w:eastAsia="仿宋_GB2312" w:cs="仿宋_GB2312"/>
          <w:color w:val="auto"/>
          <w:sz w:val="32"/>
          <w:szCs w:val="32"/>
          <w:highlight w:val="none"/>
          <w:lang w:eastAsia="zh-CN"/>
        </w:rPr>
        <w:t>社区医院；</w:t>
      </w:r>
      <w:r>
        <w:rPr>
          <w:rFonts w:hint="eastAsia" w:ascii="仿宋_GB2312" w:hAnsi="仿宋_GB2312" w:eastAsia="仿宋_GB2312" w:cs="仿宋_GB2312"/>
          <w:color w:val="auto"/>
          <w:sz w:val="32"/>
          <w:szCs w:val="32"/>
          <w:highlight w:val="none"/>
          <w:lang w:val="en-US" w:eastAsia="zh-CN"/>
        </w:rPr>
        <w:t>6家</w:t>
      </w:r>
      <w:r>
        <w:rPr>
          <w:rFonts w:hint="eastAsia" w:ascii="仿宋_GB2312" w:hAnsi="仿宋_GB2312" w:eastAsia="仿宋_GB2312" w:cs="仿宋_GB2312"/>
          <w:color w:val="auto"/>
          <w:sz w:val="32"/>
          <w:szCs w:val="32"/>
          <w:highlight w:val="none"/>
        </w:rPr>
        <w:t>社区医院加挂区域社康中心牌子，每个街道另设1家3000㎡以上的区域社康中心，共计12家</w:t>
      </w:r>
      <w:r>
        <w:rPr>
          <w:rFonts w:hint="eastAsia" w:ascii="仿宋_GB2312" w:hAnsi="仿宋_GB2312" w:eastAsia="仿宋_GB2312" w:cs="仿宋_GB2312"/>
          <w:color w:val="auto"/>
          <w:sz w:val="32"/>
          <w:szCs w:val="32"/>
          <w:highlight w:val="none"/>
          <w:lang w:eastAsia="zh-CN"/>
        </w:rPr>
        <w:t>区域社康中心；</w:t>
      </w:r>
      <w:r>
        <w:rPr>
          <w:rFonts w:hint="eastAsia" w:ascii="仿宋_GB2312" w:hAnsi="仿宋_GB2312" w:eastAsia="仿宋_GB2312" w:cs="仿宋_GB2312"/>
          <w:color w:val="auto"/>
          <w:sz w:val="32"/>
          <w:szCs w:val="32"/>
          <w:highlight w:val="none"/>
        </w:rPr>
        <w:t>常住人口超过</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万人</w:t>
      </w:r>
      <w:r>
        <w:rPr>
          <w:rFonts w:hint="eastAsia" w:ascii="仿宋_GB2312" w:hAnsi="仿宋_GB2312" w:eastAsia="仿宋_GB2312" w:cs="仿宋_GB2312"/>
          <w:color w:val="auto"/>
          <w:sz w:val="32"/>
          <w:szCs w:val="32"/>
          <w:highlight w:val="none"/>
          <w:lang w:eastAsia="zh-CN"/>
        </w:rPr>
        <w:t>的社区至少有</w:t>
      </w:r>
      <w:r>
        <w:rPr>
          <w:rFonts w:hint="eastAsia" w:ascii="仿宋_GB2312" w:hAnsi="仿宋_GB2312" w:eastAsia="仿宋_GB2312" w:cs="仿宋_GB2312"/>
          <w:color w:val="auto"/>
          <w:sz w:val="32"/>
          <w:szCs w:val="32"/>
          <w:highlight w:val="none"/>
          <w:lang w:val="en-US" w:eastAsia="zh-CN"/>
        </w:rPr>
        <w:t>1家面积14</w:t>
      </w:r>
      <w:r>
        <w:rPr>
          <w:rFonts w:hint="eastAsia" w:ascii="仿宋_GB2312" w:hAnsi="仿宋_GB2312" w:eastAsia="仿宋_GB2312" w:cs="仿宋_GB2312"/>
          <w:color w:val="auto"/>
          <w:sz w:val="32"/>
          <w:szCs w:val="32"/>
          <w:highlight w:val="none"/>
        </w:rPr>
        <w:t>00㎡以上社康中心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每个社区至少有1家社康机构。</w:t>
      </w:r>
    </w:p>
    <w:p>
      <w:pPr>
        <w:pStyle w:val="31"/>
        <w:keepNext w:val="0"/>
        <w:keepLines w:val="0"/>
        <w:pageBreakBefore w:val="0"/>
        <w:widowControl w:val="0"/>
        <w:kinsoku/>
        <w:wordWrap/>
        <w:overflowPunct/>
        <w:topLinePunct w:val="0"/>
        <w:autoSpaceDE w:val="0"/>
        <w:autoSpaceDN/>
        <w:bidi w:val="0"/>
        <w:adjustRightInd/>
        <w:snapToGrid/>
        <w:spacing w:before="157" w:beforeLines="50" w:line="400" w:lineRule="exact"/>
        <w:jc w:val="center"/>
        <w:textAlignment w:val="auto"/>
        <w:rPr>
          <w:rFonts w:hint="eastAsia" w:ascii="仿宋_GB2312" w:hAnsi="黑体" w:eastAsia="仿宋_GB2312" w:cs="楷体_GB2312"/>
          <w:b/>
          <w:bCs/>
          <w:color w:val="auto"/>
          <w:kern w:val="2"/>
          <w:sz w:val="28"/>
          <w:szCs w:val="28"/>
          <w:lang w:val="en-US" w:eastAsia="zh-CN"/>
        </w:rPr>
      </w:pPr>
      <w:bookmarkStart w:id="2319" w:name="_Toc157368804_WPSOffice_Level2"/>
      <w:r>
        <w:rPr>
          <w:rFonts w:hint="eastAsia" w:ascii="仿宋_GB2312" w:hAnsi="黑体" w:eastAsia="仿宋_GB2312" w:cs="楷体_GB2312"/>
          <w:b/>
          <w:bCs/>
          <w:color w:val="auto"/>
          <w:sz w:val="28"/>
          <w:szCs w:val="28"/>
          <w:lang w:val="en-US" w:eastAsia="zh-CN"/>
        </w:rPr>
        <w:t>专栏4 光明区</w:t>
      </w:r>
      <w:r>
        <w:rPr>
          <w:rFonts w:hint="eastAsia" w:ascii="仿宋_GB2312" w:hAnsi="黑体" w:eastAsia="仿宋_GB2312" w:cs="楷体_GB2312"/>
          <w:b/>
          <w:bCs/>
          <w:color w:val="auto"/>
          <w:sz w:val="28"/>
          <w:szCs w:val="28"/>
        </w:rPr>
        <w:t>2025年</w:t>
      </w:r>
      <w:r>
        <w:rPr>
          <w:rFonts w:hint="eastAsia" w:ascii="仿宋_GB2312" w:hAnsi="黑体" w:eastAsia="仿宋_GB2312" w:cs="楷体_GB2312"/>
          <w:b/>
          <w:bCs/>
          <w:color w:val="auto"/>
          <w:kern w:val="2"/>
          <w:sz w:val="28"/>
          <w:szCs w:val="28"/>
        </w:rPr>
        <w:t>社康规划</w:t>
      </w:r>
      <w:r>
        <w:rPr>
          <w:rFonts w:hint="eastAsia" w:ascii="仿宋_GB2312" w:hAnsi="黑体" w:eastAsia="仿宋_GB2312" w:cs="楷体_GB2312"/>
          <w:b/>
          <w:bCs/>
          <w:color w:val="auto"/>
          <w:kern w:val="2"/>
          <w:sz w:val="28"/>
          <w:szCs w:val="28"/>
          <w:lang w:eastAsia="zh-CN"/>
        </w:rPr>
        <w:t>一览表</w:t>
      </w:r>
      <w:bookmarkEnd w:id="2319"/>
    </w:p>
    <w:tbl>
      <w:tblPr>
        <w:tblStyle w:val="21"/>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545"/>
        <w:gridCol w:w="1350"/>
        <w:gridCol w:w="1348"/>
        <w:gridCol w:w="144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blHeader/>
          <w:jc w:val="center"/>
        </w:trPr>
        <w:tc>
          <w:tcPr>
            <w:tcW w:w="1485" w:type="dxa"/>
            <w:vMerge w:val="restart"/>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街道</w:t>
            </w:r>
          </w:p>
        </w:tc>
        <w:tc>
          <w:tcPr>
            <w:tcW w:w="4243" w:type="dxa"/>
            <w:gridSpan w:val="3"/>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政府办社康</w:t>
            </w:r>
          </w:p>
        </w:tc>
        <w:tc>
          <w:tcPr>
            <w:tcW w:w="1440" w:type="dxa"/>
            <w:vMerge w:val="restart"/>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社会办社康</w:t>
            </w:r>
          </w:p>
        </w:tc>
        <w:tc>
          <w:tcPr>
            <w:tcW w:w="1141" w:type="dxa"/>
            <w:vMerge w:val="restart"/>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blHeader/>
          <w:jc w:val="center"/>
        </w:trPr>
        <w:tc>
          <w:tcPr>
            <w:tcW w:w="1485"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color w:val="auto"/>
                <w:sz w:val="24"/>
                <w:szCs w:val="24"/>
                <w:lang w:val="en-US" w:eastAsia="zh-CN"/>
              </w:rPr>
            </w:pPr>
          </w:p>
        </w:tc>
        <w:tc>
          <w:tcPr>
            <w:tcW w:w="1545"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区域社康</w:t>
            </w:r>
          </w:p>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（社区医院）</w:t>
            </w:r>
          </w:p>
        </w:tc>
        <w:tc>
          <w:tcPr>
            <w:tcW w:w="1350"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社康中心</w:t>
            </w:r>
          </w:p>
        </w:tc>
        <w:tc>
          <w:tcPr>
            <w:tcW w:w="1348"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baseline"/>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社康站</w:t>
            </w:r>
          </w:p>
        </w:tc>
        <w:tc>
          <w:tcPr>
            <w:tcW w:w="1440"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line="440" w:lineRule="exact"/>
              <w:jc w:val="center"/>
              <w:textAlignment w:val="baseline"/>
              <w:rPr>
                <w:rFonts w:hint="eastAsia" w:ascii="仿宋_GB2312" w:hAnsi="仿宋_GB2312" w:eastAsia="仿宋_GB2312" w:cs="仿宋_GB2312"/>
                <w:color w:val="auto"/>
                <w:sz w:val="24"/>
                <w:szCs w:val="24"/>
                <w:lang w:val="en-US" w:eastAsia="zh-CN"/>
              </w:rPr>
            </w:pPr>
          </w:p>
        </w:tc>
        <w:tc>
          <w:tcPr>
            <w:tcW w:w="1141"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line="440" w:lineRule="exact"/>
              <w:jc w:val="center"/>
              <w:textAlignment w:val="baseline"/>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85"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公明</w:t>
            </w:r>
          </w:p>
        </w:tc>
        <w:tc>
          <w:tcPr>
            <w:tcW w:w="1545"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w:t>
            </w:r>
          </w:p>
        </w:tc>
        <w:tc>
          <w:tcPr>
            <w:tcW w:w="1350"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348" w:type="dxa"/>
            <w:shd w:val="clear" w:color="auto" w:fill="auto"/>
            <w:vAlign w:val="center"/>
          </w:tcPr>
          <w:p>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firstLine="0" w:firstLineChars="0"/>
              <w:jc w:val="center"/>
              <w:textAlignment w:val="auto"/>
              <w:outlineLvl w:val="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440" w:type="dxa"/>
            <w:shd w:val="clear" w:color="auto" w:fill="auto"/>
            <w:vAlign w:val="center"/>
          </w:tcPr>
          <w:p>
            <w:pPr>
              <w:pStyle w:val="4"/>
              <w:keepNext/>
              <w:keepLines/>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outlineLvl w:val="0"/>
              <w:rPr>
                <w:rFonts w:hint="eastAsia" w:ascii="仿宋_GB2312" w:hAnsi="仿宋_GB2312" w:eastAsia="仿宋_GB2312" w:cs="仿宋_GB2312"/>
                <w:color w:val="auto"/>
                <w:sz w:val="24"/>
                <w:szCs w:val="24"/>
                <w:lang w:val="en-US" w:eastAsia="zh-CN"/>
              </w:rPr>
            </w:pPr>
            <w:r>
              <w:rPr>
                <w:rFonts w:hint="eastAsia" w:ascii="楷体_GB2312" w:hAnsi="楷体_GB2312" w:eastAsia="楷体_GB2312" w:cs="楷体_GB2312"/>
                <w:color w:val="auto"/>
                <w:sz w:val="24"/>
                <w:szCs w:val="24"/>
                <w:lang w:val="en-US" w:eastAsia="zh-CN"/>
              </w:rPr>
              <w:t>2</w:t>
            </w:r>
          </w:p>
        </w:tc>
        <w:tc>
          <w:tcPr>
            <w:tcW w:w="1141"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85"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光明</w:t>
            </w:r>
          </w:p>
        </w:tc>
        <w:tc>
          <w:tcPr>
            <w:tcW w:w="1545"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w:t>
            </w:r>
          </w:p>
        </w:tc>
        <w:tc>
          <w:tcPr>
            <w:tcW w:w="1350"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348" w:type="dxa"/>
            <w:shd w:val="clear" w:color="auto" w:fill="auto"/>
            <w:vAlign w:val="center"/>
          </w:tcPr>
          <w:p>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firstLine="0" w:firstLineChars="0"/>
              <w:jc w:val="center"/>
              <w:textAlignment w:val="auto"/>
              <w:outlineLvl w:val="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440" w:type="dxa"/>
            <w:shd w:val="clear" w:color="auto" w:fill="auto"/>
            <w:vAlign w:val="center"/>
          </w:tcPr>
          <w:p>
            <w:pPr>
              <w:pStyle w:val="4"/>
              <w:keepNext/>
              <w:keepLines/>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outlineLvl w:val="0"/>
              <w:rPr>
                <w:rFonts w:hint="eastAsia" w:ascii="仿宋_GB2312" w:hAnsi="仿宋_GB2312" w:eastAsia="仿宋_GB2312" w:cs="仿宋_GB2312"/>
                <w:color w:val="auto"/>
                <w:sz w:val="24"/>
                <w:szCs w:val="24"/>
                <w:lang w:val="en-US" w:eastAsia="zh-CN"/>
              </w:rPr>
            </w:pPr>
            <w:r>
              <w:rPr>
                <w:rFonts w:hint="eastAsia" w:ascii="楷体_GB2312" w:hAnsi="楷体_GB2312" w:eastAsia="楷体_GB2312" w:cs="楷体_GB2312"/>
                <w:color w:val="auto"/>
                <w:sz w:val="24"/>
                <w:szCs w:val="24"/>
                <w:lang w:val="en-US" w:eastAsia="zh-CN"/>
              </w:rPr>
              <w:t>0</w:t>
            </w:r>
          </w:p>
        </w:tc>
        <w:tc>
          <w:tcPr>
            <w:tcW w:w="1141"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85"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新湖</w:t>
            </w:r>
          </w:p>
        </w:tc>
        <w:tc>
          <w:tcPr>
            <w:tcW w:w="1545"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w:t>
            </w:r>
          </w:p>
        </w:tc>
        <w:tc>
          <w:tcPr>
            <w:tcW w:w="1350"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348" w:type="dxa"/>
            <w:shd w:val="clear" w:color="auto" w:fill="auto"/>
            <w:vAlign w:val="center"/>
          </w:tcPr>
          <w:p>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firstLine="0" w:firstLineChars="0"/>
              <w:jc w:val="center"/>
              <w:textAlignment w:val="auto"/>
              <w:outlineLvl w:val="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440" w:type="dxa"/>
            <w:shd w:val="clear" w:color="auto" w:fill="auto"/>
            <w:vAlign w:val="center"/>
          </w:tcPr>
          <w:p>
            <w:pPr>
              <w:pStyle w:val="4"/>
              <w:keepNext/>
              <w:keepLines/>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outlineLvl w:val="0"/>
              <w:rPr>
                <w:rFonts w:hint="eastAsia" w:ascii="仿宋_GB2312" w:hAnsi="仿宋_GB2312" w:eastAsia="仿宋_GB2312" w:cs="仿宋_GB2312"/>
                <w:color w:val="auto"/>
                <w:sz w:val="24"/>
                <w:szCs w:val="24"/>
                <w:lang w:val="en-US" w:eastAsia="zh-CN"/>
              </w:rPr>
            </w:pPr>
            <w:r>
              <w:rPr>
                <w:rFonts w:hint="eastAsia" w:ascii="楷体_GB2312" w:hAnsi="楷体_GB2312" w:eastAsia="楷体_GB2312" w:cs="楷体_GB2312"/>
                <w:color w:val="auto"/>
                <w:sz w:val="24"/>
                <w:szCs w:val="24"/>
                <w:lang w:val="en-US" w:eastAsia="zh-CN"/>
              </w:rPr>
              <w:t>0</w:t>
            </w:r>
          </w:p>
        </w:tc>
        <w:tc>
          <w:tcPr>
            <w:tcW w:w="1141"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85"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凤凰</w:t>
            </w:r>
          </w:p>
        </w:tc>
        <w:tc>
          <w:tcPr>
            <w:tcW w:w="1545"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w:t>
            </w:r>
          </w:p>
        </w:tc>
        <w:tc>
          <w:tcPr>
            <w:tcW w:w="1350"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348" w:type="dxa"/>
            <w:shd w:val="clear" w:color="auto" w:fill="auto"/>
            <w:vAlign w:val="center"/>
          </w:tcPr>
          <w:p>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firstLine="0" w:firstLineChars="0"/>
              <w:jc w:val="center"/>
              <w:textAlignment w:val="auto"/>
              <w:outlineLvl w:val="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440" w:type="dxa"/>
            <w:shd w:val="clear" w:color="auto" w:fill="auto"/>
            <w:vAlign w:val="center"/>
          </w:tcPr>
          <w:p>
            <w:pPr>
              <w:pStyle w:val="4"/>
              <w:keepNext/>
              <w:keepLines/>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outlineLvl w:val="0"/>
              <w:rPr>
                <w:rFonts w:hint="eastAsia" w:ascii="仿宋_GB2312" w:hAnsi="仿宋_GB2312" w:eastAsia="仿宋_GB2312" w:cs="仿宋_GB2312"/>
                <w:color w:val="auto"/>
                <w:sz w:val="24"/>
                <w:szCs w:val="24"/>
                <w:lang w:val="en-US" w:eastAsia="zh-CN"/>
              </w:rPr>
            </w:pPr>
            <w:r>
              <w:rPr>
                <w:rFonts w:hint="eastAsia" w:ascii="楷体_GB2312" w:hAnsi="楷体_GB2312" w:eastAsia="楷体_GB2312" w:cs="楷体_GB2312"/>
                <w:color w:val="auto"/>
                <w:sz w:val="24"/>
                <w:szCs w:val="24"/>
                <w:lang w:val="en-US" w:eastAsia="zh-CN"/>
              </w:rPr>
              <w:t>0</w:t>
            </w:r>
          </w:p>
        </w:tc>
        <w:tc>
          <w:tcPr>
            <w:tcW w:w="1141"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85"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玉塘</w:t>
            </w:r>
          </w:p>
        </w:tc>
        <w:tc>
          <w:tcPr>
            <w:tcW w:w="1545"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w:t>
            </w:r>
          </w:p>
        </w:tc>
        <w:tc>
          <w:tcPr>
            <w:tcW w:w="1350"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348" w:type="dxa"/>
            <w:shd w:val="clear" w:color="auto" w:fill="auto"/>
            <w:vAlign w:val="center"/>
          </w:tcPr>
          <w:p>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firstLine="0" w:firstLineChars="0"/>
              <w:jc w:val="center"/>
              <w:textAlignment w:val="auto"/>
              <w:outlineLvl w:val="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440" w:type="dxa"/>
            <w:shd w:val="clear" w:color="auto" w:fill="auto"/>
            <w:vAlign w:val="center"/>
          </w:tcPr>
          <w:p>
            <w:pPr>
              <w:pStyle w:val="4"/>
              <w:keepNext/>
              <w:keepLines/>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outlineLvl w:val="0"/>
              <w:rPr>
                <w:rFonts w:hint="eastAsia" w:ascii="仿宋_GB2312" w:hAnsi="仿宋_GB2312" w:eastAsia="仿宋_GB2312" w:cs="仿宋_GB2312"/>
                <w:color w:val="auto"/>
                <w:sz w:val="24"/>
                <w:szCs w:val="24"/>
                <w:lang w:val="en-US" w:eastAsia="zh-CN"/>
              </w:rPr>
            </w:pPr>
            <w:r>
              <w:rPr>
                <w:rFonts w:hint="eastAsia" w:ascii="楷体_GB2312" w:hAnsi="楷体_GB2312" w:eastAsia="楷体_GB2312" w:cs="楷体_GB2312"/>
                <w:color w:val="auto"/>
                <w:sz w:val="24"/>
                <w:szCs w:val="24"/>
                <w:lang w:val="en-US" w:eastAsia="zh-CN"/>
              </w:rPr>
              <w:t>2</w:t>
            </w:r>
          </w:p>
        </w:tc>
        <w:tc>
          <w:tcPr>
            <w:tcW w:w="1141"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85"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马田</w:t>
            </w:r>
          </w:p>
        </w:tc>
        <w:tc>
          <w:tcPr>
            <w:tcW w:w="1545"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w:t>
            </w:r>
          </w:p>
        </w:tc>
        <w:tc>
          <w:tcPr>
            <w:tcW w:w="1350"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348" w:type="dxa"/>
            <w:shd w:val="clear" w:color="auto" w:fill="auto"/>
            <w:vAlign w:val="center"/>
          </w:tcPr>
          <w:p>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firstLine="0" w:firstLineChars="0"/>
              <w:jc w:val="center"/>
              <w:textAlignment w:val="auto"/>
              <w:outlineLvl w:val="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440" w:type="dxa"/>
            <w:shd w:val="clear" w:color="auto" w:fill="auto"/>
            <w:vAlign w:val="center"/>
          </w:tcPr>
          <w:p>
            <w:pPr>
              <w:pStyle w:val="4"/>
              <w:keepNext/>
              <w:keepLines/>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outlineLvl w:val="0"/>
              <w:rPr>
                <w:rFonts w:hint="eastAsia" w:ascii="仿宋_GB2312" w:hAnsi="仿宋_GB2312" w:eastAsia="仿宋_GB2312" w:cs="仿宋_GB2312"/>
                <w:color w:val="auto"/>
                <w:sz w:val="24"/>
                <w:szCs w:val="24"/>
                <w:lang w:val="en-US" w:eastAsia="zh-CN"/>
              </w:rPr>
            </w:pPr>
            <w:r>
              <w:rPr>
                <w:rFonts w:hint="eastAsia" w:ascii="楷体_GB2312" w:hAnsi="楷体_GB2312" w:eastAsia="楷体_GB2312" w:cs="楷体_GB2312"/>
                <w:color w:val="auto"/>
                <w:sz w:val="24"/>
                <w:szCs w:val="24"/>
                <w:lang w:val="en-US" w:eastAsia="zh-CN"/>
              </w:rPr>
              <w:t>3</w:t>
            </w:r>
          </w:p>
        </w:tc>
        <w:tc>
          <w:tcPr>
            <w:tcW w:w="1141"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85"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合计</w:t>
            </w:r>
          </w:p>
        </w:tc>
        <w:tc>
          <w:tcPr>
            <w:tcW w:w="1545"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12（7）</w:t>
            </w:r>
          </w:p>
        </w:tc>
        <w:tc>
          <w:tcPr>
            <w:tcW w:w="1350"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19</w:t>
            </w:r>
          </w:p>
        </w:tc>
        <w:tc>
          <w:tcPr>
            <w:tcW w:w="1348" w:type="dxa"/>
            <w:shd w:val="clear" w:color="auto" w:fill="auto"/>
            <w:vAlign w:val="center"/>
          </w:tcPr>
          <w:p>
            <w:pPr>
              <w:pStyle w:val="4"/>
              <w:keepNext/>
              <w:keepLines/>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outlineLvl w:val="0"/>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28</w:t>
            </w:r>
          </w:p>
        </w:tc>
        <w:tc>
          <w:tcPr>
            <w:tcW w:w="1440" w:type="dxa"/>
            <w:shd w:val="clear" w:color="auto" w:fill="auto"/>
            <w:vAlign w:val="center"/>
          </w:tcPr>
          <w:p>
            <w:pPr>
              <w:pStyle w:val="4"/>
              <w:keepNext/>
              <w:keepLines/>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outlineLvl w:val="0"/>
              <w:rPr>
                <w:rFonts w:hint="eastAsia" w:ascii="仿宋_GB2312" w:hAnsi="仿宋_GB2312" w:eastAsia="仿宋_GB2312" w:cs="仿宋_GB2312"/>
                <w:b/>
                <w:bCs/>
                <w:color w:val="auto"/>
                <w:sz w:val="24"/>
                <w:szCs w:val="24"/>
                <w:highlight w:val="none"/>
                <w:lang w:val="en-US" w:eastAsia="zh-CN"/>
              </w:rPr>
            </w:pPr>
            <w:r>
              <w:rPr>
                <w:rFonts w:hint="eastAsia" w:ascii="楷体_GB2312" w:hAnsi="楷体_GB2312" w:eastAsia="楷体_GB2312" w:cs="楷体_GB2312"/>
                <w:b/>
                <w:bCs/>
                <w:color w:val="auto"/>
                <w:sz w:val="24"/>
                <w:szCs w:val="24"/>
                <w:lang w:val="en-US" w:eastAsia="zh-CN"/>
              </w:rPr>
              <w:t>7</w:t>
            </w:r>
          </w:p>
        </w:tc>
        <w:tc>
          <w:tcPr>
            <w:tcW w:w="1141"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66</w:t>
            </w:r>
          </w:p>
        </w:tc>
      </w:tr>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tbl>
    <w:p>
      <w:pPr>
        <w:keepNext w:val="0"/>
        <w:keepLines w:val="0"/>
        <w:pageBreakBefore w:val="0"/>
        <w:widowControl w:val="0"/>
        <w:kinsoku/>
        <w:wordWrap/>
        <w:overflowPunct/>
        <w:topLinePunct w:val="0"/>
        <w:autoSpaceDE/>
        <w:autoSpaceDN/>
        <w:bidi w:val="0"/>
        <w:adjustRightInd/>
        <w:snapToGrid/>
        <w:spacing w:before="157" w:beforeLines="50" w:afterLines="0" w:line="560" w:lineRule="exact"/>
        <w:ind w:firstLine="642" w:firstLineChars="200"/>
        <w:jc w:val="both"/>
        <w:textAlignment w:val="auto"/>
        <w:rPr>
          <w:rFonts w:hint="eastAsia" w:ascii="仿宋_GB2312" w:hAnsi="仿宋_GB2312" w:eastAsia="仿宋_GB2312" w:cs="仿宋_GB2312"/>
          <w:b w:val="0"/>
          <w:bCs/>
          <w:color w:val="auto"/>
          <w:sz w:val="32"/>
          <w:szCs w:val="32"/>
          <w:highlight w:val="none"/>
          <w:lang w:val="en-US" w:eastAsia="zh-CN"/>
        </w:rPr>
      </w:pPr>
      <w:bookmarkStart w:id="2320" w:name="_Toc1536"/>
      <w:bookmarkStart w:id="2321" w:name="_Toc23349"/>
      <w:bookmarkStart w:id="2322" w:name="_Toc4581"/>
      <w:bookmarkStart w:id="2323" w:name="_Toc21578"/>
      <w:bookmarkStart w:id="2324" w:name="_Toc23648"/>
      <w:bookmarkStart w:id="2325" w:name="_Toc22075"/>
      <w:bookmarkStart w:id="2326" w:name="_Toc12874"/>
      <w:bookmarkStart w:id="2327" w:name="_Toc23792"/>
      <w:bookmarkStart w:id="2328" w:name="_Toc11585"/>
      <w:bookmarkStart w:id="2329" w:name="_Toc22484"/>
      <w:bookmarkStart w:id="2330" w:name="_Toc10169"/>
      <w:bookmarkStart w:id="2331" w:name="_Toc22957"/>
      <w:bookmarkStart w:id="2332" w:name="_Toc30615"/>
      <w:bookmarkStart w:id="2333" w:name="_Toc1406"/>
      <w:bookmarkStart w:id="2334" w:name="_Toc21620"/>
      <w:bookmarkStart w:id="2335" w:name="_Toc32516"/>
      <w:bookmarkStart w:id="2336" w:name="_Toc16972"/>
      <w:bookmarkStart w:id="2337" w:name="_Toc22958"/>
      <w:bookmarkStart w:id="2338" w:name="_Toc5508"/>
      <w:bookmarkStart w:id="2339" w:name="_Toc30185"/>
      <w:bookmarkStart w:id="2340" w:name="_Toc17470"/>
      <w:bookmarkStart w:id="2341" w:name="_Toc24971"/>
      <w:bookmarkStart w:id="2342" w:name="_Toc17088"/>
      <w:bookmarkStart w:id="2343" w:name="_Toc18766"/>
      <w:bookmarkStart w:id="2344" w:name="_Toc28952"/>
      <w:bookmarkStart w:id="2345" w:name="_Toc13016"/>
      <w:bookmarkStart w:id="2346" w:name="_Toc3994"/>
      <w:bookmarkStart w:id="2347" w:name="_Toc6692"/>
      <w:bookmarkStart w:id="2348" w:name="_Toc5785"/>
      <w:bookmarkStart w:id="2349" w:name="_Toc13875"/>
      <w:bookmarkStart w:id="2350" w:name="_Toc13225"/>
      <w:bookmarkStart w:id="2351" w:name="_Toc16599"/>
      <w:bookmarkStart w:id="2352" w:name="_Toc6373"/>
      <w:bookmarkStart w:id="2353" w:name="_Toc6345"/>
      <w:bookmarkStart w:id="2354" w:name="_Toc19155"/>
      <w:bookmarkStart w:id="2355" w:name="_Toc13013"/>
      <w:bookmarkStart w:id="2356" w:name="_Toc23527"/>
      <w:bookmarkStart w:id="2357" w:name="_Toc31367"/>
      <w:bookmarkStart w:id="2358" w:name="_Toc10861"/>
      <w:bookmarkStart w:id="2359" w:name="_Toc20433"/>
      <w:bookmarkStart w:id="2360" w:name="_Toc31048"/>
      <w:bookmarkStart w:id="2361" w:name="_Toc7072"/>
      <w:bookmarkStart w:id="2362" w:name="_Toc10162"/>
      <w:bookmarkStart w:id="2363" w:name="_Toc753"/>
      <w:bookmarkStart w:id="2364" w:name="_Toc5764"/>
      <w:bookmarkStart w:id="2365" w:name="_Toc3141"/>
      <w:bookmarkStart w:id="2366" w:name="_Toc6082"/>
      <w:bookmarkStart w:id="2367" w:name="_Toc3889"/>
      <w:bookmarkStart w:id="2368" w:name="_Toc3499"/>
      <w:bookmarkStart w:id="2369" w:name="_Toc29119"/>
      <w:bookmarkStart w:id="2370" w:name="_Toc5589"/>
      <w:bookmarkStart w:id="2371" w:name="_Toc2939"/>
      <w:bookmarkStart w:id="2372" w:name="_Toc584"/>
      <w:bookmarkStart w:id="2373" w:name="_Toc19202"/>
      <w:bookmarkStart w:id="2374" w:name="_Toc27728"/>
      <w:bookmarkStart w:id="2375" w:name="_Toc28836"/>
      <w:r>
        <w:rPr>
          <w:rFonts w:hint="eastAsia" w:ascii="仿宋_GB2312" w:hAnsi="仿宋_GB2312" w:eastAsia="仿宋_GB2312" w:cs="仿宋_GB2312"/>
          <w:b/>
          <w:bCs/>
          <w:color w:val="auto"/>
          <w:sz w:val="32"/>
          <w:highlight w:val="none"/>
          <w:lang w:eastAsia="zh-CN"/>
        </w:rPr>
        <w:t>24.推动优质医疗资源扩容下沉。</w:t>
      </w:r>
      <w:r>
        <w:rPr>
          <w:rFonts w:hint="eastAsia" w:ascii="仿宋_GB2312" w:hAnsi="仿宋_GB2312" w:eastAsia="仿宋_GB2312" w:cs="仿宋_GB2312"/>
          <w:color w:val="auto"/>
          <w:sz w:val="32"/>
          <w:highlight w:val="none"/>
          <w:lang w:eastAsia="zh-CN"/>
        </w:rPr>
        <w:t>推进7家社区医院建设，优化老年、康复、护理、安宁疗护等服务供给。着力提升社区健康服务机构设施设备配置水平，到2025年实现区属医院举办社康机构设备设施更新换代。加强高血压、糖尿病、慢性阻塞性肺气肿等慢性病患者用药配置，推动智能血压计、智能血糖仪等智能健康设备进社康、进家庭，提高社区健康服务数字化、智能化水平。加强社康机构规范化建设，完成26家社康机构业务用房性质置换，保障社区健康服务的稳定性、连续性，将社区健康服务机构建设成为居民健康管理服务的基础平台。</w:t>
      </w:r>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eastAsia" w:ascii="仿宋_GB2312" w:hAnsi="仿宋_GB2312" w:eastAsia="仿宋_GB2312" w:cs="仿宋_GB2312"/>
          <w:bCs/>
          <w:color w:val="auto"/>
          <w:sz w:val="32"/>
          <w:szCs w:val="32"/>
        </w:rPr>
      </w:pPr>
      <w:r>
        <w:rPr>
          <w:rFonts w:hint="eastAsia" w:ascii="仿宋_GB2312" w:eastAsia="仿宋_GB2312" w:cstheme="minorBidi"/>
          <w:b/>
          <w:color w:val="auto"/>
          <w:sz w:val="32"/>
          <w:szCs w:val="32"/>
          <w:lang w:val="en-US" w:eastAsia="zh-CN"/>
        </w:rPr>
        <w:t>25.</w:t>
      </w:r>
      <w:r>
        <w:rPr>
          <w:rFonts w:hint="eastAsia" w:ascii="仿宋_GB2312" w:hAnsi="Times New Roman" w:eastAsia="仿宋_GB2312" w:cstheme="minorBidi"/>
          <w:b/>
          <w:color w:val="auto"/>
          <w:sz w:val="32"/>
          <w:szCs w:val="32"/>
        </w:rPr>
        <w:t>优化“社康+”健康服务模式</w:t>
      </w:r>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r>
        <w:rPr>
          <w:rFonts w:hint="eastAsia" w:ascii="仿宋_GB2312" w:eastAsia="仿宋_GB2312" w:cstheme="minorBidi"/>
          <w:b/>
          <w:color w:val="auto"/>
          <w:sz w:val="32"/>
          <w:szCs w:val="32"/>
          <w:lang w:eastAsia="zh-CN"/>
        </w:rPr>
        <w:t>。</w:t>
      </w:r>
      <w:r>
        <w:rPr>
          <w:rFonts w:hint="eastAsia" w:ascii="仿宋_GB2312" w:hAnsi="仿宋_GB2312" w:eastAsia="仿宋_GB2312" w:cs="仿宋_GB2312"/>
          <w:bCs/>
          <w:color w:val="auto"/>
          <w:sz w:val="32"/>
          <w:szCs w:val="32"/>
        </w:rPr>
        <w:t>推进特色社康建设，结合各社康服务人群与人才力量等基础条件，</w:t>
      </w:r>
      <w:r>
        <w:rPr>
          <w:rFonts w:hint="eastAsia" w:ascii="仿宋_GB2312" w:hAnsi="仿宋_GB2312" w:eastAsia="仿宋_GB2312" w:cs="仿宋_GB2312"/>
          <w:bCs/>
          <w:color w:val="auto"/>
          <w:sz w:val="32"/>
          <w:szCs w:val="32"/>
          <w:lang w:eastAsia="zh-CN"/>
        </w:rPr>
        <w:t>打造</w:t>
      </w:r>
      <w:r>
        <w:rPr>
          <w:rFonts w:hint="eastAsia" w:ascii="仿宋_GB2312" w:hAnsi="仿宋_GB2312" w:eastAsia="仿宋_GB2312" w:cs="仿宋_GB2312"/>
          <w:bCs/>
          <w:color w:val="auto"/>
          <w:sz w:val="32"/>
          <w:szCs w:val="32"/>
        </w:rPr>
        <w:t>老年保健、中医保健、妇幼保健、慢性病防治、心脑血管防治、</w:t>
      </w:r>
      <w:r>
        <w:rPr>
          <w:rFonts w:hint="eastAsia" w:ascii="仿宋_GB2312" w:hAnsi="仿宋_GB2312" w:eastAsia="仿宋_GB2312" w:cs="仿宋_GB2312"/>
          <w:bCs/>
          <w:color w:val="auto"/>
          <w:sz w:val="32"/>
          <w:szCs w:val="32"/>
          <w:lang w:eastAsia="zh-CN"/>
        </w:rPr>
        <w:t>精神卫生、运动健康、营养健康、戒烟服务、心理健康等服务特色，推动区域</w:t>
      </w:r>
      <w:r>
        <w:rPr>
          <w:rFonts w:hint="eastAsia" w:ascii="仿宋_GB2312" w:hAnsi="仿宋_GB2312" w:eastAsia="仿宋_GB2312" w:cs="仿宋_GB2312"/>
          <w:bCs/>
          <w:color w:val="auto"/>
          <w:sz w:val="32"/>
          <w:szCs w:val="32"/>
        </w:rPr>
        <w:t>社康内部资源共享、错位发展。</w:t>
      </w:r>
      <w:r>
        <w:rPr>
          <w:rFonts w:hint="eastAsia" w:ascii="仿宋_GB2312" w:hAnsi="仿宋_GB2312" w:eastAsia="仿宋_GB2312" w:cs="仿宋_GB2312"/>
          <w:bCs/>
          <w:color w:val="auto"/>
          <w:sz w:val="32"/>
          <w:szCs w:val="32"/>
          <w:lang w:eastAsia="zh-CN"/>
        </w:rPr>
        <w:t>组织实施智慧健康社区健康规范，提升社区健康服务数字化、智能化水平。</w:t>
      </w:r>
      <w:r>
        <w:rPr>
          <w:rFonts w:hint="eastAsia" w:ascii="仿宋_GB2312" w:hAnsi="仿宋_GB2312" w:eastAsia="仿宋_GB2312" w:cs="仿宋_GB2312"/>
          <w:bCs/>
          <w:color w:val="auto"/>
          <w:sz w:val="32"/>
          <w:szCs w:val="32"/>
          <w:highlight w:val="none"/>
          <w:lang w:eastAsia="zh-CN"/>
        </w:rPr>
        <w:t>推动</w:t>
      </w:r>
      <w:r>
        <w:rPr>
          <w:rFonts w:hint="eastAsia" w:ascii="仿宋_GB2312" w:hAnsi="仿宋_GB2312" w:eastAsia="仿宋_GB2312" w:cs="仿宋_GB2312"/>
          <w:bCs/>
          <w:color w:val="auto"/>
          <w:sz w:val="32"/>
          <w:szCs w:val="32"/>
          <w:highlight w:val="none"/>
        </w:rPr>
        <w:t>家</w:t>
      </w:r>
      <w:r>
        <w:rPr>
          <w:rFonts w:hint="eastAsia" w:ascii="仿宋_GB2312" w:hAnsi="仿宋_GB2312" w:eastAsia="仿宋_GB2312" w:cs="仿宋_GB2312"/>
          <w:bCs/>
          <w:color w:val="auto"/>
          <w:sz w:val="32"/>
          <w:szCs w:val="32"/>
          <w:highlight w:val="none"/>
          <w:lang w:val="en-US" w:eastAsia="zh-CN"/>
        </w:rPr>
        <w:t>庭病</w:t>
      </w:r>
      <w:r>
        <w:rPr>
          <w:rFonts w:hint="eastAsia" w:ascii="仿宋_GB2312" w:hAnsi="仿宋_GB2312" w:eastAsia="仿宋_GB2312" w:cs="仿宋_GB2312"/>
          <w:bCs/>
          <w:color w:val="auto"/>
          <w:sz w:val="32"/>
          <w:szCs w:val="32"/>
          <w:highlight w:val="none"/>
        </w:rPr>
        <w:t>床服务机构配置适宜的智慧医疗系统、智能健康信息监测设备、物联网设备</w:t>
      </w:r>
      <w:r>
        <w:rPr>
          <w:rFonts w:hint="eastAsia" w:ascii="仿宋_GB2312" w:hAnsi="仿宋_GB2312" w:eastAsia="仿宋_GB2312" w:cs="仿宋_GB2312"/>
          <w:bCs/>
          <w:color w:val="auto"/>
          <w:sz w:val="32"/>
          <w:szCs w:val="32"/>
          <w:highlight w:val="none"/>
          <w:lang w:eastAsia="zh-CN"/>
        </w:rPr>
        <w:t>等。</w:t>
      </w:r>
    </w:p>
    <w:p>
      <w:pPr>
        <w:keepNext w:val="0"/>
        <w:keepLines w:val="0"/>
        <w:pageBreakBefore w:val="0"/>
        <w:widowControl w:val="0"/>
        <w:shd w:val="clear"/>
        <w:kinsoku/>
        <w:wordWrap/>
        <w:overflowPunct/>
        <w:topLinePunct w:val="0"/>
        <w:autoSpaceDN/>
        <w:bidi w:val="0"/>
        <w:snapToGrid w:val="0"/>
        <w:spacing w:line="560" w:lineRule="exact"/>
        <w:ind w:firstLine="640" w:firstLineChars="200"/>
        <w:jc w:val="both"/>
        <w:textAlignment w:val="auto"/>
        <w:outlineLvl w:val="2"/>
        <w:rPr>
          <w:rFonts w:hint="eastAsia" w:ascii="黑体" w:hAnsi="黑体" w:eastAsia="黑体" w:cs="黑体"/>
          <w:bCs/>
          <w:color w:val="auto"/>
          <w:sz w:val="32"/>
          <w:szCs w:val="32"/>
          <w:lang w:val="en-US" w:eastAsia="zh-CN"/>
        </w:rPr>
      </w:pPr>
      <w:bookmarkStart w:id="2376" w:name="_Toc17924"/>
      <w:bookmarkStart w:id="2377" w:name="_Toc21952"/>
      <w:bookmarkStart w:id="2378" w:name="_Toc26724"/>
      <w:bookmarkStart w:id="2379" w:name="_Toc2145326290_WPSOffice_Level3"/>
      <w:bookmarkStart w:id="2380" w:name="_Toc12363"/>
      <w:bookmarkStart w:id="2381" w:name="_Toc5681"/>
      <w:bookmarkStart w:id="2382" w:name="_Toc30737"/>
      <w:bookmarkStart w:id="2383" w:name="_Toc4357"/>
      <w:bookmarkStart w:id="2384" w:name="_Toc27539"/>
      <w:bookmarkStart w:id="2385" w:name="_Toc25021"/>
      <w:bookmarkStart w:id="2386" w:name="_Toc22362"/>
      <w:bookmarkStart w:id="2387" w:name="_Toc19370"/>
      <w:bookmarkStart w:id="2388" w:name="_Toc29139"/>
      <w:bookmarkStart w:id="2389" w:name="_Toc7709"/>
      <w:bookmarkStart w:id="2390" w:name="_Toc24598"/>
      <w:bookmarkStart w:id="2391" w:name="_Toc18235"/>
      <w:bookmarkStart w:id="2392" w:name="_Toc30645"/>
      <w:bookmarkStart w:id="2393" w:name="_Toc4138"/>
      <w:bookmarkStart w:id="2394" w:name="_Toc29524"/>
      <w:bookmarkStart w:id="2395" w:name="_Toc14779"/>
      <w:bookmarkStart w:id="2396" w:name="_Toc23828"/>
      <w:bookmarkStart w:id="2397" w:name="_Toc29061"/>
      <w:bookmarkStart w:id="2398" w:name="_Toc31614"/>
      <w:bookmarkStart w:id="2399" w:name="_Toc15855"/>
      <w:bookmarkStart w:id="2400" w:name="_Toc24169"/>
      <w:bookmarkStart w:id="2401" w:name="_Toc14489"/>
      <w:bookmarkStart w:id="2402" w:name="_Toc15360"/>
      <w:bookmarkStart w:id="2403" w:name="_Toc32428"/>
      <w:bookmarkStart w:id="2404" w:name="_Toc25579"/>
      <w:bookmarkStart w:id="2405" w:name="_Toc28720"/>
      <w:bookmarkStart w:id="2406" w:name="_Toc27326"/>
      <w:bookmarkStart w:id="2407" w:name="_Toc13809"/>
      <w:bookmarkStart w:id="2408" w:name="_Toc9894"/>
      <w:bookmarkStart w:id="2409" w:name="_Toc803"/>
      <w:bookmarkStart w:id="2410" w:name="_Toc30288"/>
      <w:bookmarkStart w:id="2411" w:name="_Toc13706"/>
      <w:bookmarkStart w:id="2412" w:name="_Toc20317"/>
      <w:bookmarkStart w:id="2413" w:name="_Toc4941"/>
      <w:bookmarkStart w:id="2414" w:name="_Toc18621"/>
      <w:bookmarkStart w:id="2415" w:name="_Toc18529"/>
      <w:bookmarkStart w:id="2416" w:name="_Toc20519"/>
      <w:bookmarkStart w:id="2417" w:name="_Toc7363"/>
      <w:bookmarkStart w:id="2418" w:name="_Toc2937"/>
      <w:bookmarkStart w:id="2419" w:name="_Toc1574"/>
      <w:bookmarkStart w:id="2420" w:name="_Toc13644"/>
      <w:bookmarkStart w:id="2421" w:name="_Toc121"/>
      <w:bookmarkStart w:id="2422" w:name="_Toc5339"/>
      <w:bookmarkStart w:id="2423" w:name="_Toc26922"/>
      <w:bookmarkStart w:id="2424" w:name="_Toc19184"/>
      <w:bookmarkStart w:id="2425" w:name="_Toc25876"/>
      <w:bookmarkStart w:id="2426" w:name="_Toc10161"/>
      <w:bookmarkStart w:id="2427" w:name="_Toc25956"/>
      <w:bookmarkStart w:id="2428" w:name="_Toc12710"/>
      <w:bookmarkStart w:id="2429" w:name="_Toc1652"/>
      <w:bookmarkStart w:id="2430" w:name="_Toc8280"/>
      <w:bookmarkStart w:id="2431" w:name="_Toc10791"/>
      <w:bookmarkStart w:id="2432" w:name="_Toc1630"/>
      <w:r>
        <w:rPr>
          <w:rFonts w:hint="eastAsia" w:ascii="黑体" w:hAnsi="黑体" w:eastAsia="黑体" w:cs="黑体"/>
          <w:bCs/>
          <w:color w:val="auto"/>
          <w:sz w:val="32"/>
          <w:szCs w:val="32"/>
          <w:lang w:eastAsia="zh-CN"/>
        </w:rPr>
        <w:t>四、</w:t>
      </w:r>
      <w:r>
        <w:rPr>
          <w:rFonts w:hint="eastAsia" w:ascii="黑体" w:hAnsi="黑体" w:eastAsia="黑体" w:cs="黑体"/>
          <w:bCs/>
          <w:color w:val="auto"/>
          <w:sz w:val="32"/>
          <w:szCs w:val="32"/>
          <w:lang w:val="en-US" w:eastAsia="zh-CN"/>
        </w:rPr>
        <w:t>深化医疗卫生体制改革</w:t>
      </w:r>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eastAsia" w:ascii="仿宋_GB2312" w:hAnsi="仿宋_GB2312" w:eastAsia="仿宋_GB2312" w:cs="仿宋_GB2312"/>
          <w:bCs/>
          <w:color w:val="auto"/>
          <w:sz w:val="32"/>
          <w:szCs w:val="32"/>
        </w:rPr>
      </w:pPr>
      <w:bookmarkStart w:id="2433" w:name="_Toc24539"/>
      <w:bookmarkStart w:id="2434" w:name="_Toc1828"/>
      <w:bookmarkStart w:id="2435" w:name="_Toc7006"/>
      <w:bookmarkStart w:id="2436" w:name="_Toc2597"/>
      <w:bookmarkStart w:id="2437" w:name="_Toc2530"/>
      <w:bookmarkStart w:id="2438" w:name="_Toc14309"/>
      <w:bookmarkStart w:id="2439" w:name="_Toc3707"/>
      <w:bookmarkStart w:id="2440" w:name="_Toc3590"/>
      <w:bookmarkStart w:id="2441" w:name="_Toc21902"/>
      <w:bookmarkStart w:id="2442" w:name="_Toc4430"/>
      <w:bookmarkStart w:id="2443" w:name="_Toc24100"/>
      <w:bookmarkStart w:id="2444" w:name="_Toc16799"/>
      <w:bookmarkStart w:id="2445" w:name="_Toc19719"/>
      <w:bookmarkStart w:id="2446" w:name="_Toc2856"/>
      <w:bookmarkStart w:id="2447" w:name="_Toc13080"/>
      <w:bookmarkStart w:id="2448" w:name="_Toc18782"/>
      <w:bookmarkStart w:id="2449" w:name="_Toc1537"/>
      <w:bookmarkStart w:id="2450" w:name="_Toc3155"/>
      <w:bookmarkStart w:id="2451" w:name="_Toc10101"/>
      <w:bookmarkStart w:id="2452" w:name="_Toc563"/>
      <w:bookmarkStart w:id="2453" w:name="_Toc10412"/>
      <w:bookmarkStart w:id="2454" w:name="_Toc27475"/>
      <w:bookmarkStart w:id="2455" w:name="_Toc25248"/>
      <w:bookmarkStart w:id="2456" w:name="_Toc4071"/>
      <w:bookmarkStart w:id="2457" w:name="_Toc10858"/>
      <w:bookmarkStart w:id="2458" w:name="_Toc29054"/>
      <w:bookmarkStart w:id="2459" w:name="_Toc22419"/>
      <w:bookmarkStart w:id="2460" w:name="_Toc20975"/>
      <w:bookmarkStart w:id="2461" w:name="_Toc19247"/>
      <w:bookmarkStart w:id="2462" w:name="_Toc24120"/>
      <w:bookmarkStart w:id="2463" w:name="_Toc30347"/>
      <w:bookmarkStart w:id="2464" w:name="_Toc8316"/>
      <w:bookmarkStart w:id="2465" w:name="_Toc573"/>
      <w:bookmarkStart w:id="2466" w:name="_Toc23880"/>
      <w:bookmarkStart w:id="2467" w:name="_Toc30683"/>
      <w:bookmarkStart w:id="2468" w:name="_Toc29211"/>
      <w:bookmarkStart w:id="2469" w:name="_Toc24395"/>
      <w:bookmarkStart w:id="2470" w:name="_Toc4748"/>
      <w:bookmarkStart w:id="2471" w:name="_Toc2221"/>
      <w:bookmarkStart w:id="2472" w:name="_Toc23637"/>
      <w:bookmarkStart w:id="2473" w:name="_Toc116"/>
      <w:bookmarkStart w:id="2474" w:name="_Toc22398"/>
      <w:bookmarkStart w:id="2475" w:name="_Toc27363"/>
      <w:bookmarkStart w:id="2476" w:name="_Toc2627"/>
      <w:bookmarkStart w:id="2477" w:name="_Toc11120"/>
      <w:bookmarkStart w:id="2478" w:name="_Toc7472"/>
      <w:bookmarkStart w:id="2479" w:name="_Toc10679"/>
      <w:bookmarkStart w:id="2480" w:name="_Toc16605"/>
      <w:bookmarkStart w:id="2481" w:name="_Toc7572"/>
      <w:bookmarkStart w:id="2482" w:name="_Toc20450"/>
      <w:bookmarkStart w:id="2483" w:name="_Toc5412"/>
      <w:bookmarkStart w:id="2484" w:name="_Toc32666"/>
      <w:bookmarkStart w:id="2485" w:name="_Toc31979"/>
      <w:bookmarkStart w:id="2486" w:name="_Toc29956"/>
      <w:bookmarkStart w:id="2487" w:name="_Toc12008"/>
      <w:bookmarkStart w:id="2488" w:name="_Toc20547"/>
      <w:r>
        <w:rPr>
          <w:rFonts w:hint="eastAsia" w:ascii="仿宋_GB2312" w:hAnsi="仿宋_GB2312" w:eastAsia="仿宋_GB2312" w:cs="仿宋_GB2312"/>
          <w:b/>
          <w:bCs w:val="0"/>
          <w:color w:val="auto"/>
          <w:sz w:val="32"/>
          <w:szCs w:val="32"/>
          <w:lang w:val="en-US" w:eastAsia="zh-CN"/>
        </w:rPr>
        <w:t>26.推进整合型发展</w:t>
      </w:r>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r>
        <w:rPr>
          <w:rFonts w:hint="eastAsia" w:ascii="仿宋_GB2312" w:hAnsi="仿宋_GB2312" w:eastAsia="仿宋_GB2312" w:cs="仿宋_GB2312"/>
          <w:b/>
          <w:bCs w:val="0"/>
          <w:color w:val="auto"/>
          <w:sz w:val="32"/>
          <w:szCs w:val="32"/>
          <w:lang w:val="en-US" w:eastAsia="zh-CN"/>
        </w:rPr>
        <w:t>。</w:t>
      </w:r>
      <w:bookmarkStart w:id="2489" w:name="_Toc22814"/>
      <w:bookmarkStart w:id="2490" w:name="_Toc13274"/>
      <w:bookmarkStart w:id="2491" w:name="_Toc28354"/>
      <w:bookmarkStart w:id="2492" w:name="_Toc30133"/>
      <w:bookmarkStart w:id="2493" w:name="_Toc5291"/>
      <w:bookmarkStart w:id="2494" w:name="_Toc22715"/>
      <w:bookmarkStart w:id="2495" w:name="_Toc27886"/>
      <w:bookmarkStart w:id="2496" w:name="_Toc22545"/>
      <w:bookmarkStart w:id="2497" w:name="_Toc397"/>
      <w:bookmarkStart w:id="2498" w:name="_Toc26182"/>
      <w:bookmarkStart w:id="2499" w:name="_Toc25759"/>
      <w:bookmarkStart w:id="2500" w:name="_Toc31462"/>
      <w:bookmarkStart w:id="2501" w:name="_Toc3323"/>
      <w:bookmarkStart w:id="2502" w:name="_Toc29394"/>
      <w:bookmarkStart w:id="2503" w:name="_Toc28198"/>
      <w:bookmarkStart w:id="2504" w:name="_Toc23774"/>
      <w:bookmarkStart w:id="2505" w:name="_Toc10799"/>
      <w:bookmarkStart w:id="2506" w:name="_Toc11007"/>
      <w:bookmarkStart w:id="2507" w:name="_Toc32105"/>
      <w:bookmarkStart w:id="2508" w:name="_Toc4336"/>
      <w:bookmarkStart w:id="2509" w:name="_Toc2499"/>
      <w:bookmarkStart w:id="2510" w:name="_Toc19647"/>
      <w:bookmarkStart w:id="2511" w:name="_Toc7684"/>
      <w:bookmarkStart w:id="2512" w:name="_Toc27826"/>
      <w:bookmarkStart w:id="2513" w:name="_Toc17215"/>
      <w:bookmarkStart w:id="2514" w:name="_Toc6392"/>
      <w:bookmarkStart w:id="2515" w:name="_Toc14357"/>
      <w:bookmarkStart w:id="2516" w:name="_Toc7640"/>
      <w:bookmarkStart w:id="2517" w:name="_Toc466"/>
      <w:bookmarkStart w:id="2518" w:name="_Toc29813"/>
      <w:bookmarkStart w:id="2519" w:name="_Toc779"/>
      <w:bookmarkStart w:id="2520" w:name="_Toc26210"/>
      <w:bookmarkStart w:id="2521" w:name="_Toc25375"/>
      <w:bookmarkStart w:id="2522" w:name="_Toc29748"/>
      <w:bookmarkStart w:id="2523" w:name="_Toc26657"/>
      <w:bookmarkStart w:id="2524" w:name="_Toc28788"/>
      <w:bookmarkStart w:id="2525" w:name="_Toc16004"/>
      <w:bookmarkStart w:id="2526" w:name="_Toc6594"/>
      <w:bookmarkStart w:id="2527" w:name="_Toc26551"/>
      <w:bookmarkStart w:id="2528" w:name="_Toc27698"/>
      <w:bookmarkStart w:id="2529" w:name="_Toc1297"/>
      <w:bookmarkStart w:id="2530" w:name="_Toc3770"/>
      <w:bookmarkStart w:id="2531" w:name="_Toc21658"/>
      <w:bookmarkStart w:id="2532" w:name="_Toc2821"/>
      <w:bookmarkStart w:id="2533" w:name="_Toc27996"/>
      <w:bookmarkStart w:id="2534" w:name="_Toc12619"/>
      <w:bookmarkStart w:id="2535" w:name="_Toc24595"/>
      <w:bookmarkStart w:id="2536" w:name="_Toc11119"/>
      <w:bookmarkStart w:id="2537" w:name="_Toc26306"/>
      <w:bookmarkStart w:id="2538" w:name="_Toc29368"/>
      <w:bookmarkStart w:id="2539" w:name="_Toc2399"/>
      <w:bookmarkStart w:id="2540" w:name="_Toc1806"/>
      <w:bookmarkStart w:id="2541" w:name="_Toc5853"/>
      <w:bookmarkStart w:id="2542" w:name="_Toc14223"/>
      <w:bookmarkStart w:id="2543" w:name="_Toc19190"/>
      <w:bookmarkStart w:id="2544" w:name="_Toc13523"/>
      <w:bookmarkStart w:id="2545" w:name="_Toc14844"/>
      <w:r>
        <w:rPr>
          <w:rFonts w:hint="eastAsia" w:ascii="仿宋_GB2312" w:hAnsi="仿宋_GB2312" w:eastAsia="仿宋_GB2312" w:cs="仿宋_GB2312"/>
          <w:bCs/>
          <w:color w:val="auto"/>
          <w:sz w:val="32"/>
          <w:szCs w:val="32"/>
        </w:rPr>
        <w:t>深化“五对+1 体系”（市属医院-区属医院、公立医院-民营医院、中医-西医、基层医院-护理院、医院-社康+光明辖区全部医院医疗联合体）创新型光明区医院医疗联合体建设。</w:t>
      </w:r>
      <w:r>
        <w:rPr>
          <w:rFonts w:hint="eastAsia" w:ascii="仿宋_GB2312" w:hAnsi="仿宋_GB2312" w:eastAsia="仿宋_GB2312" w:cs="仿宋_GB2312"/>
          <w:bCs/>
          <w:color w:val="auto"/>
          <w:sz w:val="32"/>
          <w:szCs w:val="32"/>
          <w:lang w:val="en-US" w:eastAsia="zh-CN"/>
        </w:rPr>
        <w:t>依托光明区医院医疗联合体，通过组建医学生实习合作、安</w:t>
      </w:r>
      <w:r>
        <w:rPr>
          <w:rFonts w:hint="eastAsia" w:ascii="仿宋_GB2312" w:hAnsi="仿宋_GB2312" w:eastAsia="仿宋_GB2312" w:cs="仿宋_GB2312"/>
          <w:bCs/>
          <w:color w:val="auto"/>
          <w:sz w:val="32"/>
          <w:szCs w:val="32"/>
        </w:rPr>
        <w:t>宁疗护、药学服务联盟、中医药医教研、应急专科和康复医学等学科联盟，建立区域性病理会诊中心、医学影像中心等资源共享中心，提升各医疗卫生机构的医疗服务能力和学科建设水平。依托中山大学深圳校区、中国科学院大学深圳临床医学院、中国科学院大学深圳转化医学研究院等高校和科研机构资源，培养医疗卫生高端人才，通过毕业生实习、临床科研中心建设、临床医生兼职高校教授等方式，推动建立教学研究型医学人才培养模式。</w:t>
      </w:r>
      <w:bookmarkEnd w:id="2489"/>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val="0"/>
          <w:color w:val="auto"/>
          <w:sz w:val="32"/>
          <w:szCs w:val="32"/>
          <w:lang w:val="en-US" w:eastAsia="zh-CN"/>
        </w:rPr>
        <w:t>27.完善集团化管理</w:t>
      </w:r>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Start w:id="2546" w:name="_Toc25964"/>
      <w:r>
        <w:rPr>
          <w:rFonts w:hint="eastAsia" w:ascii="仿宋_GB2312" w:hAnsi="仿宋_GB2312" w:eastAsia="仿宋_GB2312" w:cs="仿宋_GB2312"/>
          <w:b/>
          <w:bCs w:val="0"/>
          <w:color w:val="auto"/>
          <w:sz w:val="32"/>
          <w:szCs w:val="32"/>
          <w:lang w:val="en-US" w:eastAsia="zh-CN"/>
        </w:rPr>
        <w:t>。</w:t>
      </w:r>
      <w:r>
        <w:rPr>
          <w:rFonts w:hint="eastAsia" w:ascii="仿宋_GB2312" w:hAnsi="仿宋_GB2312" w:eastAsia="仿宋_GB2312" w:cs="仿宋_GB2312"/>
          <w:bCs/>
          <w:color w:val="auto"/>
          <w:sz w:val="32"/>
          <w:szCs w:val="32"/>
          <w:lang w:eastAsia="zh-CN"/>
        </w:rPr>
        <w:t>强化</w:t>
      </w:r>
      <w:r>
        <w:rPr>
          <w:rFonts w:hint="eastAsia" w:ascii="仿宋_GB2312" w:hAnsi="仿宋_GB2312" w:eastAsia="仿宋_GB2312" w:cs="仿宋_GB2312"/>
          <w:bCs/>
          <w:color w:val="auto"/>
          <w:sz w:val="32"/>
          <w:szCs w:val="32"/>
        </w:rPr>
        <w:t>集团章程</w:t>
      </w:r>
      <w:r>
        <w:rPr>
          <w:rFonts w:hint="eastAsia" w:ascii="仿宋_GB2312" w:hAnsi="仿宋_GB2312" w:eastAsia="仿宋_GB2312" w:cs="仿宋_GB2312"/>
          <w:bCs/>
          <w:color w:val="auto"/>
          <w:sz w:val="32"/>
          <w:szCs w:val="32"/>
          <w:lang w:eastAsia="zh-CN"/>
        </w:rPr>
        <w:t>作用</w:t>
      </w:r>
      <w:r>
        <w:rPr>
          <w:rFonts w:hint="eastAsia" w:ascii="仿宋_GB2312" w:hAnsi="仿宋_GB2312" w:eastAsia="仿宋_GB2312" w:cs="仿宋_GB2312"/>
          <w:bCs/>
          <w:color w:val="auto"/>
          <w:sz w:val="32"/>
          <w:szCs w:val="32"/>
        </w:rPr>
        <w:t>，完善集团发展规划、收支预算、领导班子成员聘任、运营管理绩效考核等重大事项决策机制。优化集团一体化管理，实行行政管理、人事管理、财务管理、业务管理、后勤服务、信息系统等一体化运作</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落实《深圳市基层医疗集团建设规范》。</w:t>
      </w:r>
      <w:r>
        <w:rPr>
          <w:rFonts w:hint="eastAsia" w:ascii="仿宋_GB2312" w:hAnsi="仿宋_GB2312" w:eastAsia="仿宋_GB2312" w:cs="仿宋_GB2312"/>
          <w:bCs/>
          <w:color w:val="auto"/>
          <w:sz w:val="32"/>
          <w:szCs w:val="32"/>
        </w:rPr>
        <w:t>推进集团各成员单位信息互联互通，加强集团内床位、号源、设备等资源的统筹使用，实现用药目录衔接、采购数据共享、处方自由流动、药品耗材一体化配送支付，构建管理、责任、服务、利益“四个共同体”。完善服务片区内“五大中心”（胸痛中心、卒中中心、创伤中心、危重孕产妇救治中心、危重儿童和新生儿救治中心）建设，实现急诊急救就近解决。与疾病控制、妇幼保健、慢性病管理、健康教育等机构建立合作关系，推动公共卫生资源下沉、服务下沉，促进医防</w:t>
      </w:r>
      <w:r>
        <w:rPr>
          <w:rFonts w:hint="eastAsia" w:ascii="仿宋_GB2312" w:hAnsi="仿宋_GB2312" w:eastAsia="仿宋_GB2312" w:cs="仿宋_GB2312"/>
          <w:bCs/>
          <w:color w:val="auto"/>
          <w:sz w:val="32"/>
          <w:szCs w:val="32"/>
          <w:lang w:eastAsia="zh-CN"/>
        </w:rPr>
        <w:t>协同</w:t>
      </w:r>
      <w:r>
        <w:rPr>
          <w:rFonts w:hint="eastAsia" w:ascii="仿宋_GB2312" w:hAnsi="仿宋_GB2312" w:eastAsia="仿宋_GB2312" w:cs="仿宋_GB2312"/>
          <w:bCs/>
          <w:color w:val="auto"/>
          <w:sz w:val="32"/>
          <w:szCs w:val="32"/>
        </w:rPr>
        <w:t>发展。</w:t>
      </w:r>
      <w:bookmarkEnd w:id="2546"/>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eastAsia" w:ascii="仿宋_GB2312" w:hAnsi="仿宋_GB2312" w:eastAsia="仿宋_GB2312" w:cs="仿宋_GB2312"/>
          <w:bCs/>
          <w:color w:val="auto"/>
          <w:sz w:val="32"/>
          <w:szCs w:val="32"/>
        </w:rPr>
      </w:pPr>
      <w:bookmarkStart w:id="2547" w:name="_Toc17771"/>
      <w:bookmarkStart w:id="2548" w:name="_Toc7703"/>
      <w:bookmarkStart w:id="2549" w:name="_Toc32341"/>
      <w:bookmarkStart w:id="2550" w:name="_Toc29217"/>
      <w:bookmarkStart w:id="2551" w:name="_Toc16603"/>
      <w:bookmarkStart w:id="2552" w:name="_Toc12832"/>
      <w:bookmarkStart w:id="2553" w:name="_Toc10265"/>
      <w:bookmarkStart w:id="2554" w:name="_Toc13338"/>
      <w:bookmarkStart w:id="2555" w:name="_Toc18609"/>
      <w:bookmarkStart w:id="2556" w:name="_Toc12394"/>
      <w:bookmarkStart w:id="2557" w:name="_Toc27370"/>
      <w:bookmarkStart w:id="2558" w:name="_Toc4016"/>
      <w:bookmarkStart w:id="2559" w:name="_Toc21760"/>
      <w:bookmarkStart w:id="2560" w:name="_Toc12174"/>
      <w:bookmarkStart w:id="2561" w:name="_Toc28677"/>
      <w:bookmarkStart w:id="2562" w:name="_Toc18733"/>
      <w:bookmarkStart w:id="2563" w:name="_Toc31140"/>
      <w:bookmarkStart w:id="2564" w:name="_Toc14106"/>
      <w:bookmarkStart w:id="2565" w:name="_Toc23319"/>
      <w:bookmarkStart w:id="2566" w:name="_Toc21707"/>
      <w:bookmarkStart w:id="2567" w:name="_Toc9147"/>
      <w:bookmarkStart w:id="2568" w:name="_Toc17811"/>
      <w:bookmarkStart w:id="2569" w:name="_Toc15108"/>
      <w:bookmarkStart w:id="2570" w:name="_Toc10595"/>
      <w:bookmarkStart w:id="2571" w:name="_Toc13958"/>
      <w:bookmarkStart w:id="2572" w:name="_Toc12084"/>
      <w:bookmarkStart w:id="2573" w:name="_Toc8739"/>
      <w:bookmarkStart w:id="2574" w:name="_Toc24061"/>
      <w:bookmarkStart w:id="2575" w:name="_Toc27052"/>
      <w:bookmarkStart w:id="2576" w:name="_Toc24266"/>
      <w:bookmarkStart w:id="2577" w:name="_Toc25559"/>
      <w:bookmarkStart w:id="2578" w:name="_Toc7184"/>
      <w:bookmarkStart w:id="2579" w:name="_Toc31141"/>
      <w:bookmarkStart w:id="2580" w:name="_Toc12270"/>
      <w:bookmarkStart w:id="2581" w:name="_Toc3189"/>
      <w:bookmarkStart w:id="2582" w:name="_Toc6695"/>
      <w:bookmarkStart w:id="2583" w:name="_Toc12685"/>
      <w:bookmarkStart w:id="2584" w:name="_Toc6776"/>
      <w:bookmarkStart w:id="2585" w:name="_Toc30596"/>
      <w:bookmarkStart w:id="2586" w:name="_Toc26681"/>
      <w:bookmarkStart w:id="2587" w:name="_Toc23088"/>
      <w:bookmarkStart w:id="2588" w:name="_Toc4423"/>
      <w:bookmarkStart w:id="2589" w:name="_Toc29359"/>
      <w:bookmarkStart w:id="2590" w:name="_Toc1371"/>
      <w:bookmarkStart w:id="2591" w:name="_Toc9132"/>
      <w:bookmarkStart w:id="2592" w:name="_Toc30550"/>
      <w:bookmarkStart w:id="2593" w:name="_Toc11759"/>
      <w:bookmarkStart w:id="2594" w:name="_Toc10398"/>
      <w:bookmarkStart w:id="2595" w:name="_Toc31837"/>
      <w:bookmarkStart w:id="2596" w:name="_Toc20896"/>
      <w:bookmarkStart w:id="2597" w:name="_Toc2306"/>
      <w:bookmarkStart w:id="2598" w:name="_Toc26339"/>
      <w:bookmarkStart w:id="2599" w:name="_Toc19333"/>
      <w:bookmarkStart w:id="2600" w:name="_Toc31445"/>
      <w:bookmarkStart w:id="2601" w:name="_Toc23132"/>
      <w:bookmarkStart w:id="2602" w:name="_Toc23299"/>
      <w:r>
        <w:rPr>
          <w:rFonts w:hint="eastAsia" w:ascii="仿宋_GB2312" w:hAnsi="仿宋_GB2312" w:eastAsia="仿宋_GB2312" w:cs="仿宋_GB2312"/>
          <w:b/>
          <w:bCs w:val="0"/>
          <w:color w:val="auto"/>
          <w:sz w:val="32"/>
          <w:szCs w:val="32"/>
          <w:lang w:val="en-US" w:eastAsia="zh-CN"/>
        </w:rPr>
        <w:t>28.加强现代化管理</w:t>
      </w:r>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r>
        <w:rPr>
          <w:rFonts w:hint="eastAsia" w:ascii="仿宋_GB2312" w:hAnsi="仿宋_GB2312" w:eastAsia="仿宋_GB2312" w:cs="仿宋_GB2312"/>
          <w:b/>
          <w:bCs w:val="0"/>
          <w:color w:val="auto"/>
          <w:sz w:val="32"/>
          <w:szCs w:val="32"/>
          <w:lang w:val="en-US" w:eastAsia="zh-CN"/>
        </w:rPr>
        <w:t>。</w:t>
      </w:r>
      <w:bookmarkStart w:id="2603" w:name="_Toc11378"/>
      <w:r>
        <w:rPr>
          <w:rFonts w:hint="eastAsia" w:ascii="仿宋_GB2312" w:hAnsi="仿宋_GB2312" w:eastAsia="仿宋_GB2312" w:cs="仿宋_GB2312"/>
          <w:bCs/>
          <w:color w:val="auto"/>
          <w:sz w:val="32"/>
          <w:szCs w:val="32"/>
        </w:rPr>
        <w:t>完善区属医院现代医院管理制度，进一步完善重大事项决策机制、民主管理、医疗质量安全、人力资源、财务资产、绩效考核、人才培养、科研、后勤、信息等核心管理制度。加强对公立医院章程和13项核心制度执行情况监督。综合运用行政管理、财政补助、医保支付等手段，完善控制医疗费用过快增长的长效机制，落实费用管控目标。根据公立医院人事薪酬制度改革、分级诊疗制度建设、高水平医院建设需要，调整基本医疗卫生服务补助标准，优化财政补助结构，保障公立医院公益性。继续实施改善医疗服务行动计划，持续改善就医环境、优化就医流程、提升就医体验。</w:t>
      </w:r>
      <w:bookmarkEnd w:id="2603"/>
      <w:bookmarkStart w:id="2604" w:name="_Toc6263"/>
      <w:bookmarkStart w:id="2605" w:name="_Toc10334"/>
      <w:bookmarkStart w:id="2606" w:name="_Toc26692"/>
      <w:bookmarkStart w:id="2607" w:name="_Toc23847"/>
      <w:bookmarkStart w:id="2608" w:name="_Toc2184"/>
      <w:bookmarkStart w:id="2609" w:name="_Toc18242"/>
      <w:bookmarkStart w:id="2610" w:name="_Toc2644"/>
      <w:bookmarkStart w:id="2611" w:name="_Toc6616"/>
      <w:bookmarkStart w:id="2612" w:name="_Toc5453"/>
      <w:bookmarkStart w:id="2613" w:name="_Toc20341"/>
      <w:bookmarkStart w:id="2614" w:name="_Toc21526"/>
      <w:bookmarkStart w:id="2615" w:name="_Toc20837"/>
      <w:bookmarkStart w:id="2616" w:name="_Toc5499"/>
      <w:bookmarkStart w:id="2617" w:name="_Toc3438"/>
      <w:bookmarkStart w:id="2618" w:name="_Toc24993"/>
      <w:bookmarkStart w:id="2619" w:name="_Toc14521"/>
      <w:bookmarkStart w:id="2620" w:name="_Toc8819"/>
      <w:bookmarkStart w:id="2621" w:name="_Toc31890"/>
      <w:bookmarkStart w:id="2622" w:name="_Toc8651"/>
      <w:bookmarkStart w:id="2623" w:name="_Toc1508"/>
      <w:bookmarkStart w:id="2624" w:name="_Toc24804"/>
      <w:bookmarkStart w:id="2625" w:name="_Toc2165"/>
      <w:bookmarkStart w:id="2626" w:name="_Toc2012"/>
      <w:bookmarkStart w:id="2627" w:name="_Toc5064"/>
      <w:bookmarkStart w:id="2628" w:name="_Toc26124"/>
      <w:bookmarkStart w:id="2629" w:name="_Toc28240"/>
      <w:bookmarkStart w:id="2630" w:name="_Toc16246"/>
      <w:bookmarkStart w:id="2631" w:name="_Toc24831"/>
      <w:bookmarkStart w:id="2632" w:name="_Toc23768"/>
      <w:bookmarkStart w:id="2633" w:name="_Toc12514"/>
      <w:bookmarkStart w:id="2634" w:name="_Toc10238"/>
      <w:bookmarkStart w:id="2635" w:name="_Toc11921"/>
      <w:bookmarkStart w:id="2636" w:name="_Toc7424"/>
      <w:bookmarkStart w:id="2637" w:name="_Toc24082"/>
      <w:bookmarkStart w:id="2638" w:name="_Toc7249"/>
      <w:bookmarkStart w:id="2639" w:name="_Toc28998"/>
      <w:bookmarkStart w:id="2640" w:name="_Toc13708"/>
      <w:bookmarkStart w:id="2641" w:name="_Toc28982"/>
      <w:bookmarkStart w:id="2642" w:name="_Toc18717"/>
      <w:bookmarkStart w:id="2643" w:name="_Toc14368"/>
      <w:bookmarkStart w:id="2644" w:name="_Toc9648"/>
      <w:bookmarkStart w:id="2645" w:name="_Toc31932"/>
      <w:bookmarkStart w:id="2646" w:name="_Toc1568"/>
      <w:bookmarkStart w:id="2647" w:name="_Toc14522"/>
      <w:bookmarkStart w:id="2648" w:name="_Toc18410"/>
      <w:bookmarkStart w:id="2649" w:name="_Toc2545"/>
      <w:bookmarkStart w:id="2650" w:name="_Toc9851"/>
      <w:bookmarkStart w:id="2651" w:name="_Toc31701"/>
      <w:bookmarkStart w:id="2652" w:name="_Toc24689"/>
      <w:bookmarkStart w:id="2653" w:name="_Toc4660"/>
      <w:bookmarkStart w:id="2654" w:name="_Toc32427"/>
      <w:bookmarkStart w:id="2655" w:name="_Toc8163"/>
      <w:bookmarkStart w:id="2656" w:name="_Toc23398"/>
      <w:bookmarkStart w:id="2657" w:name="_Toc22555"/>
      <w:bookmarkStart w:id="2658" w:name="_Toc1522"/>
      <w:bookmarkStart w:id="2659" w:name="_Toc27691"/>
    </w:p>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p>
      <w:pPr>
        <w:keepNext w:val="0"/>
        <w:keepLines w:val="0"/>
        <w:pageBreakBefore w:val="0"/>
        <w:widowControl w:val="0"/>
        <w:numPr>
          <w:ilvl w:val="255"/>
          <w:numId w:val="0"/>
        </w:numPr>
        <w:shd w:val="clear"/>
        <w:kinsoku/>
        <w:wordWrap/>
        <w:overflowPunct/>
        <w:topLinePunct w:val="0"/>
        <w:autoSpaceDE/>
        <w:autoSpaceDN/>
        <w:bidi w:val="0"/>
        <w:adjustRightInd/>
        <w:snapToGrid/>
        <w:spacing w:line="560" w:lineRule="exact"/>
        <w:ind w:firstLine="642" w:firstLineChars="200"/>
        <w:jc w:val="both"/>
        <w:textAlignment w:val="auto"/>
        <w:outlineLvl w:val="1"/>
        <w:rPr>
          <w:rFonts w:hint="eastAsia" w:ascii="仿宋_GB2312" w:hAnsi="仿宋_GB2312" w:eastAsia="仿宋_GB2312" w:cs="仿宋_GB2312"/>
          <w:bCs/>
          <w:color w:val="auto"/>
          <w:sz w:val="32"/>
          <w:szCs w:val="32"/>
        </w:rPr>
      </w:pPr>
      <w:bookmarkStart w:id="2660" w:name="_Toc1979"/>
      <w:r>
        <w:rPr>
          <w:rFonts w:hint="eastAsia" w:ascii="仿宋_GB2312" w:hAnsi="黑体" w:eastAsia="仿宋_GB2312"/>
          <w:b/>
          <w:bCs/>
          <w:color w:val="auto"/>
          <w:sz w:val="32"/>
          <w:szCs w:val="32"/>
          <w:highlight w:val="none"/>
          <w:lang w:val="en-US" w:eastAsia="zh-CN"/>
        </w:rPr>
        <w:t>29.构建分级诊疗格局。</w:t>
      </w:r>
      <w:r>
        <w:rPr>
          <w:rFonts w:hint="eastAsia" w:ascii="仿宋_GB2312" w:hAnsi="黑体" w:eastAsia="仿宋_GB2312"/>
          <w:color w:val="auto"/>
          <w:sz w:val="32"/>
          <w:szCs w:val="32"/>
        </w:rPr>
        <w:t>通过远程会诊、远程心电诊断、远程影像诊断等服务</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畅通上转渠道、精准对接下转患者等措施，构建科学合理有序的分级诊疗制度。到2025年，</w:t>
      </w:r>
      <w:r>
        <w:rPr>
          <w:rFonts w:hint="eastAsia" w:ascii="仿宋_GB2312" w:hAnsi="黑体" w:eastAsia="仿宋_GB2312"/>
          <w:color w:val="auto"/>
          <w:sz w:val="32"/>
          <w:szCs w:val="32"/>
          <w:lang w:eastAsia="zh-CN"/>
        </w:rPr>
        <w:t>基层医疗服务体系诊疗量</w:t>
      </w:r>
      <w:r>
        <w:rPr>
          <w:rFonts w:hint="eastAsia" w:ascii="仿宋_GB2312" w:hAnsi="黑体" w:eastAsia="仿宋_GB2312"/>
          <w:color w:val="auto"/>
          <w:sz w:val="32"/>
          <w:szCs w:val="32"/>
        </w:rPr>
        <w:t>占比≥</w:t>
      </w:r>
      <w:r>
        <w:rPr>
          <w:rFonts w:hint="eastAsia" w:ascii="仿宋_GB2312" w:hAnsi="黑体" w:eastAsia="仿宋_GB2312"/>
          <w:color w:val="auto"/>
          <w:sz w:val="32"/>
          <w:szCs w:val="32"/>
          <w:lang w:val="en-US" w:eastAsia="zh-CN"/>
        </w:rPr>
        <w:t>75</w:t>
      </w:r>
      <w:r>
        <w:rPr>
          <w:rFonts w:hint="eastAsia" w:ascii="仿宋_GB2312" w:hAnsi="黑体" w:eastAsia="仿宋_GB2312"/>
          <w:color w:val="auto"/>
          <w:sz w:val="32"/>
          <w:szCs w:val="32"/>
        </w:rPr>
        <w:t>％。优化提升全科医学服务体系，支持全科医生承接慢性病和康复期患者的管理和指导服务，</w:t>
      </w:r>
      <w:r>
        <w:rPr>
          <w:rFonts w:hint="eastAsia" w:ascii="仿宋_GB2312" w:hAnsi="黑体" w:eastAsia="仿宋_GB2312"/>
          <w:color w:val="auto"/>
          <w:sz w:val="32"/>
          <w:szCs w:val="32"/>
          <w:lang w:eastAsia="zh-CN"/>
        </w:rPr>
        <w:t>推动</w:t>
      </w:r>
      <w:r>
        <w:rPr>
          <w:rFonts w:hint="eastAsia" w:ascii="仿宋_GB2312" w:hAnsi="黑体" w:eastAsia="仿宋_GB2312"/>
          <w:color w:val="auto"/>
          <w:sz w:val="32"/>
          <w:szCs w:val="32"/>
        </w:rPr>
        <w:t>公立医院、基层医疗机构建立慢性病患者、康复期患者连续性医疗服务分工协作和双向转诊机制，</w:t>
      </w:r>
      <w:r>
        <w:rPr>
          <w:rFonts w:hint="eastAsia" w:ascii="仿宋_GB2312" w:hAnsi="黑体" w:eastAsia="仿宋_GB2312"/>
          <w:color w:val="auto"/>
          <w:sz w:val="32"/>
          <w:szCs w:val="32"/>
          <w:lang w:eastAsia="zh-CN"/>
        </w:rPr>
        <w:t>强化“两融合一协同”运行模式，</w:t>
      </w:r>
      <w:r>
        <w:rPr>
          <w:rFonts w:hint="eastAsia" w:ascii="仿宋_GB2312" w:hAnsi="黑体" w:eastAsia="仿宋_GB2312"/>
          <w:color w:val="auto"/>
          <w:sz w:val="32"/>
          <w:szCs w:val="32"/>
        </w:rPr>
        <w:t>形成可持续的便民急慢分治格局</w:t>
      </w:r>
      <w:r>
        <w:rPr>
          <w:rFonts w:hint="eastAsia" w:ascii="仿宋_GB2312" w:hAnsi="仿宋_GB2312" w:eastAsia="仿宋_GB2312" w:cs="仿宋_GB2312"/>
          <w:bCs/>
          <w:color w:val="auto"/>
          <w:sz w:val="32"/>
          <w:szCs w:val="32"/>
        </w:rPr>
        <w:t>。</w:t>
      </w:r>
      <w:bookmarkEnd w:id="2660"/>
    </w:p>
    <w:p>
      <w:pPr>
        <w:pStyle w:val="2"/>
        <w:keepNext w:val="0"/>
        <w:keepLines w:val="0"/>
        <w:pageBreakBefore w:val="0"/>
        <w:kinsoku/>
        <w:wordWrap/>
        <w:overflowPunct/>
        <w:topLinePunct w:val="0"/>
        <w:autoSpaceDN/>
        <w:bidi w:val="0"/>
        <w:spacing w:line="560" w:lineRule="exact"/>
        <w:ind w:left="0" w:leftChars="0" w:firstLine="0" w:firstLineChars="0"/>
        <w:textAlignment w:val="auto"/>
        <w:rPr>
          <w:rFonts w:hint="eastAsia" w:ascii="黑体" w:hAnsi="黑体" w:eastAsia="黑体" w:cs="黑体"/>
          <w:b w:val="0"/>
          <w:bCs/>
          <w:color w:val="auto"/>
          <w:kern w:val="2"/>
          <w:sz w:val="32"/>
          <w:szCs w:val="32"/>
          <w:lang w:val="en-US" w:eastAsia="zh-CN" w:bidi="ar-SA"/>
        </w:rPr>
      </w:pPr>
    </w:p>
    <w:p>
      <w:pPr>
        <w:pStyle w:val="2"/>
        <w:keepNext w:val="0"/>
        <w:keepLines w:val="0"/>
        <w:pageBreakBefore w:val="0"/>
        <w:shd w:val="clear"/>
        <w:kinsoku/>
        <w:wordWrap/>
        <w:overflowPunct/>
        <w:topLinePunct w:val="0"/>
        <w:autoSpaceDN/>
        <w:bidi w:val="0"/>
        <w:spacing w:line="560" w:lineRule="exact"/>
        <w:ind w:left="0" w:leftChars="0" w:firstLine="0" w:firstLineChars="0"/>
        <w:jc w:val="center"/>
        <w:textAlignment w:val="auto"/>
        <w:rPr>
          <w:rFonts w:hint="eastAsia" w:ascii="Times New Roman" w:hAnsi="Times New Roman" w:eastAsia="黑体" w:cstheme="minorBidi"/>
          <w:b w:val="0"/>
          <w:bCs/>
          <w:color w:val="auto"/>
          <w:kern w:val="44"/>
          <w:sz w:val="32"/>
          <w:szCs w:val="32"/>
          <w:lang w:val="en-US" w:eastAsia="zh-CN" w:bidi="ar-SA"/>
        </w:rPr>
      </w:pPr>
      <w:bookmarkStart w:id="2661" w:name="_Toc1020353298_WPSOffice_Level2"/>
      <w:r>
        <w:rPr>
          <w:rFonts w:hint="eastAsia" w:ascii="黑体" w:hAnsi="黑体" w:eastAsia="黑体" w:cs="黑体"/>
          <w:b w:val="0"/>
          <w:bCs/>
          <w:color w:val="auto"/>
          <w:kern w:val="2"/>
          <w:sz w:val="32"/>
          <w:szCs w:val="32"/>
          <w:lang w:val="en-US" w:eastAsia="zh-CN" w:bidi="ar-SA"/>
        </w:rPr>
        <w:t xml:space="preserve">第三节 </w:t>
      </w:r>
      <w:r>
        <w:rPr>
          <w:rFonts w:hint="eastAsia" w:ascii="黑体" w:hAnsi="黑体" w:eastAsia="黑体" w:cs="黑体"/>
          <w:color w:val="auto"/>
          <w:lang w:eastAsia="zh-CN"/>
        </w:rPr>
        <w:t>完善健康发展保障机制</w:t>
      </w:r>
      <w:bookmarkEnd w:id="2661"/>
    </w:p>
    <w:p>
      <w:pPr>
        <w:keepNext w:val="0"/>
        <w:keepLines w:val="0"/>
        <w:pageBreakBefore w:val="0"/>
        <w:widowControl w:val="0"/>
        <w:shd w:val="clear"/>
        <w:kinsoku/>
        <w:wordWrap/>
        <w:overflowPunct/>
        <w:topLinePunct w:val="0"/>
        <w:autoSpaceDN/>
        <w:bidi w:val="0"/>
        <w:snapToGrid w:val="0"/>
        <w:spacing w:line="560" w:lineRule="exact"/>
        <w:ind w:firstLine="640" w:firstLineChars="200"/>
        <w:jc w:val="both"/>
        <w:textAlignment w:val="auto"/>
        <w:outlineLvl w:val="2"/>
        <w:rPr>
          <w:rFonts w:hint="eastAsia" w:ascii="仿宋_GB2312" w:hAnsi="仿宋_GB2312" w:eastAsia="仿宋_GB2312" w:cs="仿宋_GB2312"/>
          <w:bCs/>
          <w:color w:val="auto"/>
          <w:sz w:val="32"/>
          <w:szCs w:val="32"/>
          <w:lang w:val="en-US" w:eastAsia="zh-CN"/>
        </w:rPr>
      </w:pPr>
      <w:bookmarkStart w:id="2662" w:name="_Toc863418929_WPSOffice_Level3"/>
      <w:r>
        <w:rPr>
          <w:rFonts w:hint="eastAsia" w:ascii="黑体" w:hAnsi="黑体" w:eastAsia="黑体" w:cs="黑体"/>
          <w:b w:val="0"/>
          <w:bCs/>
          <w:color w:val="auto"/>
          <w:kern w:val="2"/>
          <w:sz w:val="32"/>
          <w:szCs w:val="32"/>
          <w:lang w:val="en-US" w:eastAsia="zh-CN" w:bidi="ar-SA"/>
        </w:rPr>
        <w:t>一、重视产学研高融合实践</w:t>
      </w:r>
      <w:bookmarkEnd w:id="2662"/>
      <w:bookmarkStart w:id="2663" w:name="_Toc11389"/>
      <w:bookmarkStart w:id="2664" w:name="_Toc9244"/>
      <w:bookmarkStart w:id="2665" w:name="_Toc4708"/>
      <w:bookmarkStart w:id="2666" w:name="_Toc25815"/>
      <w:bookmarkStart w:id="2667" w:name="_Toc26954"/>
      <w:bookmarkStart w:id="2668" w:name="_Toc1808"/>
      <w:bookmarkStart w:id="2669" w:name="_Toc29630"/>
      <w:bookmarkStart w:id="2670" w:name="_Toc7427"/>
      <w:bookmarkStart w:id="2671" w:name="_Toc1804"/>
      <w:bookmarkStart w:id="2672" w:name="_Toc3677"/>
      <w:bookmarkStart w:id="2673" w:name="_Toc14057"/>
      <w:bookmarkStart w:id="2674" w:name="_Toc24025"/>
      <w:bookmarkStart w:id="2675" w:name="_Toc15239"/>
      <w:bookmarkStart w:id="2676" w:name="_Toc18848"/>
      <w:bookmarkStart w:id="2677" w:name="_Toc16859"/>
      <w:bookmarkStart w:id="2678" w:name="_Toc4963"/>
      <w:bookmarkStart w:id="2679" w:name="_Toc26810"/>
      <w:bookmarkStart w:id="2680" w:name="_Toc23851"/>
      <w:bookmarkStart w:id="2681" w:name="_Toc5038"/>
      <w:bookmarkStart w:id="2682" w:name="_Toc2504"/>
      <w:bookmarkStart w:id="2683" w:name="_Toc17893"/>
      <w:bookmarkStart w:id="2684" w:name="_Toc16491"/>
      <w:bookmarkStart w:id="2685" w:name="_Toc16328"/>
      <w:bookmarkStart w:id="2686" w:name="_Toc12117"/>
      <w:bookmarkStart w:id="2687" w:name="_Toc21676"/>
      <w:bookmarkStart w:id="2688" w:name="_Toc21115"/>
      <w:bookmarkStart w:id="2689" w:name="_Toc32182"/>
      <w:bookmarkStart w:id="2690" w:name="_Toc12258"/>
      <w:bookmarkStart w:id="2691" w:name="_Toc3391"/>
      <w:bookmarkStart w:id="2692" w:name="_Toc16339"/>
      <w:bookmarkStart w:id="2693" w:name="_Toc29046"/>
      <w:bookmarkStart w:id="2694" w:name="_Toc8274"/>
      <w:bookmarkStart w:id="2695" w:name="_Toc11791"/>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ascii="仿宋_GB2312" w:hAnsi="仿宋_GB2312" w:eastAsia="仿宋_GB2312" w:cs="仿宋_GB2312"/>
          <w:bCs/>
          <w:color w:val="auto"/>
          <w:sz w:val="32"/>
          <w:szCs w:val="32"/>
        </w:rPr>
      </w:pPr>
      <w:bookmarkStart w:id="2696" w:name="_Toc554"/>
      <w:bookmarkStart w:id="2697" w:name="_Toc30567"/>
      <w:bookmarkStart w:id="2698" w:name="_Toc18686"/>
      <w:bookmarkStart w:id="2699" w:name="_Toc30352"/>
      <w:bookmarkStart w:id="2700" w:name="_Toc26740"/>
      <w:bookmarkStart w:id="2701" w:name="_Toc14079"/>
      <w:bookmarkStart w:id="2702" w:name="_Toc8077"/>
      <w:bookmarkStart w:id="2703" w:name="_Toc17063"/>
      <w:bookmarkStart w:id="2704" w:name="_Toc16865"/>
      <w:bookmarkStart w:id="2705" w:name="_Toc15391"/>
      <w:bookmarkStart w:id="2706" w:name="_Toc7747"/>
      <w:bookmarkStart w:id="2707" w:name="_Toc23553"/>
      <w:bookmarkStart w:id="2708" w:name="_Toc5462"/>
      <w:bookmarkStart w:id="2709" w:name="_Toc15002"/>
      <w:bookmarkStart w:id="2710" w:name="_Toc30543"/>
      <w:bookmarkStart w:id="2711" w:name="_Toc11918"/>
      <w:bookmarkStart w:id="2712" w:name="_Toc30336"/>
      <w:bookmarkStart w:id="2713" w:name="_Toc4148"/>
      <w:bookmarkStart w:id="2714" w:name="_Toc11129"/>
      <w:bookmarkStart w:id="2715" w:name="_Toc808"/>
      <w:bookmarkStart w:id="2716" w:name="_Toc32590"/>
      <w:bookmarkStart w:id="2717" w:name="_Toc10065"/>
      <w:bookmarkStart w:id="2718" w:name="_Toc18576"/>
      <w:r>
        <w:rPr>
          <w:rFonts w:hint="eastAsia" w:ascii="仿宋_GB2312" w:eastAsia="仿宋_GB2312" w:cstheme="minorBidi"/>
          <w:b/>
          <w:color w:val="auto"/>
          <w:sz w:val="32"/>
          <w:szCs w:val="32"/>
          <w:lang w:val="en-US" w:eastAsia="zh-CN"/>
        </w:rPr>
        <w:t>30.</w:t>
      </w:r>
      <w:r>
        <w:rPr>
          <w:rFonts w:hint="eastAsia" w:ascii="仿宋_GB2312" w:hAnsi="Times New Roman" w:eastAsia="仿宋_GB2312" w:cstheme="minorBidi"/>
          <w:b/>
          <w:color w:val="auto"/>
          <w:sz w:val="32"/>
          <w:szCs w:val="32"/>
          <w:lang w:val="en-US" w:eastAsia="zh-CN"/>
        </w:rPr>
        <w:t>健全卫生科研学术体系</w:t>
      </w:r>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Start w:id="2719" w:name="_Toc25943"/>
      <w:bookmarkStart w:id="2720" w:name="_Toc19284"/>
      <w:bookmarkStart w:id="2721" w:name="_Toc31188"/>
      <w:bookmarkStart w:id="2722" w:name="_Toc16822"/>
      <w:r>
        <w:rPr>
          <w:rFonts w:hint="eastAsia" w:ascii="仿宋_GB2312" w:eastAsia="仿宋_GB2312" w:cstheme="minorBidi"/>
          <w:b/>
          <w:color w:val="auto"/>
          <w:sz w:val="32"/>
          <w:szCs w:val="32"/>
          <w:lang w:val="en-US" w:eastAsia="zh-CN"/>
        </w:rPr>
        <w:t>。</w:t>
      </w:r>
      <w:r>
        <w:rPr>
          <w:rFonts w:hint="eastAsia" w:ascii="仿宋_GB2312" w:hAnsi="仿宋_GB2312" w:eastAsia="仿宋_GB2312" w:cs="仿宋_GB2312"/>
          <w:bCs/>
          <w:color w:val="auto"/>
          <w:sz w:val="32"/>
          <w:szCs w:val="32"/>
        </w:rPr>
        <w:t>建立健全科研项目管理、质量管理、科研奖励、知识产权保护、成果转化推广等制度。加快建成临床医学院、转化医学研究院，设立博士后创新实践基地（市级），增强区域医疗科研综合能力，为科学城建设提供医学科研基础保障。开展区级医疗卫生科学研究，设置临床应用、公共卫生防控策略、卫生政策和管理、社区卫生、博士创新项目、中医药基础、中医药应用等研究项目，计划每年择优评选100项，提高医疗卫生工作者科研积极性，推动区域卫生科研能力发展。</w:t>
      </w:r>
      <w:bookmarkEnd w:id="2719"/>
      <w:bookmarkEnd w:id="2720"/>
      <w:bookmarkEnd w:id="2721"/>
      <w:bookmarkEnd w:id="2722"/>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eastAsia" w:ascii="仿宋_GB2312" w:hAnsi="仿宋_GB2312" w:eastAsia="仿宋_GB2312" w:cs="仿宋_GB2312"/>
          <w:bCs/>
          <w:color w:val="auto"/>
          <w:sz w:val="32"/>
          <w:szCs w:val="32"/>
        </w:rPr>
      </w:pPr>
      <w:bookmarkStart w:id="2723" w:name="_Toc212"/>
      <w:bookmarkStart w:id="2724" w:name="_Toc6388"/>
      <w:bookmarkStart w:id="2725" w:name="_Toc1053"/>
      <w:bookmarkStart w:id="2726" w:name="_Toc6826"/>
      <w:bookmarkStart w:id="2727" w:name="_Toc5746"/>
      <w:bookmarkStart w:id="2728" w:name="_Toc17351"/>
      <w:bookmarkStart w:id="2729" w:name="_Toc29025"/>
      <w:bookmarkStart w:id="2730" w:name="_Toc19780"/>
      <w:bookmarkStart w:id="2731" w:name="_Toc17405"/>
      <w:bookmarkStart w:id="2732" w:name="_Toc10087"/>
      <w:bookmarkStart w:id="2733" w:name="_Toc15565"/>
      <w:bookmarkStart w:id="2734" w:name="_Toc28150"/>
      <w:bookmarkStart w:id="2735" w:name="_Toc8129"/>
      <w:bookmarkStart w:id="2736" w:name="_Toc21354"/>
      <w:bookmarkStart w:id="2737" w:name="_Toc27965"/>
      <w:bookmarkStart w:id="2738" w:name="_Toc18364"/>
      <w:bookmarkStart w:id="2739" w:name="_Toc28209"/>
      <w:bookmarkStart w:id="2740" w:name="_Toc21608"/>
      <w:bookmarkStart w:id="2741" w:name="_Toc21778"/>
      <w:bookmarkStart w:id="2742" w:name="_Toc5881"/>
      <w:bookmarkStart w:id="2743" w:name="_Toc11205"/>
      <w:bookmarkStart w:id="2744" w:name="_Toc30152"/>
      <w:bookmarkStart w:id="2745" w:name="_Toc6757"/>
      <w:bookmarkStart w:id="2746" w:name="_Toc891"/>
      <w:bookmarkStart w:id="2747" w:name="_Toc15512"/>
      <w:bookmarkStart w:id="2748" w:name="_Toc577"/>
      <w:bookmarkStart w:id="2749" w:name="_Toc20209"/>
      <w:bookmarkStart w:id="2750" w:name="_Toc22809"/>
      <w:bookmarkStart w:id="2751" w:name="_Toc26919"/>
      <w:bookmarkStart w:id="2752" w:name="_Toc3058"/>
      <w:bookmarkStart w:id="2753" w:name="_Toc27737"/>
      <w:bookmarkStart w:id="2754" w:name="_Toc32247"/>
      <w:bookmarkStart w:id="2755" w:name="_Toc15167"/>
      <w:bookmarkStart w:id="2756" w:name="_Toc7087"/>
      <w:bookmarkStart w:id="2757" w:name="_Toc31738"/>
      <w:bookmarkStart w:id="2758" w:name="_Toc31274"/>
      <w:bookmarkStart w:id="2759" w:name="_Toc17003"/>
      <w:bookmarkStart w:id="2760" w:name="_Toc28685"/>
      <w:bookmarkStart w:id="2761" w:name="_Toc4671"/>
      <w:bookmarkStart w:id="2762" w:name="_Toc3442"/>
      <w:bookmarkStart w:id="2763" w:name="_Toc3434"/>
      <w:bookmarkStart w:id="2764" w:name="_Toc29541"/>
      <w:bookmarkStart w:id="2765" w:name="_Toc13507"/>
      <w:bookmarkStart w:id="2766" w:name="_Toc32583"/>
      <w:bookmarkStart w:id="2767" w:name="_Toc3624"/>
      <w:bookmarkStart w:id="2768" w:name="_Toc24279"/>
      <w:bookmarkStart w:id="2769" w:name="_Toc30635"/>
      <w:bookmarkStart w:id="2770" w:name="_Toc7793"/>
      <w:bookmarkStart w:id="2771" w:name="_Toc4911"/>
      <w:bookmarkStart w:id="2772" w:name="_Toc23243"/>
      <w:bookmarkStart w:id="2773" w:name="_Toc31190"/>
      <w:bookmarkStart w:id="2774" w:name="_Toc20642"/>
      <w:bookmarkStart w:id="2775" w:name="_Toc32218"/>
      <w:bookmarkStart w:id="2776" w:name="_Toc10760"/>
      <w:bookmarkStart w:id="2777" w:name="_Toc15541"/>
      <w:bookmarkStart w:id="2778" w:name="_Toc6168"/>
      <w:r>
        <w:rPr>
          <w:rFonts w:hint="eastAsia" w:ascii="仿宋_GB2312" w:eastAsia="仿宋_GB2312" w:cstheme="minorBidi"/>
          <w:b/>
          <w:color w:val="auto"/>
          <w:sz w:val="32"/>
          <w:szCs w:val="32"/>
          <w:lang w:val="en-US" w:eastAsia="zh-CN"/>
        </w:rPr>
        <w:t>31.</w:t>
      </w:r>
      <w:r>
        <w:rPr>
          <w:rFonts w:hint="eastAsia" w:ascii="仿宋_GB2312" w:hAnsi="Times New Roman" w:eastAsia="仿宋_GB2312" w:cstheme="minorBidi"/>
          <w:b/>
          <w:color w:val="auto"/>
          <w:sz w:val="32"/>
          <w:szCs w:val="32"/>
          <w:lang w:val="en-US" w:eastAsia="zh-CN"/>
        </w:rPr>
        <w:t>促进医教协同发展</w:t>
      </w:r>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r>
        <w:rPr>
          <w:rFonts w:hint="eastAsia" w:ascii="仿宋_GB2312" w:eastAsia="仿宋_GB2312" w:cstheme="minorBidi"/>
          <w:b/>
          <w:color w:val="auto"/>
          <w:sz w:val="32"/>
          <w:szCs w:val="32"/>
          <w:lang w:val="en-US" w:eastAsia="zh-CN"/>
        </w:rPr>
        <w:t>。</w:t>
      </w:r>
      <w:bookmarkStart w:id="2779" w:name="_Toc25124"/>
      <w:r>
        <w:rPr>
          <w:rFonts w:hint="eastAsia" w:ascii="仿宋_GB2312" w:hAnsi="仿宋_GB2312" w:eastAsia="仿宋_GB2312" w:cs="仿宋_GB2312"/>
          <w:bCs/>
          <w:color w:val="auto"/>
          <w:sz w:val="32"/>
          <w:szCs w:val="32"/>
        </w:rPr>
        <w:t>加强基础学科与临床学科、辅助诊疗学科的交叉融合，深入推进药物/医疗器械临床试验研究，加快诊疗技术创新突破和应用，提高医疗技术水平。建立健全在职继续教育机制，完善培训质量管理制度和各项具体措施，加强骨干医生培养，鼓励医务人员参加在职教育培训提高医学水平。整合提升临床学科资源，推动临床医学院建设工作，通过科教医融合，以医学精英人才教育与前沿领域研究为核心，培养高端医疗后备人才，提高转化医学研究院、临床模拟培训中心及临床医学院区域影响力，完善医学研究生、本科3+2理论教学和住院医生规范化培训教学设施。力争2025年建成能容纳300余人学习、生活、独立区域的临床医学院。</w:t>
      </w:r>
      <w:bookmarkEnd w:id="2779"/>
      <w:bookmarkStart w:id="2780" w:name="_Toc14742"/>
      <w:bookmarkStart w:id="2781" w:name="_Toc22775"/>
      <w:bookmarkStart w:id="2782" w:name="_Toc9737"/>
      <w:bookmarkStart w:id="2783" w:name="_Toc30276"/>
      <w:bookmarkStart w:id="2784" w:name="_Toc30936"/>
      <w:bookmarkStart w:id="2785" w:name="_Toc28663"/>
      <w:bookmarkStart w:id="2786" w:name="_Toc11858"/>
      <w:bookmarkStart w:id="2787" w:name="_Toc18164"/>
      <w:bookmarkStart w:id="2788" w:name="_Toc2024"/>
      <w:bookmarkStart w:id="2789" w:name="_Toc2450"/>
      <w:bookmarkStart w:id="2790" w:name="_Toc4451"/>
      <w:bookmarkStart w:id="2791" w:name="_Toc19930"/>
      <w:bookmarkStart w:id="2792" w:name="_Toc29426"/>
      <w:bookmarkStart w:id="2793" w:name="_Toc27278"/>
      <w:bookmarkStart w:id="2794" w:name="_Toc28599"/>
      <w:bookmarkStart w:id="2795" w:name="_Toc25634"/>
      <w:bookmarkStart w:id="2796" w:name="_Toc2480"/>
      <w:bookmarkStart w:id="2797" w:name="_Toc1178"/>
      <w:bookmarkStart w:id="2798" w:name="_Toc13004"/>
      <w:bookmarkStart w:id="2799" w:name="_Toc5732"/>
      <w:bookmarkStart w:id="2800" w:name="_Toc30870"/>
      <w:bookmarkStart w:id="2801" w:name="_Toc63"/>
      <w:bookmarkStart w:id="2802" w:name="_Toc17706"/>
      <w:bookmarkStart w:id="2803" w:name="_Toc20424"/>
      <w:bookmarkStart w:id="2804" w:name="_Toc7206"/>
      <w:bookmarkStart w:id="2805" w:name="_Toc1164"/>
      <w:bookmarkStart w:id="2806" w:name="_Toc8052"/>
      <w:bookmarkStart w:id="2807" w:name="_Toc27888"/>
      <w:bookmarkStart w:id="2808" w:name="_Toc8794"/>
      <w:bookmarkStart w:id="2809" w:name="_Toc743"/>
      <w:bookmarkStart w:id="2810" w:name="_Toc20396"/>
      <w:bookmarkStart w:id="2811" w:name="_Toc7095"/>
      <w:bookmarkStart w:id="2812" w:name="_Toc30629"/>
      <w:bookmarkStart w:id="2813" w:name="_Toc17705"/>
      <w:bookmarkStart w:id="2814" w:name="_Toc8790"/>
      <w:bookmarkStart w:id="2815" w:name="_Toc21333"/>
      <w:bookmarkStart w:id="2816" w:name="_Toc13124"/>
      <w:bookmarkStart w:id="2817" w:name="_Toc15365"/>
      <w:bookmarkStart w:id="2818" w:name="_Toc25986"/>
      <w:bookmarkStart w:id="2819" w:name="_Toc24116"/>
      <w:bookmarkStart w:id="2820" w:name="_Toc8220"/>
      <w:bookmarkStart w:id="2821" w:name="_Toc7106"/>
      <w:bookmarkStart w:id="2822" w:name="_Toc458"/>
      <w:bookmarkStart w:id="2823" w:name="_Toc13280"/>
      <w:bookmarkStart w:id="2824" w:name="_Toc30714"/>
      <w:bookmarkStart w:id="2825" w:name="_Toc1348"/>
      <w:bookmarkStart w:id="2826" w:name="_Toc4969"/>
      <w:bookmarkStart w:id="2827" w:name="_Toc25140"/>
      <w:bookmarkStart w:id="2828" w:name="_Toc12742"/>
      <w:bookmarkStart w:id="2829" w:name="_Toc25945"/>
      <w:bookmarkStart w:id="2830" w:name="_Toc10577"/>
      <w:bookmarkStart w:id="2831" w:name="_Toc20212"/>
      <w:bookmarkStart w:id="2832" w:name="_Toc14673"/>
      <w:bookmarkStart w:id="2833" w:name="_Toc4353"/>
      <w:bookmarkStart w:id="2834" w:name="_Toc26769"/>
      <w:bookmarkStart w:id="2835" w:name="_Toc30127"/>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eastAsia"/>
          <w:color w:val="auto"/>
        </w:rPr>
      </w:pPr>
      <w:r>
        <w:rPr>
          <w:rFonts w:hint="eastAsia" w:ascii="仿宋_GB2312" w:hAnsi="仿宋_GB2312" w:eastAsia="仿宋_GB2312" w:cs="仿宋_GB2312"/>
          <w:b/>
          <w:bCs w:val="0"/>
          <w:color w:val="auto"/>
          <w:sz w:val="32"/>
          <w:szCs w:val="32"/>
          <w:lang w:val="en-US" w:eastAsia="zh-CN"/>
        </w:rPr>
        <w:t>32.</w:t>
      </w:r>
      <w:r>
        <w:rPr>
          <w:rFonts w:hint="eastAsia" w:ascii="仿宋_GB2312" w:hAnsi="仿宋_GB2312" w:eastAsia="仿宋_GB2312" w:cs="仿宋_GB2312"/>
          <w:b/>
          <w:bCs w:val="0"/>
          <w:color w:val="auto"/>
          <w:sz w:val="32"/>
          <w:szCs w:val="32"/>
        </w:rPr>
        <w:t>加快研究型医院建设</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val="0"/>
          <w:bCs/>
          <w:color w:val="auto"/>
          <w:sz w:val="32"/>
          <w:szCs w:val="32"/>
          <w:lang w:eastAsia="zh-CN"/>
        </w:rPr>
        <w:t>聚焦科技成果临床孵化转化，加快推进集科研、临床、教育协同发展的研究型医院建设。</w:t>
      </w:r>
      <w:r>
        <w:rPr>
          <w:rFonts w:hint="eastAsia" w:ascii="仿宋_GB2312" w:hAnsi="仿宋_GB2312" w:eastAsia="仿宋_GB2312" w:cs="仿宋_GB2312"/>
          <w:color w:val="auto"/>
          <w:sz w:val="32"/>
          <w:szCs w:val="40"/>
        </w:rPr>
        <w:t>以转化医学研究院为抓手，搭建平台、建立机制、提高科研转化平台影响力，吸引临床医技科室、知名科研机构、高新企业等参与，推动产、学、研、医深度融合发展，将科技成果转移转化打造成光明区生物与生命健康产业的发展特色。</w:t>
      </w:r>
      <w:r>
        <w:rPr>
          <w:rFonts w:hint="eastAsia" w:ascii="仿宋_GB2312" w:hAnsi="仿宋_GB2312" w:eastAsia="仿宋_GB2312" w:cs="仿宋_GB2312"/>
          <w:color w:val="auto"/>
          <w:sz w:val="32"/>
          <w:szCs w:val="40"/>
          <w:lang w:eastAsia="zh-CN"/>
        </w:rPr>
        <w:t>加强</w:t>
      </w:r>
      <w:r>
        <w:rPr>
          <w:rFonts w:hint="eastAsia" w:ascii="仿宋_GB2312" w:hAnsi="仿宋_GB2312" w:eastAsia="仿宋_GB2312" w:cs="仿宋_GB2312"/>
          <w:bCs/>
          <w:color w:val="auto"/>
          <w:sz w:val="32"/>
          <w:szCs w:val="32"/>
        </w:rPr>
        <w:t>药物</w:t>
      </w:r>
      <w:r>
        <w:rPr>
          <w:rFonts w:hint="eastAsia" w:ascii="仿宋_GB2312" w:hAnsi="仿宋_GB2312" w:eastAsia="仿宋_GB2312" w:cs="仿宋_GB2312"/>
          <w:bCs/>
          <w:color w:val="auto"/>
          <w:sz w:val="32"/>
          <w:szCs w:val="32"/>
          <w:lang w:val="en-US" w:eastAsia="zh-CN"/>
        </w:rPr>
        <w:t>/医疗器械</w:t>
      </w:r>
      <w:r>
        <w:rPr>
          <w:rFonts w:hint="eastAsia" w:ascii="仿宋_GB2312" w:hAnsi="仿宋_GB2312" w:eastAsia="仿宋_GB2312" w:cs="仿宋_GB2312"/>
          <w:bCs/>
          <w:color w:val="auto"/>
          <w:sz w:val="32"/>
          <w:szCs w:val="32"/>
        </w:rPr>
        <w:t>临床试验机构建设，</w:t>
      </w:r>
      <w:r>
        <w:rPr>
          <w:rFonts w:hint="eastAsia" w:ascii="仿宋_GB2312" w:hAnsi="仿宋_GB2312" w:eastAsia="仿宋_GB2312" w:cs="仿宋_GB2312"/>
          <w:bCs/>
          <w:color w:val="auto"/>
          <w:sz w:val="32"/>
          <w:szCs w:val="32"/>
          <w:lang w:eastAsia="zh-CN"/>
        </w:rPr>
        <w:t>争取</w:t>
      </w:r>
      <w:r>
        <w:rPr>
          <w:rFonts w:hint="eastAsia" w:ascii="仿宋_GB2312" w:hAnsi="仿宋_GB2312" w:eastAsia="仿宋_GB2312" w:cs="仿宋_GB2312"/>
          <w:color w:val="auto"/>
          <w:sz w:val="32"/>
          <w:szCs w:val="40"/>
        </w:rPr>
        <w:t>2023年5-8个医疗器械、药物、治疗技术等项目进入临床试验或应用转化阶段</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重点临床医技科室拥有孵化项目</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2025年药物临床试验、医疗器械临床试验和干细胞治疗创新平台内涵不断提升。</w:t>
      </w:r>
    </w:p>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eastAsia" w:ascii="仿宋_GB2312" w:hAnsi="仿宋_GB2312" w:eastAsia="仿宋_GB2312" w:cs="仿宋_GB2312"/>
          <w:bCs/>
          <w:color w:val="auto"/>
          <w:sz w:val="32"/>
          <w:szCs w:val="32"/>
          <w:lang w:eastAsia="zh-CN"/>
        </w:rPr>
      </w:pPr>
      <w:bookmarkStart w:id="2836" w:name="_Toc30861"/>
      <w:bookmarkStart w:id="2837" w:name="_Toc22544"/>
      <w:bookmarkStart w:id="2838" w:name="_Toc31638"/>
      <w:bookmarkStart w:id="2839" w:name="_Toc21930"/>
      <w:bookmarkStart w:id="2840" w:name="_Toc3614"/>
      <w:bookmarkStart w:id="2841" w:name="_Toc9345"/>
      <w:bookmarkStart w:id="2842" w:name="_Toc9226"/>
      <w:bookmarkStart w:id="2843" w:name="_Toc14376"/>
      <w:bookmarkStart w:id="2844" w:name="_Toc6154"/>
      <w:bookmarkStart w:id="2845" w:name="_Toc27095"/>
      <w:bookmarkStart w:id="2846" w:name="_Toc5024"/>
      <w:bookmarkStart w:id="2847" w:name="_Toc31495"/>
      <w:bookmarkStart w:id="2848" w:name="_Toc18344"/>
      <w:bookmarkStart w:id="2849" w:name="_Toc3619"/>
      <w:r>
        <w:rPr>
          <w:rFonts w:hint="eastAsia" w:ascii="仿宋_GB2312" w:hAnsi="仿宋_GB2312" w:eastAsia="仿宋_GB2312" w:cs="仿宋_GB2312"/>
          <w:b/>
          <w:bCs w:val="0"/>
          <w:color w:val="auto"/>
          <w:sz w:val="32"/>
          <w:szCs w:val="32"/>
          <w:lang w:val="en-US" w:eastAsia="zh-CN"/>
        </w:rPr>
        <w:t>33.</w:t>
      </w:r>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Start w:id="2850" w:name="_Toc16344"/>
      <w:r>
        <w:rPr>
          <w:rFonts w:hint="eastAsia" w:ascii="仿宋_GB2312" w:hAnsi="仿宋_GB2312" w:eastAsia="仿宋_GB2312" w:cs="仿宋_GB2312"/>
          <w:b/>
          <w:bCs w:val="0"/>
          <w:color w:val="auto"/>
          <w:sz w:val="32"/>
          <w:szCs w:val="32"/>
          <w:lang w:val="en-US" w:eastAsia="zh-CN"/>
        </w:rPr>
        <w:t>创立医院制剂品牌。</w:t>
      </w:r>
      <w:r>
        <w:rPr>
          <w:rFonts w:hint="eastAsia" w:ascii="仿宋_GB2312" w:hAnsi="仿宋_GB2312" w:eastAsia="仿宋_GB2312" w:cs="仿宋_GB2312"/>
          <w:bCs/>
          <w:color w:val="auto"/>
          <w:sz w:val="32"/>
          <w:szCs w:val="32"/>
        </w:rPr>
        <w:t>依托中山大学附属第七医院（深圳）、中国科学院大学深圳医院（光明）临床科研基础，借鉴北京协和医院“协和硅霜”先进经验，发展医院特色制剂，创立医院产业品牌，重视制剂研发人才队伍建设，加大制剂室研发技术投入。不断提升医疗技术服务水平，充分发挥和强化医院重点学科优势，围绕临床用药需求，创新医疗技术、开展特色新项目</w:t>
      </w:r>
      <w:bookmarkEnd w:id="2850"/>
      <w:r>
        <w:rPr>
          <w:rFonts w:hint="eastAsia" w:ascii="仿宋_GB2312" w:hAnsi="仿宋_GB2312" w:eastAsia="仿宋_GB2312" w:cs="仿宋_GB2312"/>
          <w:bCs/>
          <w:color w:val="auto"/>
          <w:sz w:val="32"/>
          <w:szCs w:val="32"/>
          <w:lang w:eastAsia="zh-CN"/>
        </w:rPr>
        <w:t>。</w:t>
      </w:r>
    </w:p>
    <w:p>
      <w:pPr>
        <w:spacing w:line="240" w:lineRule="exact"/>
        <w:jc w:val="center"/>
        <w:rPr>
          <w:rFonts w:ascii="仿宋_GB2312" w:hAnsi="仿宋_GB2312" w:eastAsia="仿宋_GB2312" w:cs="仿宋_GB2312"/>
          <w:color w:val="auto"/>
          <w:sz w:val="32"/>
          <w:szCs w:val="32"/>
          <w:highlight w:val="none"/>
        </w:rPr>
      </w:pPr>
    </w:p>
    <w:tbl>
      <w:tblPr>
        <w:tblStyle w:val="20"/>
        <w:tblW w:w="8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22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val="0"/>
              <w:snapToGrid w:val="0"/>
              <w:spacing w:after="157" w:afterLines="50" w:line="440" w:lineRule="exact"/>
              <w:ind w:left="0" w:leftChars="0" w:firstLine="0" w:firstLineChars="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lang w:eastAsia="zh-CN"/>
              </w:rPr>
              <w:t>专栏</w:t>
            </w:r>
            <w:r>
              <w:rPr>
                <w:rFonts w:hint="eastAsia" w:ascii="仿宋_GB2312" w:hAnsi="仿宋_GB2312" w:eastAsia="仿宋_GB2312" w:cs="仿宋_GB2312"/>
                <w:b/>
                <w:bCs/>
                <w:color w:val="auto"/>
                <w:kern w:val="0"/>
                <w:sz w:val="28"/>
                <w:szCs w:val="28"/>
                <w:highlight w:val="none"/>
                <w:lang w:val="en-US" w:eastAsia="zh-CN"/>
              </w:rPr>
              <w:t xml:space="preserve">5 </w:t>
            </w:r>
            <w:r>
              <w:rPr>
                <w:rFonts w:hint="eastAsia" w:ascii="仿宋_GB2312" w:hAnsi="仿宋_GB2312" w:eastAsia="仿宋_GB2312" w:cs="仿宋_GB2312"/>
                <w:b/>
                <w:bCs/>
                <w:color w:val="auto"/>
                <w:kern w:val="0"/>
                <w:sz w:val="28"/>
                <w:szCs w:val="28"/>
                <w:highlight w:val="none"/>
              </w:rPr>
              <w:t>医学科研建设重点项目</w:t>
            </w:r>
          </w:p>
          <w:p>
            <w:pPr>
              <w:pStyle w:val="2"/>
              <w:keepNext w:val="0"/>
              <w:keepLines w:val="0"/>
              <w:pageBreakBefore w:val="0"/>
              <w:widowControl w:val="0"/>
              <w:kinsoku/>
              <w:wordWrap/>
              <w:overflowPunct/>
              <w:topLinePunct w:val="0"/>
              <w:autoSpaceDE/>
              <w:autoSpaceDN/>
              <w:bidi w:val="0"/>
              <w:adjustRightInd w:val="0"/>
              <w:snapToGrid w:val="0"/>
              <w:spacing w:after="157" w:afterLines="50" w:line="440" w:lineRule="exact"/>
              <w:ind w:left="119" w:firstLine="562" w:firstLineChars="200"/>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sz w:val="28"/>
                <w:szCs w:val="28"/>
              </w:rPr>
              <w:t>转化医学研究院项目：</w:t>
            </w:r>
            <w:r>
              <w:rPr>
                <w:rFonts w:hint="eastAsia" w:ascii="仿宋_GB2312" w:hAnsi="仿宋_GB2312" w:eastAsia="仿宋_GB2312" w:cs="仿宋_GB2312"/>
                <w:color w:val="auto"/>
                <w:sz w:val="28"/>
                <w:szCs w:val="28"/>
              </w:rPr>
              <w:t>联合深圳和附近地区的医院、高校、科研机构、生物医药企业等多方力量，形成集跨学科、开放性、共享性、区域性为一体的转化医学研究基地，推动光明区生物医药产业发展和产、学、研</w:t>
            </w:r>
            <w:r>
              <w:rPr>
                <w:rFonts w:hint="eastAsia" w:ascii="仿宋_GB2312" w:hAnsi="仿宋_GB2312" w:eastAsia="仿宋_GB2312" w:cs="仿宋_GB2312"/>
                <w:color w:val="auto"/>
                <w:sz w:val="28"/>
                <w:szCs w:val="28"/>
                <w:lang w:eastAsia="zh-CN"/>
              </w:rPr>
              <w:t>、医</w:t>
            </w:r>
            <w:r>
              <w:rPr>
                <w:rFonts w:hint="eastAsia" w:ascii="仿宋_GB2312" w:hAnsi="仿宋_GB2312" w:eastAsia="仿宋_GB2312" w:cs="仿宋_GB2312"/>
                <w:color w:val="auto"/>
                <w:sz w:val="28"/>
                <w:szCs w:val="28"/>
              </w:rPr>
              <w:t>全链条建设</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努力提升药物和医疗器械临床试验能力，助力光明区生物医药产业在本区域内快速开展和完成临床试验。通过与国家高性能医疗器</w:t>
            </w:r>
            <w:r>
              <w:rPr>
                <w:rFonts w:hint="eastAsia" w:ascii="仿宋_GB2312" w:hAnsi="仿宋_GB2312" w:eastAsia="仿宋_GB2312" w:cs="仿宋_GB2312"/>
                <w:color w:val="auto"/>
                <w:sz w:val="28"/>
                <w:szCs w:val="28"/>
                <w:lang w:eastAsia="zh-CN"/>
              </w:rPr>
              <w:t>械</w:t>
            </w:r>
            <w:r>
              <w:rPr>
                <w:rFonts w:hint="eastAsia" w:ascii="仿宋_GB2312" w:hAnsi="仿宋_GB2312" w:eastAsia="仿宋_GB2312" w:cs="仿宋_GB2312"/>
                <w:color w:val="auto"/>
                <w:sz w:val="28"/>
                <w:szCs w:val="28"/>
              </w:rPr>
              <w:t>创新中心和深圳合成生物学创新研究院</w:t>
            </w:r>
            <w:r>
              <w:rPr>
                <w:rFonts w:hint="eastAsia" w:ascii="仿宋_GB2312" w:hAnsi="仿宋_GB2312" w:eastAsia="仿宋_GB2312" w:cs="仿宋_GB2312"/>
                <w:color w:val="auto"/>
                <w:sz w:val="28"/>
                <w:szCs w:val="28"/>
                <w:lang w:eastAsia="zh-CN"/>
              </w:rPr>
              <w:t>等科研平台的</w:t>
            </w:r>
            <w:r>
              <w:rPr>
                <w:rFonts w:hint="eastAsia" w:ascii="仿宋_GB2312" w:hAnsi="仿宋_GB2312" w:eastAsia="仿宋_GB2312" w:cs="仿宋_GB2312"/>
                <w:color w:val="auto"/>
                <w:sz w:val="28"/>
                <w:szCs w:val="28"/>
              </w:rPr>
              <w:t>合作，以“新技术、新成果在临床的应用”为目标，带动5-8个临床医技科室在创建研究型科室，助力研究型医院的建设。</w:t>
            </w:r>
          </w:p>
          <w:p>
            <w:pPr>
              <w:pStyle w:val="2"/>
              <w:keepNext w:val="0"/>
              <w:keepLines w:val="0"/>
              <w:pageBreakBefore w:val="0"/>
              <w:widowControl w:val="0"/>
              <w:kinsoku/>
              <w:wordWrap/>
              <w:overflowPunct/>
              <w:topLinePunct w:val="0"/>
              <w:autoSpaceDE/>
              <w:autoSpaceDN/>
              <w:bidi w:val="0"/>
              <w:adjustRightInd w:val="0"/>
              <w:snapToGrid w:val="0"/>
              <w:spacing w:after="157" w:afterLines="50" w:line="440" w:lineRule="exact"/>
              <w:ind w:left="119" w:firstLine="562" w:firstLineChars="200"/>
              <w:textAlignment w:val="auto"/>
              <w:rPr>
                <w:rStyle w:val="50"/>
                <w:rFonts w:eastAsia="仿宋_GB2312"/>
                <w:color w:val="auto"/>
                <w:highlight w:val="none"/>
              </w:rPr>
            </w:pPr>
            <w:r>
              <w:rPr>
                <w:rFonts w:hint="eastAsia" w:ascii="仿宋_GB2312" w:hAnsi="仿宋_GB2312" w:eastAsia="仿宋_GB2312" w:cs="仿宋_GB2312"/>
                <w:b/>
                <w:bCs/>
                <w:color w:val="auto"/>
                <w:sz w:val="28"/>
                <w:szCs w:val="28"/>
              </w:rPr>
              <w:t>临床医学院项目：</w:t>
            </w:r>
            <w:r>
              <w:rPr>
                <w:rFonts w:hint="eastAsia" w:ascii="仿宋_GB2312" w:hAnsi="仿宋_GB2312" w:eastAsia="仿宋_GB2312" w:cs="仿宋_GB2312"/>
                <w:color w:val="auto"/>
                <w:sz w:val="28"/>
                <w:szCs w:val="28"/>
              </w:rPr>
              <w:t>依托中国科学院大学深圳医院现有的医疗资源和中国科学院大学平台，建设成为管理规范、教学严谨的标准化教学医院，培养和造就一批综合素质高、教学能力强的师资队伍，将模拟培训教学内容与科研、社会应用实践密切结合，力争建成省、市级执业医师培训和考试中心、全民急救医学常识培训基地。计划到2025年实现以临床医学本科理论教学、实习带教、3年住院医师规范化培训、3年临床医学硕士专业学位研究生培养为主体，公共卫生、药学、护理、康复、医学技术等带教为补充，达到国家三级甲等综合医院教学要求，能自主培养合格临床医学专业毕业生的临床医学院，为研究型医院建设提供有力人才和智慧支撑。</w:t>
            </w:r>
          </w:p>
        </w:tc>
      </w:tr>
    </w:tbl>
    <w:p>
      <w:pPr>
        <w:keepNext w:val="0"/>
        <w:keepLines w:val="0"/>
        <w:pageBreakBefore w:val="0"/>
        <w:widowControl w:val="0"/>
        <w:shd w:val="clear"/>
        <w:kinsoku/>
        <w:wordWrap/>
        <w:overflowPunct/>
        <w:topLinePunct w:val="0"/>
        <w:autoSpaceDE/>
        <w:autoSpaceDN/>
        <w:bidi w:val="0"/>
        <w:adjustRightInd/>
        <w:snapToGrid w:val="0"/>
        <w:spacing w:before="157" w:beforeLines="50" w:line="560" w:lineRule="exact"/>
        <w:ind w:firstLine="640" w:firstLineChars="200"/>
        <w:jc w:val="both"/>
        <w:textAlignment w:val="auto"/>
        <w:outlineLvl w:val="2"/>
        <w:rPr>
          <w:rFonts w:hint="eastAsia" w:ascii="黑体" w:hAnsi="黑体" w:eastAsia="黑体" w:cs="黑体"/>
          <w:color w:val="auto"/>
          <w:sz w:val="32"/>
          <w:szCs w:val="32"/>
          <w:lang w:val="en-US" w:eastAsia="zh-CN"/>
        </w:rPr>
      </w:pPr>
      <w:bookmarkStart w:id="2851" w:name="_Toc1310495983_WPSOffice_Level3"/>
      <w:r>
        <w:rPr>
          <w:rFonts w:hint="eastAsia" w:ascii="黑体" w:hAnsi="黑体" w:eastAsia="黑体" w:cs="黑体"/>
          <w:color w:val="auto"/>
          <w:sz w:val="32"/>
          <w:szCs w:val="32"/>
          <w:lang w:val="en-US" w:eastAsia="zh-CN"/>
        </w:rPr>
        <w:t>二、构建医疗卫生人才体系</w:t>
      </w:r>
      <w:bookmarkEnd w:id="2851"/>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jc w:val="both"/>
        <w:textAlignment w:val="auto"/>
        <w:outlineLvl w:val="1"/>
        <w:rPr>
          <w:rFonts w:hint="eastAsia" w:ascii="仿宋_GB2312" w:hAnsi="仿宋_GB2312" w:eastAsia="仿宋_GB2312" w:cs="仿宋_GB2312"/>
          <w:bCs/>
          <w:color w:val="auto"/>
          <w:sz w:val="32"/>
          <w:szCs w:val="32"/>
          <w:lang w:val="en-US" w:eastAsia="zh-CN"/>
        </w:rPr>
      </w:pPr>
      <w:bookmarkStart w:id="2852" w:name="_Toc32197"/>
      <w:r>
        <w:rPr>
          <w:rFonts w:hint="eastAsia" w:ascii="仿宋_GB2312" w:eastAsia="仿宋_GB2312" w:cstheme="minorBidi"/>
          <w:b/>
          <w:color w:val="auto"/>
          <w:sz w:val="32"/>
          <w:szCs w:val="32"/>
          <w:lang w:val="en-US" w:eastAsia="zh-CN"/>
        </w:rPr>
        <w:t>34.</w:t>
      </w:r>
      <w:r>
        <w:rPr>
          <w:rFonts w:hint="eastAsia" w:ascii="仿宋_GB2312" w:hAnsi="Times New Roman" w:eastAsia="仿宋_GB2312" w:cstheme="minorBidi"/>
          <w:b/>
          <w:color w:val="auto"/>
          <w:sz w:val="32"/>
          <w:szCs w:val="32"/>
          <w:lang w:val="en-US" w:eastAsia="zh-CN"/>
        </w:rPr>
        <w:t>深化公立医院人事薪酬改革</w:t>
      </w:r>
      <w:bookmarkEnd w:id="2852"/>
      <w:r>
        <w:rPr>
          <w:rFonts w:hint="eastAsia" w:ascii="仿宋_GB2312" w:eastAsia="仿宋_GB2312" w:cstheme="minorBidi"/>
          <w:b/>
          <w:color w:val="auto"/>
          <w:sz w:val="32"/>
          <w:szCs w:val="32"/>
          <w:lang w:val="en-US" w:eastAsia="zh-CN"/>
        </w:rPr>
        <w:t>。</w:t>
      </w:r>
      <w:r>
        <w:rPr>
          <w:rFonts w:hint="eastAsia" w:ascii="仿宋_GB2312" w:hAnsi="仿宋_GB2312" w:eastAsia="仿宋_GB2312" w:cs="仿宋_GB2312"/>
          <w:bCs/>
          <w:color w:val="auto"/>
          <w:sz w:val="32"/>
          <w:szCs w:val="32"/>
          <w:lang w:val="en-US" w:eastAsia="zh-CN"/>
        </w:rPr>
        <w:t>以推动公立医院高质量发展为核心，贯彻落实《全面深化公立医院人事薪酬制度改革实施意见》，按照以事定岗、以岗定人、以事定费的原则，</w:t>
      </w:r>
      <w:r>
        <w:rPr>
          <w:rFonts w:hint="eastAsia" w:ascii="仿宋_GB2312" w:hAnsi="仿宋_GB2312" w:eastAsia="仿宋_GB2312" w:cs="仿宋_GB2312"/>
          <w:bCs/>
          <w:color w:val="auto"/>
          <w:sz w:val="32"/>
          <w:szCs w:val="32"/>
        </w:rPr>
        <w:t>健全激励约束机制，探索建立适应我</w:t>
      </w:r>
      <w:r>
        <w:rPr>
          <w:rFonts w:hint="eastAsia" w:ascii="仿宋_GB2312" w:hAnsi="仿宋_GB2312" w:eastAsia="仿宋_GB2312" w:cs="仿宋_GB2312"/>
          <w:bCs/>
          <w:color w:val="auto"/>
          <w:sz w:val="32"/>
          <w:szCs w:val="32"/>
          <w:lang w:eastAsia="zh-CN"/>
        </w:rPr>
        <w:t>区</w:t>
      </w:r>
      <w:r>
        <w:rPr>
          <w:rFonts w:hint="eastAsia" w:ascii="仿宋_GB2312" w:hAnsi="仿宋_GB2312" w:eastAsia="仿宋_GB2312" w:cs="仿宋_GB2312"/>
          <w:bCs/>
          <w:color w:val="auto"/>
          <w:sz w:val="32"/>
          <w:szCs w:val="32"/>
        </w:rPr>
        <w:t>特点的公立医院医务人员薪酬制度，以</w:t>
      </w:r>
      <w:r>
        <w:rPr>
          <w:rFonts w:hint="eastAsia" w:ascii="仿宋_GB2312" w:hAnsi="仿宋_GB2312" w:eastAsia="仿宋_GB2312" w:cs="仿宋_GB2312"/>
          <w:bCs/>
          <w:color w:val="auto"/>
          <w:sz w:val="32"/>
          <w:szCs w:val="32"/>
          <w:lang w:eastAsia="zh-CN"/>
        </w:rPr>
        <w:t>服务</w:t>
      </w:r>
      <w:r>
        <w:rPr>
          <w:rFonts w:hint="eastAsia" w:ascii="仿宋_GB2312" w:hAnsi="仿宋_GB2312" w:eastAsia="仿宋_GB2312" w:cs="仿宋_GB2312"/>
          <w:bCs/>
          <w:color w:val="auto"/>
          <w:sz w:val="32"/>
          <w:szCs w:val="32"/>
        </w:rPr>
        <w:t>价值</w:t>
      </w:r>
      <w:r>
        <w:rPr>
          <w:rFonts w:hint="eastAsia" w:ascii="仿宋_GB2312" w:hAnsi="仿宋_GB2312" w:eastAsia="仿宋_GB2312" w:cs="仿宋_GB2312"/>
          <w:bCs/>
          <w:color w:val="auto"/>
          <w:sz w:val="32"/>
          <w:szCs w:val="32"/>
          <w:lang w:eastAsia="zh-CN"/>
        </w:rPr>
        <w:t>、劳动价值</w:t>
      </w:r>
      <w:r>
        <w:rPr>
          <w:rFonts w:hint="eastAsia" w:ascii="仿宋_GB2312" w:hAnsi="仿宋_GB2312" w:eastAsia="仿宋_GB2312" w:cs="仿宋_GB2312"/>
          <w:bCs/>
          <w:color w:val="auto"/>
          <w:sz w:val="32"/>
          <w:szCs w:val="32"/>
        </w:rPr>
        <w:t>为导向进行分配，增强公立医院公益性，调动医务人员积极性</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健全与岗位职责、工作业绩、实际贡献紧密联系的分配激励机制，坚持动态调整与合理预期相结合</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在确保医疗机构良性运行、群众整体负担不增加、医疗服务水平</w:t>
      </w:r>
      <w:r>
        <w:rPr>
          <w:rFonts w:hint="eastAsia" w:ascii="仿宋_GB2312" w:hAnsi="仿宋_GB2312" w:eastAsia="仿宋_GB2312" w:cs="仿宋_GB2312"/>
          <w:bCs/>
          <w:color w:val="auto"/>
          <w:sz w:val="32"/>
          <w:szCs w:val="32"/>
          <w:lang w:eastAsia="zh-CN"/>
        </w:rPr>
        <w:t>稳步</w:t>
      </w:r>
      <w:r>
        <w:rPr>
          <w:rFonts w:hint="eastAsia" w:ascii="仿宋_GB2312" w:hAnsi="仿宋_GB2312" w:eastAsia="仿宋_GB2312" w:cs="仿宋_GB2312"/>
          <w:bCs/>
          <w:color w:val="auto"/>
          <w:sz w:val="32"/>
          <w:szCs w:val="32"/>
        </w:rPr>
        <w:t>提高的基础上，动态调整公立医院薪酬水平，不断提高医疗服务质量和水平</w:t>
      </w:r>
      <w:r>
        <w:rPr>
          <w:rFonts w:hint="eastAsia" w:ascii="仿宋_GB2312" w:hAnsi="仿宋_GB2312" w:eastAsia="仿宋_GB2312" w:cs="仿宋_GB2312"/>
          <w:bCs/>
          <w:color w:val="auto"/>
          <w:sz w:val="32"/>
          <w:szCs w:val="32"/>
          <w:lang w:val="en-US" w:eastAsia="zh-CN"/>
        </w:rPr>
        <w:t>，推动卫生健康事业高质量发展。</w:t>
      </w:r>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eastAsia" w:ascii="仿宋_GB2312" w:hAnsi="仿宋_GB2312" w:eastAsia="仿宋_GB2312" w:cs="仿宋_GB2312"/>
          <w:bCs/>
          <w:color w:val="auto"/>
          <w:sz w:val="32"/>
          <w:szCs w:val="32"/>
          <w:lang w:val="en-US" w:eastAsia="zh-CN"/>
        </w:rPr>
      </w:pPr>
      <w:bookmarkStart w:id="2853" w:name="_Toc26419"/>
      <w:r>
        <w:rPr>
          <w:rFonts w:hint="eastAsia" w:ascii="仿宋_GB2312" w:eastAsia="仿宋_GB2312" w:cstheme="minorBidi"/>
          <w:b/>
          <w:color w:val="auto"/>
          <w:sz w:val="32"/>
          <w:szCs w:val="32"/>
          <w:lang w:val="en-US" w:eastAsia="zh-CN"/>
        </w:rPr>
        <w:t>35</w:t>
      </w:r>
      <w:r>
        <w:rPr>
          <w:rFonts w:hint="eastAsia" w:ascii="仿宋_GB2312" w:hAnsi="Times New Roman" w:eastAsia="仿宋_GB2312" w:cstheme="minorBidi"/>
          <w:b/>
          <w:color w:val="auto"/>
          <w:sz w:val="32"/>
          <w:szCs w:val="32"/>
          <w:lang w:val="en-US" w:eastAsia="zh-CN"/>
        </w:rPr>
        <w:t>.</w:t>
      </w:r>
      <w:bookmarkEnd w:id="2853"/>
      <w:r>
        <w:rPr>
          <w:rFonts w:hint="eastAsia" w:ascii="仿宋_GB2312" w:eastAsia="仿宋_GB2312" w:cstheme="minorBidi"/>
          <w:b/>
          <w:color w:val="auto"/>
          <w:sz w:val="32"/>
          <w:szCs w:val="32"/>
          <w:lang w:val="en-US" w:eastAsia="zh-CN"/>
        </w:rPr>
        <w:t>实施人才队伍高层次发展</w:t>
      </w:r>
      <w:r>
        <w:rPr>
          <w:rFonts w:hint="eastAsia" w:ascii="仿宋_GB2312" w:hAnsi="Times New Roman" w:eastAsia="仿宋_GB2312" w:cstheme="minorBidi"/>
          <w:b/>
          <w:color w:val="auto"/>
          <w:sz w:val="32"/>
          <w:szCs w:val="32"/>
          <w:lang w:val="en-US" w:eastAsia="zh-CN"/>
        </w:rPr>
        <w:t>。</w:t>
      </w:r>
      <w:r>
        <w:rPr>
          <w:rFonts w:hint="eastAsia" w:ascii="仿宋_GB2312" w:hAnsi="仿宋_GB2312" w:eastAsia="仿宋_GB2312" w:cs="仿宋_GB2312"/>
          <w:bCs/>
          <w:color w:val="auto"/>
          <w:sz w:val="32"/>
          <w:szCs w:val="32"/>
          <w:lang w:val="en-US" w:eastAsia="zh-CN"/>
        </w:rPr>
        <w:t>依靠制度管人，按照以事定岗、以岗选才的总体原则，不断完善人才引进机制，建立健全岗位激励措施，力争到2025年引进不少于40名学科带头人、不少于74名骨干人才、不少于110名紧缺人才。深化医疗集团改革和区校合作，依托高水平院校加强人才培养，完善人才输出和输入机制。夯实辖区社康机构人才队伍力量，加大全科医师引进力度，鼓励专科医师通过培训转岗为全科医师。补充学科短板，推动妇幼保健事业，注重补强妇、产、儿科等急需紧缺岗位。完善重大疫情防控体制机制，深化医防协同体系，强化和稳定公共卫生专业技术人才，加强辖区公共卫生人才队伍建设。加大力度开展中医药人才引进工作，推进光明区中医药传承发展研究院试点招聘港澳中医师，促进粤港澳大湾区中医药人才交流融合。支持社会办医，在重点专科建设、人才住房保障、学术地位等方面给予政策支持。</w:t>
      </w:r>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eastAsia" w:ascii="仿宋_GB2312" w:hAnsi="仿宋_GB2312" w:eastAsia="仿宋_GB2312" w:cs="仿宋_GB2312"/>
          <w:bCs/>
          <w:color w:val="auto"/>
          <w:sz w:val="32"/>
          <w:szCs w:val="32"/>
        </w:rPr>
      </w:pPr>
      <w:r>
        <w:rPr>
          <w:rFonts w:hint="eastAsia" w:ascii="仿宋_GB2312" w:eastAsia="仿宋_GB2312" w:cstheme="minorBidi"/>
          <w:b/>
          <w:color w:val="auto"/>
          <w:sz w:val="32"/>
          <w:szCs w:val="32"/>
          <w:lang w:val="en-US" w:eastAsia="zh-CN"/>
        </w:rPr>
        <w:t>36.</w:t>
      </w:r>
      <w:r>
        <w:rPr>
          <w:rFonts w:hint="eastAsia" w:ascii="仿宋_GB2312" w:hAnsi="Times New Roman" w:eastAsia="仿宋_GB2312" w:cstheme="minorBidi"/>
          <w:b/>
          <w:color w:val="auto"/>
          <w:sz w:val="32"/>
          <w:szCs w:val="32"/>
          <w:lang w:val="en-US" w:eastAsia="zh-CN"/>
        </w:rPr>
        <w:t>创新</w:t>
      </w:r>
      <w:r>
        <w:rPr>
          <w:rFonts w:hint="eastAsia" w:ascii="仿宋_GB2312" w:eastAsia="仿宋_GB2312" w:cstheme="minorBidi"/>
          <w:b/>
          <w:color w:val="auto"/>
          <w:sz w:val="32"/>
          <w:szCs w:val="32"/>
          <w:lang w:val="en-US" w:eastAsia="zh-CN"/>
        </w:rPr>
        <w:t>卫生</w:t>
      </w:r>
      <w:r>
        <w:rPr>
          <w:rFonts w:hint="eastAsia" w:ascii="仿宋_GB2312" w:hAnsi="Times New Roman" w:eastAsia="仿宋_GB2312" w:cstheme="minorBidi"/>
          <w:b/>
          <w:color w:val="auto"/>
          <w:sz w:val="32"/>
          <w:szCs w:val="32"/>
          <w:lang w:val="en-US" w:eastAsia="zh-CN"/>
        </w:rPr>
        <w:t>人才评价机制</w:t>
      </w:r>
      <w:r>
        <w:rPr>
          <w:rFonts w:hint="eastAsia" w:ascii="仿宋_GB2312" w:eastAsia="仿宋_GB2312" w:cstheme="minorBidi"/>
          <w:b/>
          <w:color w:val="auto"/>
          <w:sz w:val="32"/>
          <w:szCs w:val="32"/>
          <w:lang w:val="en-US" w:eastAsia="zh-CN"/>
        </w:rPr>
        <w:t>。</w:t>
      </w:r>
      <w:r>
        <w:rPr>
          <w:rFonts w:hint="eastAsia" w:ascii="仿宋_GB2312" w:eastAsia="仿宋_GB2312" w:cstheme="minorBidi"/>
          <w:b w:val="0"/>
          <w:bCs/>
          <w:color w:val="auto"/>
          <w:sz w:val="32"/>
          <w:szCs w:val="32"/>
          <w:lang w:val="en-US" w:eastAsia="zh-CN"/>
        </w:rPr>
        <w:t>坚持党管人才，按照以岗引才为导向，充分发挥用人单位积极主动性，建立岗位评价体系，明确岗位职责和目标责任，</w:t>
      </w:r>
      <w:r>
        <w:rPr>
          <w:rFonts w:hint="eastAsia" w:ascii="仿宋_GB2312" w:hAnsi="仿宋_GB2312" w:eastAsia="仿宋_GB2312" w:cs="仿宋_GB2312"/>
          <w:bCs/>
          <w:color w:val="auto"/>
          <w:sz w:val="32"/>
          <w:szCs w:val="32"/>
        </w:rPr>
        <w:t>建立健全符合</w:t>
      </w:r>
      <w:r>
        <w:rPr>
          <w:rFonts w:hint="eastAsia" w:ascii="仿宋_GB2312" w:hAnsi="仿宋_GB2312" w:eastAsia="仿宋_GB2312" w:cs="仿宋_GB2312"/>
          <w:bCs/>
          <w:color w:val="auto"/>
          <w:sz w:val="32"/>
          <w:szCs w:val="32"/>
          <w:lang w:eastAsia="zh-CN"/>
        </w:rPr>
        <w:t>卫生健康</w:t>
      </w:r>
      <w:r>
        <w:rPr>
          <w:rFonts w:hint="eastAsia" w:ascii="仿宋_GB2312" w:hAnsi="仿宋_GB2312" w:eastAsia="仿宋_GB2312" w:cs="仿宋_GB2312"/>
          <w:bCs/>
          <w:color w:val="auto"/>
          <w:sz w:val="32"/>
          <w:szCs w:val="32"/>
        </w:rPr>
        <w:t>行业特点的人才评价机制</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坚持德才兼备</w:t>
      </w:r>
      <w:r>
        <w:rPr>
          <w:rFonts w:hint="eastAsia" w:ascii="仿宋_GB2312" w:hAnsi="仿宋_GB2312" w:eastAsia="仿宋_GB2312" w:cs="仿宋_GB2312"/>
          <w:bCs/>
          <w:color w:val="auto"/>
          <w:sz w:val="32"/>
          <w:szCs w:val="32"/>
          <w:lang w:eastAsia="zh-CN"/>
        </w:rPr>
        <w:t>，着重政治表现、医德医风</w:t>
      </w:r>
      <w:r>
        <w:rPr>
          <w:rFonts w:hint="eastAsia" w:ascii="仿宋_GB2312" w:hAnsi="仿宋_GB2312" w:eastAsia="仿宋_GB2312" w:cs="仿宋_GB2312"/>
          <w:bCs/>
          <w:color w:val="auto"/>
          <w:sz w:val="32"/>
          <w:szCs w:val="32"/>
        </w:rPr>
        <w:t>，注重凭能力、实绩和贡献</w:t>
      </w:r>
      <w:r>
        <w:rPr>
          <w:rFonts w:hint="eastAsia" w:ascii="仿宋_GB2312" w:hAnsi="仿宋_GB2312" w:eastAsia="仿宋_GB2312" w:cs="仿宋_GB2312"/>
          <w:bCs/>
          <w:color w:val="auto"/>
          <w:sz w:val="32"/>
          <w:szCs w:val="32"/>
          <w:lang w:eastAsia="zh-CN"/>
        </w:rPr>
        <w:t>客观</w:t>
      </w:r>
      <w:r>
        <w:rPr>
          <w:rFonts w:hint="eastAsia" w:ascii="仿宋_GB2312" w:hAnsi="仿宋_GB2312" w:eastAsia="仿宋_GB2312" w:cs="仿宋_GB2312"/>
          <w:bCs/>
          <w:color w:val="auto"/>
          <w:sz w:val="32"/>
          <w:szCs w:val="32"/>
        </w:rPr>
        <w:t>评价人才，克服唯学历、唯职称、唯论文等倾向。</w:t>
      </w:r>
      <w:r>
        <w:rPr>
          <w:rFonts w:hint="eastAsia" w:ascii="仿宋_GB2312" w:hAnsi="仿宋_GB2312" w:eastAsia="仿宋_GB2312" w:cs="仿宋_GB2312"/>
          <w:bCs/>
          <w:color w:val="auto"/>
          <w:sz w:val="32"/>
          <w:szCs w:val="32"/>
          <w:lang w:eastAsia="zh-CN"/>
        </w:rPr>
        <w:t>结合岗位职责履行情况，突出能力水平、业绩成果、贡献度及群众满意度，</w:t>
      </w:r>
      <w:r>
        <w:rPr>
          <w:rFonts w:hint="eastAsia" w:ascii="仿宋_GB2312" w:hAnsi="仿宋_GB2312" w:eastAsia="仿宋_GB2312" w:cs="仿宋_GB2312"/>
          <w:bCs/>
          <w:color w:val="auto"/>
          <w:sz w:val="32"/>
          <w:szCs w:val="32"/>
        </w:rPr>
        <w:t>改进卫生</w:t>
      </w:r>
      <w:r>
        <w:rPr>
          <w:rFonts w:hint="eastAsia" w:ascii="仿宋_GB2312" w:hAnsi="仿宋_GB2312" w:eastAsia="仿宋_GB2312" w:cs="仿宋_GB2312"/>
          <w:bCs/>
          <w:color w:val="auto"/>
          <w:sz w:val="32"/>
          <w:szCs w:val="32"/>
          <w:lang w:eastAsia="zh-CN"/>
        </w:rPr>
        <w:t>健康</w:t>
      </w:r>
      <w:r>
        <w:rPr>
          <w:rFonts w:hint="eastAsia" w:ascii="仿宋_GB2312" w:hAnsi="仿宋_GB2312" w:eastAsia="仿宋_GB2312" w:cs="仿宋_GB2312"/>
          <w:bCs/>
          <w:color w:val="auto"/>
          <w:sz w:val="32"/>
          <w:szCs w:val="32"/>
        </w:rPr>
        <w:t>人才评价方式，建立科学化、社会化、市场化的人才评价制度</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拓宽医务人员职业发展空间。</w:t>
      </w:r>
    </w:p>
    <w:p>
      <w:pPr>
        <w:keepNext w:val="0"/>
        <w:keepLines w:val="0"/>
        <w:pageBreakBefore w:val="0"/>
        <w:widowControl/>
        <w:shd w:val="clear"/>
        <w:kinsoku/>
        <w:wordWrap/>
        <w:overflowPunct/>
        <w:topLinePunct w:val="0"/>
        <w:autoSpaceDN/>
        <w:bidi w:val="0"/>
        <w:spacing w:line="560" w:lineRule="exact"/>
        <w:ind w:firstLine="640" w:firstLineChars="200"/>
        <w:jc w:val="both"/>
        <w:textAlignment w:val="auto"/>
        <w:outlineLvl w:val="0"/>
        <w:rPr>
          <w:rFonts w:hint="eastAsia" w:ascii="Times New Roman" w:hAnsi="Times New Roman" w:eastAsia="黑体" w:cstheme="minorBidi"/>
          <w:b w:val="0"/>
          <w:bCs/>
          <w:color w:val="auto"/>
          <w:kern w:val="44"/>
          <w:sz w:val="32"/>
          <w:szCs w:val="32"/>
          <w:lang w:val="en-US" w:eastAsia="zh-CN" w:bidi="ar-SA"/>
        </w:rPr>
      </w:pPr>
      <w:bookmarkStart w:id="2854" w:name="_Toc1288580277_WPSOffice_Level3"/>
      <w:r>
        <w:rPr>
          <w:rFonts w:hint="eastAsia" w:eastAsia="黑体" w:cstheme="minorBidi"/>
          <w:b w:val="0"/>
          <w:bCs/>
          <w:color w:val="auto"/>
          <w:kern w:val="44"/>
          <w:sz w:val="32"/>
          <w:szCs w:val="32"/>
          <w:lang w:val="en-US" w:eastAsia="zh-CN" w:bidi="ar-SA"/>
        </w:rPr>
        <w:t>三</w:t>
      </w:r>
      <w:r>
        <w:rPr>
          <w:rFonts w:hint="eastAsia" w:ascii="Times New Roman" w:hAnsi="Times New Roman" w:eastAsia="黑体" w:cstheme="minorBidi"/>
          <w:b w:val="0"/>
          <w:bCs/>
          <w:color w:val="auto"/>
          <w:kern w:val="44"/>
          <w:sz w:val="32"/>
          <w:szCs w:val="32"/>
          <w:lang w:val="en-US" w:eastAsia="zh-CN" w:bidi="ar-SA"/>
        </w:rPr>
        <w:t>、筑牢医疗卫生</w:t>
      </w:r>
      <w:r>
        <w:rPr>
          <w:rFonts w:hint="eastAsia" w:eastAsia="黑体" w:cstheme="minorBidi"/>
          <w:b w:val="0"/>
          <w:bCs/>
          <w:color w:val="auto"/>
          <w:kern w:val="44"/>
          <w:sz w:val="32"/>
          <w:szCs w:val="32"/>
          <w:lang w:val="en-US" w:eastAsia="zh-CN" w:bidi="ar-SA"/>
        </w:rPr>
        <w:t>法治</w:t>
      </w:r>
      <w:r>
        <w:rPr>
          <w:rFonts w:hint="eastAsia" w:ascii="Times New Roman" w:hAnsi="Times New Roman" w:eastAsia="黑体" w:cstheme="minorBidi"/>
          <w:b w:val="0"/>
          <w:bCs/>
          <w:color w:val="auto"/>
          <w:kern w:val="44"/>
          <w:sz w:val="32"/>
          <w:szCs w:val="32"/>
          <w:lang w:val="en-US" w:eastAsia="zh-CN" w:bidi="ar-SA"/>
        </w:rPr>
        <w:t>屏障</w:t>
      </w:r>
      <w:bookmarkEnd w:id="2854"/>
      <w:bookmarkStart w:id="2855" w:name="_Toc25273"/>
      <w:bookmarkStart w:id="2856" w:name="_Toc26730"/>
      <w:bookmarkStart w:id="2857" w:name="_Toc1949"/>
      <w:bookmarkStart w:id="2858" w:name="_Toc10455"/>
      <w:bookmarkStart w:id="2859" w:name="_Toc27069"/>
      <w:bookmarkStart w:id="2860" w:name="_Toc31362"/>
      <w:bookmarkStart w:id="2861" w:name="_Toc28959"/>
      <w:bookmarkStart w:id="2862" w:name="_Toc19491"/>
      <w:bookmarkStart w:id="2863" w:name="_Toc807"/>
      <w:bookmarkStart w:id="2864" w:name="_Toc28316"/>
      <w:bookmarkStart w:id="2865" w:name="_Toc21452"/>
      <w:bookmarkStart w:id="2866" w:name="_Toc15560"/>
      <w:bookmarkStart w:id="2867" w:name="_Toc3106"/>
      <w:bookmarkStart w:id="2868" w:name="_Toc10090"/>
      <w:bookmarkStart w:id="2869" w:name="_Toc12469"/>
      <w:bookmarkStart w:id="2870" w:name="_Toc393"/>
      <w:bookmarkStart w:id="2871" w:name="_Toc10902"/>
      <w:bookmarkStart w:id="2872" w:name="_Toc13282"/>
      <w:bookmarkStart w:id="2873" w:name="_Toc6792"/>
      <w:bookmarkStart w:id="2874" w:name="_Toc15276"/>
      <w:bookmarkStart w:id="2875" w:name="_Toc32411"/>
      <w:bookmarkStart w:id="2876" w:name="_Toc10779"/>
      <w:bookmarkStart w:id="2877" w:name="_Toc491"/>
      <w:bookmarkStart w:id="2878" w:name="_Toc28961"/>
      <w:bookmarkStart w:id="2879" w:name="_Toc3810"/>
      <w:bookmarkStart w:id="2880" w:name="_Toc18632"/>
      <w:bookmarkStart w:id="2881" w:name="_Toc15"/>
      <w:bookmarkStart w:id="2882" w:name="_Toc30173"/>
      <w:bookmarkStart w:id="2883" w:name="_Toc13973"/>
      <w:bookmarkStart w:id="2884" w:name="_Toc10227"/>
      <w:bookmarkStart w:id="2885" w:name="_Toc28747"/>
      <w:bookmarkStart w:id="2886" w:name="_Toc29428"/>
      <w:bookmarkStart w:id="2887" w:name="_Toc7571"/>
    </w:p>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p>
      <w:pPr>
        <w:keepNext w:val="0"/>
        <w:keepLines w:val="0"/>
        <w:pageBreakBefore w:val="0"/>
        <w:widowControl w:val="0"/>
        <w:kinsoku/>
        <w:wordWrap/>
        <w:overflowPunct/>
        <w:topLinePunct w:val="0"/>
        <w:autoSpaceDN/>
        <w:bidi w:val="0"/>
        <w:spacing w:line="560" w:lineRule="exact"/>
        <w:ind w:firstLine="642" w:firstLineChars="200"/>
        <w:jc w:val="both"/>
        <w:textAlignment w:val="auto"/>
        <w:rPr>
          <w:rFonts w:hint="eastAsia" w:ascii="仿宋_GB2312" w:hAnsi="仿宋_GB2312" w:eastAsia="仿宋_GB2312" w:cs="仿宋_GB2312"/>
          <w:bCs w:val="0"/>
          <w:color w:val="auto"/>
          <w:kern w:val="2"/>
          <w:sz w:val="32"/>
          <w:szCs w:val="32"/>
          <w:highlight w:val="none"/>
          <w:lang w:val="en-US" w:eastAsia="zh-CN" w:bidi="ar-SA"/>
        </w:rPr>
      </w:pPr>
      <w:bookmarkStart w:id="2888" w:name="_Toc14973"/>
      <w:bookmarkStart w:id="2889" w:name="_Toc22710"/>
      <w:bookmarkStart w:id="2890" w:name="_Toc23091"/>
      <w:bookmarkStart w:id="2891" w:name="_Toc19116"/>
      <w:bookmarkStart w:id="2892" w:name="_Toc14105"/>
      <w:bookmarkStart w:id="2893" w:name="_Toc21568"/>
      <w:bookmarkStart w:id="2894" w:name="_Toc21122"/>
      <w:bookmarkStart w:id="2895" w:name="_Toc32076"/>
      <w:bookmarkStart w:id="2896" w:name="_Toc13322"/>
      <w:bookmarkStart w:id="2897" w:name="_Toc11614"/>
      <w:bookmarkStart w:id="2898" w:name="_Toc26967"/>
      <w:bookmarkStart w:id="2899" w:name="_Toc25079"/>
      <w:bookmarkStart w:id="2900" w:name="_Toc28646"/>
      <w:bookmarkStart w:id="2901" w:name="_Toc1016"/>
      <w:bookmarkStart w:id="2902" w:name="_Toc4622"/>
      <w:bookmarkStart w:id="2903" w:name="_Toc12662"/>
      <w:bookmarkStart w:id="2904" w:name="_Toc21531"/>
      <w:bookmarkStart w:id="2905" w:name="_Toc22086"/>
      <w:bookmarkStart w:id="2906" w:name="_Toc1042"/>
      <w:bookmarkStart w:id="2907" w:name="_Toc15952"/>
      <w:bookmarkStart w:id="2908" w:name="_Toc24857"/>
      <w:bookmarkStart w:id="2909" w:name="_Toc30846"/>
      <w:bookmarkStart w:id="2910" w:name="_Toc20360"/>
      <w:bookmarkStart w:id="2911" w:name="_Toc24282"/>
      <w:bookmarkStart w:id="2912" w:name="_Toc8443"/>
      <w:bookmarkStart w:id="2913" w:name="_Toc981"/>
      <w:bookmarkStart w:id="2914" w:name="_Toc7161"/>
      <w:bookmarkStart w:id="2915" w:name="_Toc31641"/>
      <w:bookmarkStart w:id="2916" w:name="_Toc24056"/>
      <w:bookmarkStart w:id="2917" w:name="_Toc17205"/>
      <w:bookmarkStart w:id="2918" w:name="_Toc5415"/>
      <w:bookmarkStart w:id="2919" w:name="_Toc19160"/>
      <w:bookmarkStart w:id="2920" w:name="_Toc26671"/>
      <w:bookmarkStart w:id="2921" w:name="_Toc14209"/>
      <w:bookmarkStart w:id="2922" w:name="_Toc17275"/>
      <w:bookmarkStart w:id="2923" w:name="_Toc17749"/>
      <w:bookmarkStart w:id="2924" w:name="_Toc4638"/>
      <w:bookmarkStart w:id="2925" w:name="_Toc29697"/>
      <w:bookmarkStart w:id="2926" w:name="_Toc3798"/>
      <w:bookmarkStart w:id="2927" w:name="_Toc23077"/>
      <w:bookmarkStart w:id="2928" w:name="_Toc17690"/>
      <w:bookmarkStart w:id="2929" w:name="_Toc4156"/>
      <w:bookmarkStart w:id="2930" w:name="_Toc3816"/>
      <w:bookmarkStart w:id="2931" w:name="_Toc16325"/>
      <w:bookmarkStart w:id="2932" w:name="_Toc7973"/>
      <w:bookmarkStart w:id="2933" w:name="_Toc21876"/>
      <w:bookmarkStart w:id="2934" w:name="_Toc29080"/>
      <w:bookmarkStart w:id="2935" w:name="_Toc30085"/>
      <w:bookmarkStart w:id="2936" w:name="_Toc25782"/>
      <w:bookmarkStart w:id="2937" w:name="_Toc3045"/>
      <w:bookmarkStart w:id="2938" w:name="_Toc24654"/>
      <w:bookmarkStart w:id="2939" w:name="_Toc32288"/>
      <w:bookmarkStart w:id="2940" w:name="_Toc19153"/>
      <w:bookmarkStart w:id="2941" w:name="_Toc30326"/>
      <w:bookmarkStart w:id="2942" w:name="_Toc10934"/>
      <w:bookmarkStart w:id="2943" w:name="_Toc15366"/>
      <w:r>
        <w:rPr>
          <w:rFonts w:hint="eastAsia" w:ascii="仿宋_GB2312" w:hAnsi="仿宋_GB2312" w:eastAsia="仿宋_GB2312" w:cs="仿宋_GB2312"/>
          <w:b/>
          <w:bCs/>
          <w:color w:val="auto"/>
          <w:kern w:val="2"/>
          <w:sz w:val="32"/>
          <w:szCs w:val="32"/>
          <w:highlight w:val="none"/>
          <w:lang w:val="en-US" w:eastAsia="zh-CN" w:bidi="ar-SA"/>
        </w:rPr>
        <w:t>37.深化医疗卫生“放管服”改革。</w:t>
      </w:r>
      <w:r>
        <w:rPr>
          <w:rFonts w:hint="eastAsia" w:ascii="仿宋_GB2312" w:hAnsi="仿宋_GB2312" w:eastAsia="仿宋_GB2312" w:cs="仿宋_GB2312"/>
          <w:bCs w:val="0"/>
          <w:color w:val="auto"/>
          <w:kern w:val="2"/>
          <w:sz w:val="32"/>
          <w:szCs w:val="32"/>
          <w:highlight w:val="none"/>
          <w:lang w:val="en-US" w:eastAsia="zh-CN" w:bidi="ar-SA"/>
        </w:rPr>
        <w:t>深化卫生健康领域“放管服”改革，加快推进“互联网+政务服务”改革，加强内部审批流程优化、机制创新和信息共享，压缩审批时限达，提升审批效率，深化政务服务“一网通办”，提升政务服务智能化水平。畅通行政执法投诉和监督渠道，提升行政质量和效率，优化办医环境。</w:t>
      </w:r>
    </w:p>
    <w:p>
      <w:pPr>
        <w:keepNext w:val="0"/>
        <w:keepLines w:val="0"/>
        <w:pageBreakBefore w:val="0"/>
        <w:widowControl w:val="0"/>
        <w:kinsoku/>
        <w:wordWrap/>
        <w:overflowPunct/>
        <w:topLinePunct w:val="0"/>
        <w:autoSpaceDN/>
        <w:bidi w:val="0"/>
        <w:spacing w:line="560" w:lineRule="exact"/>
        <w:ind w:firstLine="642" w:firstLineChars="200"/>
        <w:jc w:val="both"/>
        <w:textAlignment w:val="auto"/>
        <w:rPr>
          <w:rFonts w:hint="eastAsia" w:ascii="仿宋_GB2312" w:hAnsi="仿宋_GB2312" w:eastAsia="仿宋_GB2312" w:cs="仿宋_GB2312"/>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38.加强卫生健康法治建设。</w:t>
      </w:r>
      <w:bookmarkStart w:id="2944" w:name="_Toc25380"/>
      <w:bookmarkStart w:id="2945" w:name="_Toc8875"/>
      <w:bookmarkStart w:id="2946" w:name="_Toc8925"/>
      <w:bookmarkStart w:id="2947" w:name="_Toc4223"/>
      <w:bookmarkStart w:id="2948" w:name="_Toc2571"/>
      <w:bookmarkStart w:id="2949" w:name="_Toc25854"/>
      <w:bookmarkStart w:id="2950" w:name="_Toc27843"/>
      <w:bookmarkStart w:id="2951" w:name="_Toc28743"/>
      <w:bookmarkStart w:id="2952" w:name="_Toc23210"/>
      <w:bookmarkStart w:id="2953" w:name="_Toc1675"/>
      <w:bookmarkStart w:id="2954" w:name="_Toc3911"/>
      <w:bookmarkStart w:id="2955" w:name="_Toc17093"/>
      <w:bookmarkStart w:id="2956" w:name="_Toc12438"/>
      <w:bookmarkStart w:id="2957" w:name="_Toc2018"/>
      <w:bookmarkStart w:id="2958" w:name="_Toc3873"/>
      <w:bookmarkStart w:id="2959" w:name="_Toc16237"/>
      <w:bookmarkStart w:id="2960" w:name="_Toc31228"/>
      <w:bookmarkStart w:id="2961" w:name="_Toc16647"/>
      <w:bookmarkStart w:id="2962" w:name="_Toc113"/>
      <w:bookmarkStart w:id="2963" w:name="_Toc28709"/>
      <w:bookmarkStart w:id="2964" w:name="_Toc1699"/>
      <w:bookmarkStart w:id="2965" w:name="_Toc17062"/>
      <w:bookmarkStart w:id="2966" w:name="_Toc27595"/>
      <w:bookmarkStart w:id="2967" w:name="_Toc1504"/>
      <w:bookmarkStart w:id="2968" w:name="_Toc3812"/>
      <w:bookmarkStart w:id="2969" w:name="_Toc8926"/>
      <w:bookmarkStart w:id="2970" w:name="_Toc7809"/>
      <w:bookmarkStart w:id="2971" w:name="_Toc13220"/>
      <w:bookmarkStart w:id="2972" w:name="_Toc8374"/>
      <w:bookmarkStart w:id="2973" w:name="_Toc29580"/>
      <w:bookmarkStart w:id="2974" w:name="_Toc12313"/>
      <w:bookmarkStart w:id="2975" w:name="_Toc29527"/>
      <w:bookmarkStart w:id="2976" w:name="_Toc25382"/>
      <w:bookmarkStart w:id="2977" w:name="_Toc3489"/>
      <w:bookmarkStart w:id="2978" w:name="_Toc9076"/>
      <w:bookmarkStart w:id="2979" w:name="_Toc24863"/>
      <w:bookmarkStart w:id="2980" w:name="_Toc3698"/>
      <w:bookmarkStart w:id="2981" w:name="_Toc18098"/>
      <w:bookmarkStart w:id="2982" w:name="_Toc1530"/>
      <w:bookmarkStart w:id="2983" w:name="_Toc18437"/>
      <w:bookmarkStart w:id="2984" w:name="_Toc31016"/>
      <w:bookmarkStart w:id="2985" w:name="_Toc1364"/>
      <w:bookmarkStart w:id="2986" w:name="_Toc13200"/>
      <w:bookmarkStart w:id="2987" w:name="_Toc13"/>
      <w:bookmarkStart w:id="2988" w:name="_Toc927"/>
      <w:bookmarkStart w:id="2989" w:name="_Toc905"/>
      <w:bookmarkStart w:id="2990" w:name="_Toc16689"/>
      <w:bookmarkStart w:id="2991" w:name="_Toc5028"/>
      <w:bookmarkStart w:id="2992" w:name="_Toc21123"/>
      <w:bookmarkStart w:id="2993" w:name="_Toc8157"/>
      <w:bookmarkStart w:id="2994" w:name="_Toc13372"/>
      <w:bookmarkStart w:id="2995" w:name="_Toc32129"/>
      <w:bookmarkStart w:id="2996" w:name="_Toc5918"/>
      <w:bookmarkStart w:id="2997" w:name="_Toc31173"/>
      <w:bookmarkStart w:id="2998" w:name="_Toc28219"/>
      <w:bookmarkStart w:id="2999" w:name="_Toc11154"/>
      <w:r>
        <w:rPr>
          <w:rFonts w:hint="eastAsia" w:ascii="仿宋_GB2312" w:hAnsi="仿宋_GB2312" w:eastAsia="仿宋_GB2312" w:cs="仿宋_GB2312"/>
          <w:b w:val="0"/>
          <w:bCs w:val="0"/>
          <w:color w:val="auto"/>
          <w:kern w:val="2"/>
          <w:sz w:val="32"/>
          <w:szCs w:val="32"/>
          <w:highlight w:val="none"/>
          <w:lang w:val="en-US" w:eastAsia="zh-CN" w:bidi="ar-SA"/>
        </w:rPr>
        <w:t>落实“谁执法谁普法”责任制，紧抓“八五”普法规划工作主线，深入推进卫生健康</w:t>
      </w:r>
      <w:r>
        <w:rPr>
          <w:rFonts w:hint="eastAsia" w:ascii="仿宋_GB2312" w:hAnsi="仿宋_GB2312" w:eastAsia="仿宋_GB2312" w:cs="仿宋_GB2312"/>
          <w:bCs w:val="0"/>
          <w:color w:val="auto"/>
          <w:kern w:val="2"/>
          <w:sz w:val="32"/>
          <w:szCs w:val="32"/>
          <w:highlight w:val="none"/>
          <w:lang w:val="en-US" w:eastAsia="zh-CN" w:bidi="ar-SA"/>
        </w:rPr>
        <w:t>系统法治教育，健全普法依法治理工作机制，加强重点人员法治教育，增强全系统尊法学法用法氛围。加强向社会宣传卫生健康领域法律法规和卫生健康标准，提升公民法治素养。落实医疗机构依法执业主体责任，加强公立医院法治建设。</w:t>
      </w:r>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p>
    <w:p>
      <w:pPr>
        <w:keepNext w:val="0"/>
        <w:keepLines w:val="0"/>
        <w:pageBreakBefore w:val="0"/>
        <w:widowControl w:val="0"/>
        <w:kinsoku/>
        <w:wordWrap/>
        <w:overflowPunct/>
        <w:topLinePunct w:val="0"/>
        <w:autoSpaceDN/>
        <w:bidi w:val="0"/>
        <w:spacing w:line="560" w:lineRule="exact"/>
        <w:ind w:firstLine="642" w:firstLineChars="200"/>
        <w:jc w:val="both"/>
        <w:textAlignment w:val="auto"/>
        <w:rPr>
          <w:rFonts w:hint="eastAsia" w:ascii="仿宋_GB2312" w:hAnsi="仿宋_GB2312" w:eastAsia="仿宋_GB2312" w:cs="仿宋_GB2312"/>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39.提高依法治理能效。</w:t>
      </w:r>
      <w:r>
        <w:rPr>
          <w:rFonts w:hint="eastAsia" w:ascii="仿宋_GB2312" w:hAnsi="仿宋_GB2312" w:eastAsia="仿宋_GB2312" w:cs="仿宋_GB2312"/>
          <w:bCs w:val="0"/>
          <w:color w:val="auto"/>
          <w:kern w:val="2"/>
          <w:sz w:val="32"/>
          <w:szCs w:val="32"/>
          <w:highlight w:val="none"/>
          <w:lang w:val="en-US" w:eastAsia="zh-CN" w:bidi="ar-SA"/>
        </w:rPr>
        <w:t>实施社会办医高水平法治服务，充分利用“诊所服务监管一体化平台”对社会办诊所实施全流程、全要素的智能综合监管，实现社会办诊所100%覆盖。开展专项执法行动，严厉打击无证行医、医疗欺诈等违法行为。健全医疗机构准入与退出机制，归集行政许可、行政处罚、不良执业记分等信息，提升行业信用监管水平。</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黑体" w:hAnsi="黑体" w:eastAsia="黑体" w:cs="黑体"/>
          <w:color w:val="auto"/>
          <w:sz w:val="32"/>
          <w:szCs w:val="32"/>
          <w:lang w:val="en-US" w:eastAsia="zh-CN"/>
        </w:rPr>
      </w:pPr>
      <w:bookmarkStart w:id="3000" w:name="_Toc1941250493_WPSOffice_Level3"/>
      <w:r>
        <w:rPr>
          <w:rFonts w:hint="eastAsia" w:ascii="黑体" w:hAnsi="黑体" w:eastAsia="黑体" w:cs="黑体"/>
          <w:color w:val="auto"/>
          <w:sz w:val="32"/>
          <w:szCs w:val="32"/>
          <w:lang w:val="en-US" w:eastAsia="zh-CN"/>
        </w:rPr>
        <w:t>四、推动医疗服务智慧升级</w:t>
      </w:r>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3000"/>
    </w:p>
    <w:p>
      <w:pPr>
        <w:keepNext w:val="0"/>
        <w:keepLines w:val="0"/>
        <w:pageBreakBefore w:val="0"/>
        <w:widowControl w:val="0"/>
        <w:kinsoku/>
        <w:wordWrap/>
        <w:overflowPunct/>
        <w:topLinePunct w:val="0"/>
        <w:autoSpaceDN/>
        <w:bidi w:val="0"/>
        <w:spacing w:line="560" w:lineRule="exact"/>
        <w:ind w:firstLine="642" w:firstLineChars="200"/>
        <w:jc w:val="both"/>
        <w:textAlignment w:val="auto"/>
        <w:rPr>
          <w:rFonts w:hint="eastAsia" w:ascii="仿宋_GB2312" w:hAnsi="仿宋_GB2312" w:eastAsia="仿宋_GB2312" w:cs="仿宋_GB2312"/>
          <w:bCs w:val="0"/>
          <w:color w:val="auto"/>
          <w:kern w:val="2"/>
          <w:sz w:val="32"/>
          <w:szCs w:val="32"/>
          <w:highlight w:val="none"/>
          <w:lang w:val="en-US" w:eastAsia="zh-CN" w:bidi="ar-SA"/>
        </w:rPr>
      </w:pPr>
      <w:bookmarkStart w:id="3001" w:name="_Toc1029"/>
      <w:bookmarkStart w:id="3002" w:name="_Toc28990"/>
      <w:r>
        <w:rPr>
          <w:rFonts w:hint="eastAsia" w:ascii="仿宋_GB2312" w:hAnsi="仿宋_GB2312" w:eastAsia="仿宋_GB2312" w:cs="仿宋_GB2312"/>
          <w:b/>
          <w:bCs/>
          <w:color w:val="auto"/>
          <w:kern w:val="2"/>
          <w:sz w:val="32"/>
          <w:szCs w:val="32"/>
          <w:highlight w:val="none"/>
          <w:lang w:val="en-US" w:eastAsia="zh-CN" w:bidi="ar-SA"/>
        </w:rPr>
        <w:t>40.加强区域卫生信息化统筹管理。</w:t>
      </w:r>
      <w:r>
        <w:rPr>
          <w:rFonts w:hint="eastAsia" w:ascii="仿宋_GB2312" w:hAnsi="仿宋_GB2312" w:eastAsia="仿宋_GB2312" w:cs="仿宋_GB2312"/>
          <w:bCs w:val="0"/>
          <w:color w:val="auto"/>
          <w:kern w:val="2"/>
          <w:sz w:val="32"/>
          <w:szCs w:val="32"/>
          <w:highlight w:val="none"/>
          <w:lang w:val="en-US" w:eastAsia="zh-CN" w:bidi="ar-SA"/>
        </w:rPr>
        <w:t>编制区域卫生信息化专项行动计划，完善卫生健康信息化实施方案。建立全区标准统一、资源整合、互联互通、监管有力的区域医疗卫生综合服务体系，</w:t>
      </w:r>
      <w:r>
        <w:rPr>
          <w:rFonts w:hint="eastAsia" w:ascii="仿宋_GB2312" w:hAnsi="仿宋_GB2312" w:eastAsia="仿宋_GB2312" w:cs="仿宋_GB2312"/>
          <w:color w:val="auto"/>
          <w:sz w:val="32"/>
          <w:szCs w:val="32"/>
          <w:highlight w:val="none"/>
        </w:rPr>
        <w:t>加快</w:t>
      </w:r>
      <w:r>
        <w:rPr>
          <w:rFonts w:hint="eastAsia" w:ascii="仿宋_GB2312" w:hAnsi="仿宋_GB2312" w:eastAsia="仿宋_GB2312" w:cs="仿宋_GB2312"/>
          <w:color w:val="auto"/>
          <w:sz w:val="32"/>
          <w:szCs w:val="32"/>
          <w:highlight w:val="none"/>
          <w:lang w:eastAsia="zh-CN"/>
        </w:rPr>
        <w:t>推进区域</w:t>
      </w:r>
      <w:r>
        <w:rPr>
          <w:rFonts w:hint="eastAsia" w:ascii="仿宋_GB2312" w:hAnsi="仿宋_GB2312" w:eastAsia="仿宋_GB2312" w:cs="仿宋_GB2312"/>
          <w:color w:val="auto"/>
          <w:sz w:val="32"/>
          <w:szCs w:val="32"/>
          <w:highlight w:val="none"/>
        </w:rPr>
        <w:t>健康医疗数据汇聚和共享</w:t>
      </w:r>
      <w:r>
        <w:rPr>
          <w:rFonts w:hint="eastAsia" w:ascii="仿宋_GB2312" w:hAnsi="仿宋_GB2312" w:eastAsia="仿宋_GB2312" w:cs="仿宋_GB2312"/>
          <w:bCs w:val="0"/>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eastAsia="zh-CN"/>
        </w:rPr>
        <w:t>完善</w:t>
      </w:r>
      <w:r>
        <w:rPr>
          <w:rFonts w:hint="eastAsia" w:ascii="仿宋_GB2312" w:hAnsi="仿宋_GB2312" w:eastAsia="仿宋_GB2312" w:cs="仿宋_GB2312"/>
          <w:color w:val="auto"/>
          <w:sz w:val="32"/>
          <w:szCs w:val="32"/>
          <w:highlight w:val="none"/>
        </w:rPr>
        <w:t>网络信息安全管理制度，</w:t>
      </w:r>
      <w:r>
        <w:rPr>
          <w:rFonts w:hint="eastAsia" w:ascii="仿宋_GB2312" w:hAnsi="仿宋_GB2312" w:eastAsia="仿宋_GB2312" w:cs="仿宋_GB2312"/>
          <w:bCs w:val="0"/>
          <w:color w:val="auto"/>
          <w:kern w:val="2"/>
          <w:sz w:val="32"/>
          <w:szCs w:val="32"/>
          <w:highlight w:val="none"/>
          <w:lang w:val="en-US" w:eastAsia="zh-CN" w:bidi="ar-SA"/>
        </w:rPr>
        <w:t>严格落实</w:t>
      </w:r>
      <w:r>
        <w:rPr>
          <w:rFonts w:hint="eastAsia" w:ascii="仿宋_GB2312" w:hAnsi="仿宋_GB2312" w:eastAsia="仿宋_GB2312" w:cs="仿宋_GB2312"/>
          <w:color w:val="auto"/>
          <w:sz w:val="32"/>
          <w:szCs w:val="32"/>
          <w:highlight w:val="none"/>
        </w:rPr>
        <w:t>居民医疗卫生信息安全和个人隐私保护制度，确保系统运行安全和信息安全。</w:t>
      </w:r>
      <w:bookmarkEnd w:id="3001"/>
    </w:p>
    <w:p>
      <w:pPr>
        <w:pStyle w:val="31"/>
        <w:keepNext w:val="0"/>
        <w:keepLines w:val="0"/>
        <w:pageBreakBefore w:val="0"/>
        <w:widowControl w:val="0"/>
        <w:shd w:val="clear"/>
        <w:kinsoku/>
        <w:wordWrap/>
        <w:overflowPunct/>
        <w:topLinePunct w:val="0"/>
        <w:autoSpaceDE w:val="0"/>
        <w:autoSpaceDN/>
        <w:bidi w:val="0"/>
        <w:adjustRightInd/>
        <w:snapToGrid/>
        <w:spacing w:line="560" w:lineRule="exact"/>
        <w:ind w:firstLine="642" w:firstLineChars="200"/>
        <w:jc w:val="both"/>
        <w:textAlignment w:val="auto"/>
        <w:outlineLvl w:val="1"/>
        <w:rPr>
          <w:rFonts w:eastAsia="仿宋_GB2312"/>
          <w:color w:val="auto"/>
          <w:highlight w:val="none"/>
        </w:rPr>
      </w:pPr>
      <w:r>
        <w:rPr>
          <w:rFonts w:hint="eastAsia" w:ascii="仿宋_GB2312" w:hAnsi="仿宋_GB2312" w:eastAsia="仿宋_GB2312" w:cs="仿宋_GB2312"/>
          <w:b/>
          <w:bCs w:val="0"/>
          <w:color w:val="auto"/>
          <w:sz w:val="32"/>
          <w:szCs w:val="32"/>
          <w:highlight w:val="none"/>
          <w:lang w:val="en-US" w:eastAsia="zh-CN"/>
        </w:rPr>
        <w:t>41.</w:t>
      </w:r>
      <w:r>
        <w:rPr>
          <w:rFonts w:hint="eastAsia" w:ascii="仿宋_GB2312" w:hAnsi="仿宋_GB2312" w:eastAsia="仿宋_GB2312" w:cs="仿宋_GB2312"/>
          <w:b/>
          <w:bCs w:val="0"/>
          <w:color w:val="auto"/>
          <w:sz w:val="32"/>
          <w:szCs w:val="32"/>
          <w:highlight w:val="none"/>
        </w:rPr>
        <w:t>推动卫生健康数据互联互通。</w:t>
      </w:r>
      <w:r>
        <w:rPr>
          <w:rFonts w:hint="eastAsia" w:ascii="仿宋_GB2312" w:hAnsi="仿宋_GB2312" w:eastAsia="仿宋_GB2312" w:cs="仿宋_GB2312"/>
          <w:bCs w:val="0"/>
          <w:color w:val="auto"/>
          <w:kern w:val="2"/>
          <w:sz w:val="32"/>
          <w:szCs w:val="32"/>
          <w:highlight w:val="none"/>
          <w:lang w:val="en-US" w:eastAsia="zh-CN" w:bidi="ar-SA"/>
        </w:rPr>
        <w:t>升级区域全民健康信息平台，完成辖区内医疗卫生机构接入，实现医疗数据全面归集有效整合，</w:t>
      </w:r>
      <w:r>
        <w:rPr>
          <w:rFonts w:hint="eastAsia" w:ascii="仿宋_GB2312" w:hAnsi="仿宋_GB2312" w:eastAsia="仿宋_GB2312" w:cs="仿宋_GB2312"/>
          <w:color w:val="auto"/>
          <w:sz w:val="32"/>
          <w:szCs w:val="32"/>
          <w:highlight w:val="none"/>
        </w:rPr>
        <w:t>形成卫生健康域数据资产体系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val="0"/>
          <w:color w:val="auto"/>
          <w:kern w:val="2"/>
          <w:sz w:val="32"/>
          <w:szCs w:val="32"/>
          <w:highlight w:val="none"/>
          <w:lang w:val="en-US" w:eastAsia="zh-CN" w:bidi="ar-SA"/>
        </w:rPr>
        <w:t>为临床决策、智慧社区卫生服务、行业监管决策、公共卫生监测预警等提供支持。推进实名制就医，推广电子健康码应用，实现全区就诊信息互联互通共享。</w:t>
      </w:r>
      <w:r>
        <w:rPr>
          <w:rFonts w:hint="eastAsia" w:ascii="仿宋_GB2312" w:hAnsi="仿宋_GB2312" w:eastAsia="仿宋_GB2312" w:cs="仿宋_GB2312"/>
          <w:color w:val="auto"/>
          <w:sz w:val="32"/>
          <w:szCs w:val="32"/>
          <w:highlight w:val="none"/>
        </w:rPr>
        <w:t>推动卫生健康资源目录编制工作，将医疗健康数据接入光明区大数据平台，实现区一级横向</w:t>
      </w:r>
      <w:r>
        <w:rPr>
          <w:rFonts w:hint="eastAsia" w:ascii="仿宋_GB2312" w:hAnsi="仿宋_GB2312" w:eastAsia="仿宋_GB2312" w:cs="仿宋_GB2312"/>
          <w:color w:val="auto"/>
          <w:sz w:val="32"/>
          <w:szCs w:val="32"/>
          <w:highlight w:val="none"/>
          <w:lang w:eastAsia="zh-CN"/>
        </w:rPr>
        <w:t>应用</w:t>
      </w:r>
      <w:r>
        <w:rPr>
          <w:rFonts w:hint="eastAsia" w:ascii="仿宋_GB2312" w:hAnsi="仿宋_GB2312" w:eastAsia="仿宋_GB2312" w:cs="仿宋_GB2312"/>
          <w:color w:val="auto"/>
          <w:sz w:val="32"/>
          <w:szCs w:val="32"/>
          <w:highlight w:val="none"/>
        </w:rPr>
        <w:t>的互联互通和数据共享，提高行政效率，提升服务水平，发挥数据资源共享在深化改革、转变职能、创新管理中的重要作用。</w:t>
      </w:r>
      <w:bookmarkEnd w:id="3002"/>
    </w:p>
    <w:p>
      <w:pPr>
        <w:pStyle w:val="31"/>
        <w:keepNext w:val="0"/>
        <w:keepLines w:val="0"/>
        <w:pageBreakBefore w:val="0"/>
        <w:widowControl w:val="0"/>
        <w:shd w:val="clear"/>
        <w:kinsoku/>
        <w:wordWrap/>
        <w:overflowPunct/>
        <w:topLinePunct w:val="0"/>
        <w:autoSpaceDE w:val="0"/>
        <w:autoSpaceDN/>
        <w:bidi w:val="0"/>
        <w:adjustRightInd/>
        <w:snapToGrid/>
        <w:spacing w:line="560" w:lineRule="exact"/>
        <w:ind w:firstLine="642" w:firstLineChars="200"/>
        <w:jc w:val="both"/>
        <w:textAlignment w:val="auto"/>
        <w:outlineLvl w:val="1"/>
        <w:rPr>
          <w:rFonts w:ascii="仿宋_GB2312" w:hAnsi="仿宋_GB2312" w:eastAsia="仿宋_GB2312" w:cs="仿宋_GB2312"/>
          <w:color w:val="auto"/>
          <w:sz w:val="32"/>
          <w:szCs w:val="32"/>
          <w:highlight w:val="yellow"/>
        </w:rPr>
      </w:pPr>
      <w:bookmarkStart w:id="3003" w:name="_Toc24843"/>
      <w:r>
        <w:rPr>
          <w:rFonts w:hint="eastAsia" w:ascii="仿宋_GB2312" w:hAnsi="仿宋_GB2312" w:eastAsia="仿宋_GB2312" w:cs="仿宋_GB2312"/>
          <w:b/>
          <w:bCs w:val="0"/>
          <w:color w:val="auto"/>
          <w:sz w:val="32"/>
          <w:szCs w:val="32"/>
          <w:highlight w:val="none"/>
          <w:lang w:val="en-US" w:eastAsia="zh-CN"/>
        </w:rPr>
        <w:t>42.持续提升区域医疗健康信息化水平。</w:t>
      </w:r>
      <w:r>
        <w:rPr>
          <w:rFonts w:hint="eastAsia" w:ascii="仿宋_GB2312" w:hAnsi="黑体" w:eastAsia="仿宋_GB2312" w:cs="Calibri"/>
          <w:color w:val="auto"/>
          <w:sz w:val="32"/>
          <w:szCs w:val="32"/>
          <w:highlight w:val="none"/>
          <w:lang w:eastAsia="zh-CN"/>
        </w:rPr>
        <w:t>持续推进</w:t>
      </w:r>
      <w:r>
        <w:rPr>
          <w:rFonts w:hint="eastAsia" w:ascii="仿宋_GB2312" w:hAnsi="仿宋" w:eastAsia="仿宋_GB2312" w:cs="仿宋_GB2312"/>
          <w:color w:val="auto"/>
          <w:sz w:val="32"/>
          <w:szCs w:val="32"/>
          <w:highlight w:val="none"/>
        </w:rPr>
        <w:t>以电子病历为核心的</w:t>
      </w:r>
      <w:r>
        <w:rPr>
          <w:rFonts w:hint="eastAsia" w:ascii="仿宋_GB2312" w:hAnsi="仿宋" w:eastAsia="仿宋_GB2312" w:cs="仿宋_GB2312"/>
          <w:color w:val="auto"/>
          <w:sz w:val="32"/>
          <w:szCs w:val="32"/>
          <w:highlight w:val="none"/>
          <w:lang w:eastAsia="zh-CN"/>
        </w:rPr>
        <w:t>医院</w:t>
      </w:r>
      <w:r>
        <w:rPr>
          <w:rFonts w:hint="eastAsia" w:ascii="仿宋_GB2312" w:hAnsi="仿宋" w:eastAsia="仿宋_GB2312" w:cs="仿宋_GB2312"/>
          <w:color w:val="auto"/>
          <w:sz w:val="32"/>
          <w:szCs w:val="32"/>
          <w:highlight w:val="none"/>
        </w:rPr>
        <w:t>信息化建设</w:t>
      </w:r>
      <w:r>
        <w:rPr>
          <w:rFonts w:hint="eastAsia" w:ascii="仿宋_GB2312" w:hAnsi="黑体" w:eastAsia="仿宋_GB2312" w:cs="Calibri"/>
          <w:color w:val="auto"/>
          <w:sz w:val="32"/>
          <w:szCs w:val="32"/>
          <w:highlight w:val="none"/>
        </w:rPr>
        <w:t>，完善以患者为中心、全流程闭环的智能化医疗服务模式</w:t>
      </w:r>
      <w:r>
        <w:rPr>
          <w:rFonts w:hint="eastAsia" w:ascii="仿宋_GB2312" w:hAnsi="黑体" w:eastAsia="仿宋_GB2312" w:cs="Calibri"/>
          <w:color w:val="auto"/>
          <w:sz w:val="32"/>
          <w:szCs w:val="32"/>
          <w:highlight w:val="none"/>
          <w:lang w:eastAsia="zh-CN"/>
        </w:rPr>
        <w:t>，推动区属医疗机构不断</w:t>
      </w:r>
      <w:r>
        <w:rPr>
          <w:rFonts w:hint="eastAsia" w:ascii="仿宋_GB2312" w:hAnsi="黑体" w:eastAsia="仿宋_GB2312" w:cs="Calibri"/>
          <w:color w:val="auto"/>
          <w:sz w:val="32"/>
          <w:szCs w:val="32"/>
          <w:highlight w:val="none"/>
        </w:rPr>
        <w:t>提升医院智慧化水平</w:t>
      </w:r>
      <w:r>
        <w:rPr>
          <w:rFonts w:hint="eastAsia" w:ascii="仿宋_GB2312" w:hAnsi="仿宋" w:eastAsia="仿宋_GB2312" w:cs="仿宋_GB2312"/>
          <w:color w:val="auto"/>
          <w:sz w:val="32"/>
          <w:szCs w:val="32"/>
          <w:highlight w:val="none"/>
          <w:lang w:eastAsia="zh-CN"/>
        </w:rPr>
        <w:t>，2023年区属三级及以上公立医院</w:t>
      </w:r>
      <w:r>
        <w:rPr>
          <w:rFonts w:hint="eastAsia" w:ascii="仿宋_GB2312" w:hAnsi="仿宋" w:eastAsia="仿宋_GB2312" w:cs="仿宋_GB2312"/>
          <w:color w:val="auto"/>
          <w:sz w:val="32"/>
          <w:szCs w:val="32"/>
          <w:highlight w:val="none"/>
          <w:lang w:val="en-US" w:eastAsia="zh-CN"/>
        </w:rPr>
        <w:t>电子病历系统功能应用</w:t>
      </w:r>
      <w:r>
        <w:rPr>
          <w:rFonts w:hint="eastAsia" w:ascii="仿宋_GB2312" w:hAnsi="仿宋" w:eastAsia="仿宋_GB2312" w:cs="仿宋_GB2312"/>
          <w:color w:val="auto"/>
          <w:sz w:val="32"/>
          <w:szCs w:val="32"/>
          <w:highlight w:val="none"/>
          <w:lang w:eastAsia="zh-CN"/>
        </w:rPr>
        <w:t>达到五级</w:t>
      </w:r>
      <w:r>
        <w:rPr>
          <w:rFonts w:hint="eastAsia" w:ascii="仿宋_GB2312" w:hAnsi="仿宋" w:eastAsia="仿宋_GB2312" w:cs="仿宋_GB2312"/>
          <w:color w:val="auto"/>
          <w:sz w:val="32"/>
          <w:szCs w:val="32"/>
          <w:highlight w:val="none"/>
          <w:lang w:val="en-US" w:eastAsia="zh-CN"/>
        </w:rPr>
        <w:t>水平</w:t>
      </w:r>
      <w:r>
        <w:rPr>
          <w:rFonts w:hint="eastAsia" w:ascii="仿宋_GB2312" w:hAnsi="仿宋" w:eastAsia="仿宋_GB2312" w:cs="仿宋_GB2312"/>
          <w:color w:val="auto"/>
          <w:sz w:val="32"/>
          <w:szCs w:val="32"/>
          <w:highlight w:val="none"/>
          <w:lang w:eastAsia="zh-CN"/>
        </w:rPr>
        <w:t>，2025年达到六级水平</w:t>
      </w:r>
      <w:r>
        <w:rPr>
          <w:rFonts w:hint="eastAsia" w:ascii="仿宋_GB2312" w:hAnsi="仿宋" w:eastAsia="仿宋_GB2312" w:cs="仿宋_GB2312"/>
          <w:color w:val="auto"/>
          <w:sz w:val="32"/>
          <w:szCs w:val="32"/>
          <w:highlight w:val="none"/>
          <w:lang w:val="en-US" w:eastAsia="zh-CN"/>
        </w:rPr>
        <w:t>。</w:t>
      </w:r>
      <w:bookmarkEnd w:id="3003"/>
      <w:r>
        <w:rPr>
          <w:rFonts w:hint="eastAsia" w:ascii="仿宋_GB2312" w:hAnsi="仿宋_GB2312" w:eastAsia="仿宋_GB2312" w:cs="仿宋_GB2312"/>
          <w:color w:val="auto"/>
          <w:sz w:val="32"/>
          <w:szCs w:val="32"/>
          <w:highlight w:val="none"/>
        </w:rPr>
        <w:t>建</w:t>
      </w:r>
      <w:r>
        <w:rPr>
          <w:rFonts w:hint="eastAsia" w:ascii="仿宋_GB2312" w:hAnsi="仿宋_GB2312" w:eastAsia="仿宋_GB2312" w:cs="仿宋_GB2312"/>
          <w:color w:val="auto"/>
          <w:sz w:val="32"/>
          <w:szCs w:val="32"/>
          <w:highlight w:val="none"/>
          <w:lang w:eastAsia="zh-CN"/>
        </w:rPr>
        <w:t>立</w:t>
      </w:r>
      <w:r>
        <w:rPr>
          <w:rFonts w:hint="eastAsia" w:ascii="仿宋_GB2312" w:hAnsi="仿宋_GB2312" w:eastAsia="仿宋_GB2312" w:cs="仿宋_GB2312"/>
          <w:color w:val="auto"/>
          <w:sz w:val="32"/>
          <w:szCs w:val="32"/>
          <w:highlight w:val="none"/>
        </w:rPr>
        <w:t>区域妇幼保健服务业务协同体系，实施严格的数据质量控制，为妇幼保健工作的管理和决策提供全面、准确的信息支持。</w:t>
      </w:r>
      <w:r>
        <w:rPr>
          <w:rFonts w:hint="eastAsia" w:ascii="仿宋_GB2312" w:hAnsi="仿宋_GB2312" w:eastAsia="仿宋_GB2312" w:cs="仿宋_GB2312"/>
          <w:color w:val="auto"/>
          <w:sz w:val="32"/>
          <w:szCs w:val="32"/>
          <w:highlight w:val="none"/>
          <w:lang w:eastAsia="zh-CN"/>
        </w:rPr>
        <w:t>探索</w:t>
      </w:r>
      <w:r>
        <w:rPr>
          <w:rFonts w:hint="eastAsia" w:ascii="仿宋_GB2312" w:hAnsi="仿宋_GB2312" w:eastAsia="仿宋_GB2312" w:cs="仿宋_GB2312"/>
          <w:color w:val="auto"/>
          <w:sz w:val="32"/>
          <w:szCs w:val="32"/>
          <w:highlight w:val="none"/>
        </w:rPr>
        <w:t>5G</w:t>
      </w:r>
      <w:r>
        <w:rPr>
          <w:rFonts w:hint="eastAsia" w:ascii="仿宋_GB2312" w:hAnsi="仿宋_GB2312" w:eastAsia="仿宋_GB2312" w:cs="仿宋_GB2312"/>
          <w:color w:val="auto"/>
          <w:sz w:val="32"/>
          <w:szCs w:val="32"/>
          <w:highlight w:val="none"/>
          <w:lang w:eastAsia="zh-CN"/>
        </w:rPr>
        <w:t>和人工智能赋能智慧医疗，推动</w:t>
      </w:r>
      <w:r>
        <w:rPr>
          <w:rFonts w:hint="eastAsia" w:ascii="仿宋_GB2312" w:hAnsi="仿宋_GB2312" w:eastAsia="仿宋_GB2312" w:cs="仿宋_GB2312"/>
          <w:color w:val="auto"/>
          <w:sz w:val="32"/>
          <w:szCs w:val="32"/>
          <w:highlight w:val="none"/>
        </w:rPr>
        <w:t>智能AI心电诊断、远程查房、远程会诊</w:t>
      </w:r>
      <w:r>
        <w:rPr>
          <w:rFonts w:hint="eastAsia" w:ascii="仿宋_GB2312" w:hAnsi="仿宋_GB2312" w:eastAsia="仿宋_GB2312" w:cs="仿宋_GB2312"/>
          <w:color w:val="auto"/>
          <w:sz w:val="32"/>
          <w:szCs w:val="32"/>
          <w:highlight w:val="none"/>
          <w:lang w:eastAsia="zh-CN"/>
        </w:rPr>
        <w:t>在各医疗健康场景中的应用，逐步实现</w:t>
      </w:r>
      <w:r>
        <w:rPr>
          <w:rFonts w:hint="eastAsia" w:ascii="仿宋_GB2312" w:hAnsi="仿宋_GB2312" w:eastAsia="仿宋_GB2312" w:cs="仿宋_GB2312"/>
          <w:color w:val="auto"/>
          <w:sz w:val="32"/>
          <w:szCs w:val="32"/>
          <w:highlight w:val="none"/>
        </w:rPr>
        <w:t>家庭病床、护理院、社康中心和医院</w:t>
      </w:r>
      <w:r>
        <w:rPr>
          <w:rFonts w:hint="eastAsia" w:ascii="仿宋_GB2312" w:hAnsi="仿宋_GB2312" w:eastAsia="仿宋_GB2312" w:cs="仿宋_GB2312"/>
          <w:color w:val="auto"/>
          <w:sz w:val="32"/>
          <w:szCs w:val="32"/>
          <w:highlight w:val="none"/>
          <w:lang w:eastAsia="zh-CN"/>
        </w:rPr>
        <w:t>的医疗</w:t>
      </w:r>
      <w:r>
        <w:rPr>
          <w:rFonts w:hint="eastAsia" w:ascii="仿宋_GB2312" w:hAnsi="仿宋_GB2312" w:eastAsia="仿宋_GB2312" w:cs="仿宋_GB2312"/>
          <w:color w:val="auto"/>
          <w:sz w:val="32"/>
          <w:szCs w:val="32"/>
          <w:highlight w:val="none"/>
        </w:rPr>
        <w:t>全场景</w:t>
      </w:r>
      <w:r>
        <w:rPr>
          <w:rFonts w:hint="eastAsia" w:ascii="仿宋_GB2312" w:hAnsi="仿宋" w:eastAsia="仿宋_GB2312" w:cs="仿宋_GB2312"/>
          <w:color w:val="auto"/>
          <w:sz w:val="32"/>
          <w:szCs w:val="32"/>
          <w:lang w:val="en-US" w:eastAsia="zh-CN"/>
        </w:rPr>
        <w:t>覆盖</w:t>
      </w:r>
      <w:r>
        <w:rPr>
          <w:rFonts w:hint="eastAsia" w:ascii="仿宋_GB2312" w:hAnsi="仿宋_GB2312" w:eastAsia="仿宋_GB2312" w:cs="仿宋_GB2312"/>
          <w:color w:val="auto"/>
          <w:sz w:val="32"/>
          <w:szCs w:val="32"/>
          <w:highlight w:val="none"/>
        </w:rPr>
        <w:t>，创建“光明模式”的远程会诊，创</w:t>
      </w:r>
      <w:r>
        <w:rPr>
          <w:rFonts w:hint="eastAsia" w:ascii="仿宋_GB2312" w:hAnsi="仿宋_GB2312" w:eastAsia="仿宋_GB2312" w:cs="仿宋_GB2312"/>
          <w:color w:val="auto"/>
          <w:sz w:val="32"/>
          <w:szCs w:val="32"/>
          <w:highlight w:val="none"/>
          <w:lang w:eastAsia="zh-CN"/>
        </w:rPr>
        <w:t>新医养结合、</w:t>
      </w:r>
      <w:r>
        <w:rPr>
          <w:rFonts w:hint="eastAsia" w:ascii="仿宋_GB2312" w:hAnsi="仿宋" w:eastAsia="仿宋_GB2312" w:cs="仿宋_GB2312"/>
          <w:color w:val="auto"/>
          <w:sz w:val="32"/>
          <w:szCs w:val="32"/>
          <w:lang w:val="en-US" w:eastAsia="zh-CN"/>
        </w:rPr>
        <w:t>慢病管理新模式</w:t>
      </w:r>
      <w:r>
        <w:rPr>
          <w:rFonts w:hint="eastAsia" w:ascii="仿宋_GB2312" w:hAnsi="仿宋_GB2312" w:eastAsia="仿宋_GB2312" w:cs="仿宋_GB2312"/>
          <w:color w:val="auto"/>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textAlignment w:val="auto"/>
        <w:outlineLvl w:val="1"/>
        <w:rPr>
          <w:rFonts w:ascii="仿宋" w:hAnsi="仿宋" w:eastAsia="仿宋" w:cs="仿宋"/>
          <w:color w:val="auto"/>
          <w:sz w:val="32"/>
          <w:szCs w:val="32"/>
          <w:highlight w:val="none"/>
        </w:rPr>
      </w:pPr>
      <w:bookmarkStart w:id="3004" w:name="_Toc29081"/>
      <w:r>
        <w:rPr>
          <w:rFonts w:hint="eastAsia" w:ascii="仿宋_GB2312" w:hAnsi="仿宋_GB2312" w:eastAsia="仿宋_GB2312" w:cs="仿宋_GB2312"/>
          <w:b/>
          <w:bCs w:val="0"/>
          <w:color w:val="auto"/>
          <w:sz w:val="32"/>
          <w:szCs w:val="32"/>
          <w:highlight w:val="none"/>
          <w:lang w:val="en-US" w:eastAsia="zh-CN"/>
        </w:rPr>
        <w:t>43.推动</w:t>
      </w:r>
      <w:r>
        <w:rPr>
          <w:rFonts w:hint="eastAsia" w:ascii="仿宋_GB2312" w:hAnsi="仿宋_GB2312" w:eastAsia="仿宋_GB2312" w:cs="仿宋_GB2312"/>
          <w:b/>
          <w:bCs w:val="0"/>
          <w:color w:val="auto"/>
          <w:sz w:val="32"/>
          <w:szCs w:val="32"/>
          <w:highlight w:val="none"/>
        </w:rPr>
        <w:t>“互联网+</w:t>
      </w:r>
      <w:r>
        <w:rPr>
          <w:rFonts w:hint="eastAsia" w:ascii="仿宋_GB2312" w:hAnsi="仿宋_GB2312" w:eastAsia="仿宋_GB2312" w:cs="仿宋_GB2312"/>
          <w:b/>
          <w:bCs/>
          <w:color w:val="auto"/>
          <w:sz w:val="32"/>
          <w:szCs w:val="32"/>
          <w:highlight w:val="none"/>
          <w:lang w:eastAsia="zh-CN"/>
        </w:rPr>
        <w:t>健康</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bCs/>
          <w:color w:val="auto"/>
          <w:sz w:val="32"/>
          <w:szCs w:val="32"/>
          <w:highlight w:val="none"/>
        </w:rPr>
        <w:t>便民惠民</w:t>
      </w:r>
      <w:r>
        <w:rPr>
          <w:rFonts w:hint="eastAsia" w:ascii="仿宋_GB2312" w:hAnsi="仿宋_GB2312" w:eastAsia="仿宋_GB2312" w:cs="仿宋_GB2312"/>
          <w:b/>
          <w:bCs w:val="0"/>
          <w:color w:val="auto"/>
          <w:sz w:val="32"/>
          <w:szCs w:val="32"/>
          <w:highlight w:val="none"/>
        </w:rPr>
        <w:t>服务。</w:t>
      </w:r>
      <w:r>
        <w:rPr>
          <w:rFonts w:hint="eastAsia" w:ascii="仿宋_GB2312" w:hAnsi="仿宋_GB2312" w:eastAsia="仿宋_GB2312" w:cs="仿宋_GB2312"/>
          <w:color w:val="auto"/>
          <w:spacing w:val="15"/>
          <w:sz w:val="32"/>
          <w:szCs w:val="32"/>
          <w:highlight w:val="none"/>
          <w:lang w:eastAsia="zh-CN"/>
        </w:rPr>
        <w:t>以便民惠民需求为导向，</w:t>
      </w:r>
      <w:r>
        <w:rPr>
          <w:rFonts w:hint="eastAsia" w:ascii="仿宋_GB2312" w:hAnsi="仿宋_GB2312" w:eastAsia="仿宋_GB2312" w:cs="仿宋_GB2312"/>
          <w:color w:val="auto"/>
          <w:sz w:val="32"/>
          <w:szCs w:val="32"/>
          <w:highlight w:val="none"/>
          <w:lang w:eastAsia="zh-CN"/>
        </w:rPr>
        <w:t>依托</w:t>
      </w:r>
      <w:r>
        <w:rPr>
          <w:rFonts w:hint="eastAsia" w:ascii="仿宋_GB2312" w:hAnsi="仿宋_GB2312" w:eastAsia="仿宋_GB2312" w:cs="仿宋_GB2312"/>
          <w:color w:val="auto"/>
          <w:spacing w:val="15"/>
          <w:sz w:val="32"/>
          <w:szCs w:val="32"/>
          <w:highlight w:val="none"/>
        </w:rPr>
        <w:t>健康深圳APP、微信公众号、小程序、支付宝等</w:t>
      </w:r>
      <w:r>
        <w:rPr>
          <w:rFonts w:hint="eastAsia" w:ascii="仿宋_GB2312" w:hAnsi="仿宋_GB2312" w:eastAsia="仿宋_GB2312" w:cs="仿宋_GB2312"/>
          <w:color w:val="auto"/>
          <w:spacing w:val="15"/>
          <w:sz w:val="32"/>
          <w:szCs w:val="32"/>
          <w:highlight w:val="none"/>
          <w:lang w:eastAsia="zh-CN"/>
        </w:rPr>
        <w:t>应用，</w:t>
      </w:r>
      <w:r>
        <w:rPr>
          <w:rFonts w:hint="eastAsia" w:ascii="仿宋_GB2312" w:hAnsi="仿宋_GB2312" w:eastAsia="仿宋_GB2312" w:cs="仿宋_GB2312"/>
          <w:color w:val="auto"/>
          <w:sz w:val="32"/>
          <w:szCs w:val="32"/>
          <w:highlight w:val="none"/>
        </w:rPr>
        <w:t>推进</w:t>
      </w:r>
      <w:r>
        <w:rPr>
          <w:rFonts w:hint="eastAsia" w:ascii="仿宋_GB2312" w:hAnsi="仿宋_GB2312" w:eastAsia="仿宋_GB2312" w:cs="仿宋_GB2312"/>
          <w:color w:val="auto"/>
          <w:sz w:val="32"/>
          <w:szCs w:val="32"/>
          <w:highlight w:val="none"/>
          <w:lang w:eastAsia="zh-CN"/>
        </w:rPr>
        <w:t>在线</w:t>
      </w:r>
      <w:r>
        <w:rPr>
          <w:rFonts w:hint="eastAsia" w:ascii="仿宋_GB2312" w:hAnsi="仿宋_GB2312" w:eastAsia="仿宋_GB2312" w:cs="仿宋_GB2312"/>
          <w:color w:val="auto"/>
          <w:sz w:val="32"/>
          <w:szCs w:val="32"/>
          <w:highlight w:val="none"/>
        </w:rPr>
        <w:t>预约、智能</w:t>
      </w:r>
      <w:r>
        <w:rPr>
          <w:rFonts w:hint="eastAsia" w:ascii="仿宋_GB2312" w:hAnsi="仿宋_GB2312" w:eastAsia="仿宋_GB2312" w:cs="仿宋_GB2312"/>
          <w:color w:val="auto"/>
          <w:sz w:val="32"/>
          <w:szCs w:val="32"/>
          <w:highlight w:val="none"/>
          <w:lang w:eastAsia="zh-CN"/>
        </w:rPr>
        <w:t>预</w:t>
      </w:r>
      <w:r>
        <w:rPr>
          <w:rFonts w:hint="eastAsia" w:ascii="仿宋_GB2312" w:hAnsi="仿宋_GB2312" w:eastAsia="仿宋_GB2312" w:cs="仿宋_GB2312"/>
          <w:color w:val="auto"/>
          <w:sz w:val="32"/>
          <w:szCs w:val="32"/>
          <w:highlight w:val="none"/>
        </w:rPr>
        <w:t>诊</w:t>
      </w:r>
      <w:r>
        <w:rPr>
          <w:rFonts w:hint="eastAsia" w:ascii="仿宋_GB2312" w:hAnsi="仿宋_GB2312" w:eastAsia="仿宋_GB2312" w:cs="仿宋_GB2312"/>
          <w:color w:val="auto"/>
          <w:sz w:val="32"/>
          <w:szCs w:val="32"/>
          <w:highlight w:val="none"/>
          <w:lang w:eastAsia="zh-CN"/>
        </w:rPr>
        <w:t>分诊</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院内导航、</w:t>
      </w:r>
      <w:r>
        <w:rPr>
          <w:rFonts w:hint="eastAsia" w:ascii="仿宋_GB2312" w:hAnsi="仿宋_GB2312" w:eastAsia="仿宋_GB2312" w:cs="仿宋_GB2312"/>
          <w:color w:val="auto"/>
          <w:sz w:val="32"/>
          <w:szCs w:val="32"/>
          <w:highlight w:val="none"/>
        </w:rPr>
        <w:t>检验检查结果</w:t>
      </w:r>
      <w:r>
        <w:rPr>
          <w:rFonts w:hint="eastAsia" w:ascii="仿宋_GB2312" w:hAnsi="仿宋_GB2312" w:eastAsia="仿宋_GB2312" w:cs="仿宋_GB2312"/>
          <w:color w:val="auto"/>
          <w:sz w:val="32"/>
          <w:szCs w:val="32"/>
          <w:highlight w:val="none"/>
          <w:lang w:eastAsia="zh-CN"/>
        </w:rPr>
        <w:t>通知</w:t>
      </w:r>
      <w:r>
        <w:rPr>
          <w:rFonts w:hint="eastAsia" w:ascii="仿宋_GB2312" w:hAnsi="仿宋_GB2312" w:eastAsia="仿宋_GB2312" w:cs="仿宋_GB2312"/>
          <w:color w:val="auto"/>
          <w:sz w:val="32"/>
          <w:szCs w:val="32"/>
          <w:highlight w:val="none"/>
        </w:rPr>
        <w:t>、移动支付等场景应用</w:t>
      </w:r>
      <w:r>
        <w:rPr>
          <w:rFonts w:hint="eastAsia" w:ascii="仿宋_GB2312" w:hAnsi="仿宋_GB2312" w:eastAsia="仿宋_GB2312" w:cs="仿宋_GB2312"/>
          <w:color w:val="auto"/>
          <w:sz w:val="32"/>
          <w:szCs w:val="32"/>
          <w:highlight w:val="none"/>
          <w:lang w:eastAsia="zh-CN"/>
        </w:rPr>
        <w:t>，对诊前、诊中、诊后环节进行流程优化和智慧创新，</w:t>
      </w:r>
      <w:r>
        <w:rPr>
          <w:rFonts w:hint="eastAsia" w:ascii="仿宋_GB2312" w:hAnsi="仿宋_GB2312" w:eastAsia="仿宋_GB2312" w:cs="仿宋_GB2312"/>
          <w:color w:val="auto"/>
          <w:spacing w:val="15"/>
          <w:sz w:val="32"/>
          <w:szCs w:val="32"/>
          <w:highlight w:val="none"/>
          <w:lang w:eastAsia="zh-CN"/>
        </w:rPr>
        <w:t>不断缩减就医流程和等待时间，改善群众就医体验</w:t>
      </w:r>
      <w:r>
        <w:rPr>
          <w:rFonts w:hint="eastAsia" w:ascii="仿宋_GB2312" w:hAnsi="仿宋_GB2312" w:eastAsia="仿宋_GB2312" w:cs="仿宋_GB2312"/>
          <w:color w:val="auto"/>
          <w:spacing w:val="15"/>
          <w:sz w:val="32"/>
          <w:szCs w:val="32"/>
          <w:highlight w:val="none"/>
        </w:rPr>
        <w:t>。</w:t>
      </w:r>
      <w:r>
        <w:rPr>
          <w:rFonts w:hint="eastAsia" w:ascii="仿宋_GB2312" w:hAnsi="仿宋_GB2312" w:eastAsia="仿宋_GB2312" w:cs="仿宋_GB2312"/>
          <w:color w:val="auto"/>
          <w:sz w:val="32"/>
          <w:szCs w:val="32"/>
          <w:highlight w:val="none"/>
        </w:rPr>
        <w:t>推动互联网医院建设，丰富互联网医院的服务内容，提供在线复诊、慢病续方、药品配送和安宁疗护等服务，形成线上线下的服务闭环，</w:t>
      </w:r>
      <w:r>
        <w:rPr>
          <w:rFonts w:hint="eastAsia" w:ascii="仿宋_GB2312" w:hAnsi="仿宋_GB2312" w:eastAsia="仿宋_GB2312" w:cs="仿宋_GB2312"/>
          <w:color w:val="auto"/>
          <w:sz w:val="32"/>
          <w:szCs w:val="32"/>
          <w:highlight w:val="none"/>
          <w:lang w:eastAsia="zh-CN"/>
        </w:rPr>
        <w:t>提高诊疗效率与质量</w:t>
      </w:r>
      <w:r>
        <w:rPr>
          <w:rFonts w:hint="eastAsia" w:ascii="仿宋_GB2312" w:hAnsi="仿宋_GB2312" w:eastAsia="仿宋_GB2312" w:cs="仿宋_GB2312"/>
          <w:color w:val="auto"/>
          <w:sz w:val="32"/>
          <w:szCs w:val="32"/>
          <w:highlight w:val="none"/>
        </w:rPr>
        <w:t>。</w:t>
      </w:r>
      <w:bookmarkEnd w:id="3004"/>
      <w:r>
        <w:rPr>
          <w:rFonts w:hint="eastAsia" w:ascii="仿宋_GB2312" w:hAnsi="仿宋_GB2312" w:eastAsia="仿宋_GB2312" w:cs="仿宋_GB2312"/>
          <w:color w:val="auto"/>
          <w:sz w:val="32"/>
          <w:szCs w:val="32"/>
          <w:highlight w:val="none"/>
          <w:lang w:eastAsia="zh-CN"/>
        </w:rPr>
        <w:t>推进居家健康管理应用建设，实现</w:t>
      </w:r>
      <w:r>
        <w:rPr>
          <w:rFonts w:hint="eastAsia" w:ascii="仿宋_GB2312" w:hAnsi="仿宋_GB2312" w:eastAsia="仿宋_GB2312" w:cs="仿宋_GB2312"/>
          <w:color w:val="auto"/>
          <w:sz w:val="32"/>
          <w:szCs w:val="32"/>
          <w:highlight w:val="none"/>
        </w:rPr>
        <w:t>居民健康信息数据实时上传</w:t>
      </w:r>
      <w:r>
        <w:rPr>
          <w:rFonts w:hint="eastAsia" w:ascii="仿宋_GB2312" w:hAnsi="仿宋_GB2312" w:eastAsia="仿宋_GB2312" w:cs="仿宋_GB2312"/>
          <w:color w:val="auto"/>
          <w:sz w:val="32"/>
          <w:szCs w:val="32"/>
          <w:highlight w:val="none"/>
          <w:lang w:eastAsia="zh-CN"/>
        </w:rPr>
        <w:t>、调阅和自助提醒等服务，</w:t>
      </w:r>
      <w:r>
        <w:rPr>
          <w:rFonts w:hint="eastAsia" w:ascii="仿宋_GB2312" w:hAnsi="仿宋_GB2312" w:eastAsia="仿宋_GB2312" w:cs="仿宋_GB2312"/>
          <w:color w:val="auto"/>
          <w:sz w:val="32"/>
          <w:szCs w:val="32"/>
          <w:highlight w:val="none"/>
        </w:rPr>
        <w:t>探索居民健康管理移动化</w:t>
      </w:r>
      <w:r>
        <w:rPr>
          <w:rFonts w:hint="eastAsia" w:ascii="仿宋_GB2312" w:hAnsi="仿宋_GB2312" w:eastAsia="仿宋_GB2312" w:cs="仿宋_GB2312"/>
          <w:color w:val="auto"/>
          <w:sz w:val="32"/>
          <w:szCs w:val="32"/>
          <w:highlight w:val="none"/>
          <w:lang w:eastAsia="zh-CN"/>
        </w:rPr>
        <w:t>自主化</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提高居民对个人健康信息的关注及自我健康管理意识</w:t>
      </w:r>
      <w:r>
        <w:rPr>
          <w:rFonts w:hint="eastAsia" w:ascii="仿宋_GB2312" w:hAnsi="仿宋_GB2312" w:eastAsia="仿宋_GB2312" w:cs="仿宋_GB2312"/>
          <w:color w:val="auto"/>
          <w:sz w:val="32"/>
          <w:szCs w:val="32"/>
          <w:highlight w:val="none"/>
        </w:rPr>
        <w:t>。</w:t>
      </w:r>
    </w:p>
    <w:p>
      <w:pPr>
        <w:spacing w:line="240" w:lineRule="exact"/>
        <w:jc w:val="center"/>
        <w:rPr>
          <w:rFonts w:ascii="仿宋_GB2312" w:hAnsi="仿宋_GB2312" w:eastAsia="仿宋_GB2312" w:cs="仿宋_GB2312"/>
          <w:color w:val="auto"/>
          <w:sz w:val="32"/>
          <w:szCs w:val="32"/>
          <w:highlight w:val="none"/>
        </w:rPr>
      </w:pPr>
    </w:p>
    <w:tbl>
      <w:tblPr>
        <w:tblStyle w:val="20"/>
        <w:tblW w:w="8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226"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before="156" w:beforeLines="50" w:line="440" w:lineRule="exact"/>
              <w:jc w:val="center"/>
              <w:rPr>
                <w:rFonts w:ascii="仿宋_GB2312" w:hAnsi="宋体" w:eastAsia="仿宋_GB2312" w:cs="仿宋"/>
                <w:b/>
                <w:bCs/>
                <w:color w:val="auto"/>
                <w:kern w:val="0"/>
                <w:sz w:val="28"/>
                <w:szCs w:val="28"/>
                <w:highlight w:val="none"/>
              </w:rPr>
            </w:pPr>
            <w:r>
              <w:rPr>
                <w:rFonts w:hint="eastAsia" w:ascii="仿宋_GB2312" w:hAnsi="宋体" w:eastAsia="仿宋_GB2312" w:cs="仿宋"/>
                <w:b/>
                <w:bCs/>
                <w:color w:val="auto"/>
                <w:kern w:val="0"/>
                <w:sz w:val="28"/>
                <w:szCs w:val="28"/>
                <w:highlight w:val="none"/>
                <w:lang w:eastAsia="zh-CN"/>
              </w:rPr>
              <w:t>专栏</w:t>
            </w:r>
            <w:r>
              <w:rPr>
                <w:rFonts w:hint="eastAsia" w:ascii="仿宋_GB2312" w:eastAsia="仿宋_GB2312" w:cs="仿宋"/>
                <w:b/>
                <w:bCs/>
                <w:color w:val="auto"/>
                <w:kern w:val="0"/>
                <w:sz w:val="28"/>
                <w:szCs w:val="28"/>
                <w:highlight w:val="none"/>
                <w:lang w:val="en-US" w:eastAsia="zh-CN"/>
              </w:rPr>
              <w:t>6</w:t>
            </w:r>
            <w:r>
              <w:rPr>
                <w:rFonts w:hint="eastAsia" w:ascii="仿宋_GB2312" w:hAnsi="宋体" w:eastAsia="仿宋_GB2312" w:cs="仿宋"/>
                <w:b/>
                <w:bCs/>
                <w:color w:val="auto"/>
                <w:kern w:val="0"/>
                <w:sz w:val="28"/>
                <w:szCs w:val="28"/>
                <w:highlight w:val="none"/>
                <w:lang w:val="en-US" w:eastAsia="zh-CN"/>
              </w:rPr>
              <w:t xml:space="preserve"> </w:t>
            </w:r>
            <w:r>
              <w:rPr>
                <w:rFonts w:hint="eastAsia" w:ascii="仿宋_GB2312" w:hAnsi="宋体" w:eastAsia="仿宋_GB2312" w:cs="仿宋"/>
                <w:b/>
                <w:bCs/>
                <w:color w:val="auto"/>
                <w:kern w:val="0"/>
                <w:sz w:val="28"/>
                <w:szCs w:val="28"/>
                <w:highlight w:val="none"/>
              </w:rPr>
              <w:t>卫生健康信息化重点项目</w:t>
            </w:r>
          </w:p>
          <w:p>
            <w:pPr>
              <w:keepNext w:val="0"/>
              <w:keepLines w:val="0"/>
              <w:pageBreakBefore w:val="0"/>
              <w:widowControl w:val="0"/>
              <w:kinsoku/>
              <w:wordWrap/>
              <w:overflowPunct/>
              <w:topLinePunct w:val="0"/>
              <w:autoSpaceDE/>
              <w:autoSpaceDN/>
              <w:bidi w:val="0"/>
              <w:adjustRightInd/>
              <w:snapToGrid w:val="0"/>
              <w:spacing w:before="156" w:beforeLines="50" w:after="157" w:afterLines="50"/>
              <w:ind w:firstLine="562" w:firstLineChars="200"/>
              <w:textAlignment w:val="auto"/>
              <w:rPr>
                <w:rStyle w:val="50"/>
                <w:rFonts w:eastAsia="仿宋_GB2312"/>
                <w:color w:val="auto"/>
                <w:highlight w:val="none"/>
              </w:rPr>
            </w:pPr>
            <w:r>
              <w:rPr>
                <w:rFonts w:hint="eastAsia" w:ascii="仿宋_GB2312" w:hAnsi="仿宋_GB2312" w:eastAsia="仿宋_GB2312" w:cs="仿宋_GB2312"/>
                <w:b/>
                <w:bCs/>
                <w:color w:val="auto"/>
                <w:kern w:val="0"/>
                <w:sz w:val="28"/>
                <w:szCs w:val="28"/>
                <w:highlight w:val="none"/>
              </w:rPr>
              <w:t>光明区区域卫生信息化（二期）项目：</w:t>
            </w:r>
            <w:r>
              <w:rPr>
                <w:rFonts w:hint="eastAsia" w:ascii="仿宋_GB2312" w:hAnsi="仿宋_GB2312" w:eastAsia="仿宋_GB2312" w:cs="仿宋_GB2312"/>
                <w:b w:val="0"/>
                <w:bCs w:val="0"/>
                <w:color w:val="auto"/>
                <w:kern w:val="0"/>
                <w:sz w:val="28"/>
                <w:szCs w:val="28"/>
                <w:highlight w:val="none"/>
                <w:lang w:eastAsia="zh-CN"/>
              </w:rPr>
              <w:t>升级光明区区域全民健康信息平台，从便民惠民、医疗协同、医疗服务和综合管理等方面进行系统改造，提高业务协调效率，提升业务监管水平。实现辖区医疗卫生机构数据的有机对接和居民电子健康档案的共享</w:t>
            </w:r>
            <w:r>
              <w:rPr>
                <w:rFonts w:hint="eastAsia" w:ascii="仿宋_GB2312" w:hAnsi="仿宋_GB2312" w:eastAsia="仿宋_GB2312" w:cs="仿宋_GB2312"/>
                <w:b w:val="0"/>
                <w:bCs w:val="0"/>
                <w:color w:val="auto"/>
                <w:kern w:val="0"/>
                <w:sz w:val="28"/>
                <w:szCs w:val="28"/>
                <w:highlight w:val="none"/>
                <w:lang w:val="en-US" w:eastAsia="zh-CN"/>
              </w:rPr>
              <w:t>，并扩展具有光明特色的服务应用，实现居民医疗健康信息的共享和利用</w:t>
            </w:r>
            <w:r>
              <w:rPr>
                <w:rFonts w:hint="eastAsia" w:ascii="仿宋_GB2312" w:hAnsi="仿宋_GB2312" w:eastAsia="仿宋_GB2312" w:cs="仿宋_GB2312"/>
                <w:b w:val="0"/>
                <w:bCs w:val="0"/>
                <w:color w:val="auto"/>
                <w:kern w:val="0"/>
                <w:sz w:val="28"/>
                <w:szCs w:val="28"/>
                <w:highlight w:val="none"/>
                <w:lang w:eastAsia="zh-CN"/>
              </w:rPr>
              <w:t>。推进资源共享的健康管理体系建设，提高医护人员、公众对医疗健康信息化成果的获得感。</w:t>
            </w:r>
          </w:p>
        </w:tc>
      </w:tr>
    </w:tbl>
    <w:p>
      <w:pPr>
        <w:pStyle w:val="2"/>
        <w:keepNext w:val="0"/>
        <w:keepLines w:val="0"/>
        <w:pageBreakBefore w:val="0"/>
        <w:widowControl w:val="0"/>
        <w:shd w:val="clea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color w:val="auto"/>
          <w:kern w:val="2"/>
          <w:sz w:val="32"/>
          <w:szCs w:val="32"/>
          <w:lang w:val="en-US" w:eastAsia="zh-CN" w:bidi="ar-SA"/>
        </w:rPr>
      </w:pPr>
      <w:bookmarkStart w:id="3005" w:name="_Toc1882596952_WPSOffice_Level2"/>
    </w:p>
    <w:p>
      <w:pPr>
        <w:pStyle w:val="2"/>
        <w:keepNext w:val="0"/>
        <w:keepLines w:val="0"/>
        <w:pageBreakBefore w:val="0"/>
        <w:widowControl w:val="0"/>
        <w:shd w:val="clear"/>
        <w:kinsoku/>
        <w:wordWrap/>
        <w:overflowPunct/>
        <w:topLinePunct w:val="0"/>
        <w:autoSpaceDE/>
        <w:autoSpaceDN/>
        <w:bidi w:val="0"/>
        <w:adjustRightInd/>
        <w:snapToGrid/>
        <w:spacing w:line="560" w:lineRule="exact"/>
        <w:ind w:left="0" w:leftChars="0" w:firstLine="0" w:firstLineChars="0"/>
        <w:jc w:val="center"/>
        <w:textAlignment w:val="auto"/>
        <w:rPr>
          <w:rFonts w:ascii="黑体" w:hAnsi="黑体" w:eastAsia="黑体" w:cs="黑体"/>
          <w:b w:val="0"/>
          <w:bCs w:val="0"/>
          <w:color w:val="auto"/>
        </w:rPr>
      </w:pPr>
      <w:r>
        <w:rPr>
          <w:rFonts w:hint="eastAsia" w:ascii="黑体" w:hAnsi="黑体" w:eastAsia="黑体" w:cs="黑体"/>
          <w:b w:val="0"/>
          <w:bCs/>
          <w:color w:val="auto"/>
          <w:kern w:val="2"/>
          <w:sz w:val="32"/>
          <w:szCs w:val="32"/>
          <w:lang w:val="en-US" w:eastAsia="zh-CN" w:bidi="ar-SA"/>
        </w:rPr>
        <w:t xml:space="preserve">第四节 </w:t>
      </w:r>
      <w:bookmarkStart w:id="3006" w:name="_Toc18997"/>
      <w:r>
        <w:rPr>
          <w:rFonts w:hint="eastAsia" w:ascii="Times New Roman" w:hAnsi="Times New Roman" w:eastAsia="黑体" w:cstheme="minorBidi"/>
          <w:b w:val="0"/>
          <w:bCs/>
          <w:color w:val="auto"/>
          <w:kern w:val="44"/>
          <w:sz w:val="32"/>
          <w:szCs w:val="32"/>
          <w:lang w:val="en-US" w:eastAsia="zh-CN" w:bidi="ar-SA"/>
        </w:rPr>
        <w:t>激活中医药传承创新动力</w:t>
      </w:r>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3005"/>
      <w:bookmarkEnd w:id="3006"/>
      <w:bookmarkStart w:id="3007" w:name="_Toc5090"/>
      <w:bookmarkStart w:id="3008" w:name="_Toc16944"/>
      <w:bookmarkStart w:id="3009" w:name="_Toc23647"/>
      <w:bookmarkStart w:id="3010" w:name="_Toc30186"/>
      <w:bookmarkStart w:id="3011" w:name="_Toc29364"/>
      <w:bookmarkStart w:id="3012" w:name="_Toc23787"/>
      <w:bookmarkStart w:id="3013" w:name="_Toc4755"/>
      <w:bookmarkStart w:id="3014" w:name="_Toc7285"/>
      <w:bookmarkStart w:id="3015" w:name="_Toc22435"/>
      <w:bookmarkStart w:id="3016" w:name="_Toc19973"/>
      <w:bookmarkStart w:id="3017" w:name="_Toc11344"/>
      <w:bookmarkStart w:id="3018" w:name="_Toc24442"/>
      <w:bookmarkStart w:id="3019" w:name="_Toc17456"/>
      <w:bookmarkStart w:id="3020" w:name="_Toc20465"/>
      <w:bookmarkStart w:id="3021" w:name="_Toc22646"/>
      <w:bookmarkStart w:id="3022" w:name="_Toc24977"/>
      <w:bookmarkStart w:id="3023" w:name="_Toc17047"/>
      <w:bookmarkStart w:id="3024" w:name="_Toc31022"/>
      <w:bookmarkStart w:id="3025" w:name="_Toc1071"/>
      <w:bookmarkStart w:id="3026" w:name="_Toc17174"/>
      <w:bookmarkStart w:id="3027" w:name="_Toc11970"/>
      <w:bookmarkStart w:id="3028" w:name="_Toc12153"/>
      <w:bookmarkStart w:id="3029" w:name="_Toc20308"/>
      <w:bookmarkStart w:id="3030" w:name="_Toc16038"/>
      <w:bookmarkStart w:id="3031" w:name="_Toc23156"/>
      <w:bookmarkStart w:id="3032" w:name="_Toc7847"/>
      <w:bookmarkStart w:id="3033" w:name="_Toc17417"/>
      <w:bookmarkStart w:id="3034" w:name="_Toc26577"/>
    </w:p>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p>
      <w:pPr>
        <w:pStyle w:val="6"/>
        <w:keepNext w:val="0"/>
        <w:keepLines w:val="0"/>
        <w:pageBreakBefore w:val="0"/>
        <w:shd w:val="clear"/>
        <w:kinsoku/>
        <w:wordWrap/>
        <w:overflowPunct/>
        <w:topLinePunct w:val="0"/>
        <w:autoSpaceDN/>
        <w:bidi w:val="0"/>
        <w:snapToGrid w:val="0"/>
        <w:spacing w:before="0" w:after="0" w:line="560" w:lineRule="exact"/>
        <w:ind w:firstLine="640" w:firstLineChars="200"/>
        <w:jc w:val="left"/>
        <w:textAlignment w:val="auto"/>
        <w:rPr>
          <w:rFonts w:hint="eastAsia" w:ascii="Times New Roman" w:hAnsi="Times New Roman" w:eastAsia="楷体_GB2312" w:cstheme="minorBidi"/>
          <w:bCs w:val="0"/>
          <w:color w:val="auto"/>
        </w:rPr>
      </w:pPr>
      <w:bookmarkStart w:id="3035" w:name="_Toc31870"/>
      <w:bookmarkStart w:id="3036" w:name="_Toc21646"/>
      <w:bookmarkStart w:id="3037" w:name="_Toc20127"/>
      <w:bookmarkStart w:id="3038" w:name="_Toc19181"/>
      <w:bookmarkStart w:id="3039" w:name="_Toc28016"/>
      <w:bookmarkStart w:id="3040" w:name="_Toc8575"/>
      <w:bookmarkStart w:id="3041" w:name="_Toc5113"/>
      <w:bookmarkStart w:id="3042" w:name="_Toc27080"/>
      <w:bookmarkStart w:id="3043" w:name="_Toc17767"/>
      <w:bookmarkStart w:id="3044" w:name="_Toc933"/>
      <w:bookmarkStart w:id="3045" w:name="_Toc11249"/>
      <w:bookmarkStart w:id="3046" w:name="_Toc32315"/>
      <w:bookmarkStart w:id="3047" w:name="_Toc10254"/>
      <w:bookmarkStart w:id="3048" w:name="_Toc27685"/>
      <w:bookmarkStart w:id="3049" w:name="_Toc17965"/>
      <w:bookmarkStart w:id="3050" w:name="_Toc13647"/>
      <w:bookmarkStart w:id="3051" w:name="_Toc23986"/>
      <w:bookmarkStart w:id="3052" w:name="_Toc1005883933_WPSOffice_Level3"/>
      <w:bookmarkStart w:id="3053" w:name="_Toc23139"/>
      <w:bookmarkStart w:id="3054" w:name="_Toc4984"/>
      <w:r>
        <w:rPr>
          <w:rFonts w:hint="eastAsia" w:ascii="Times New Roman" w:hAnsi="Times New Roman" w:eastAsia="黑体" w:cstheme="minorBidi"/>
          <w:b w:val="0"/>
          <w:bCs/>
          <w:color w:val="auto"/>
          <w:kern w:val="44"/>
          <w:sz w:val="32"/>
          <w:szCs w:val="32"/>
          <w:lang w:val="en-US" w:eastAsia="zh-CN" w:bidi="ar-SA"/>
        </w:rPr>
        <w:t>一、健全中医药服务体系</w:t>
      </w:r>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Start w:id="3055" w:name="_Toc2021"/>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ascii="仿宋_GB2312" w:hAnsi="仿宋_GB2312" w:eastAsia="仿宋_GB2312" w:cs="仿宋_GB2312"/>
          <w:color w:val="auto"/>
          <w:sz w:val="32"/>
          <w:szCs w:val="32"/>
        </w:rPr>
      </w:pPr>
      <w:bookmarkStart w:id="3056" w:name="_Toc19338"/>
      <w:bookmarkStart w:id="3057" w:name="_Toc32370"/>
      <w:bookmarkStart w:id="3058" w:name="_Toc1463"/>
      <w:bookmarkStart w:id="3059" w:name="_Toc27252"/>
      <w:bookmarkStart w:id="3060" w:name="_Toc1007"/>
      <w:bookmarkStart w:id="3061" w:name="_Toc28897"/>
      <w:bookmarkStart w:id="3062" w:name="_Toc15336"/>
      <w:bookmarkStart w:id="3063" w:name="_Toc18961"/>
      <w:bookmarkStart w:id="3064" w:name="_Toc24382"/>
      <w:bookmarkStart w:id="3065" w:name="_Toc28223"/>
      <w:bookmarkStart w:id="3066" w:name="_Toc5760"/>
      <w:bookmarkStart w:id="3067" w:name="_Toc24254"/>
      <w:bookmarkStart w:id="3068" w:name="_Toc28649"/>
      <w:bookmarkStart w:id="3069" w:name="_Toc30379"/>
      <w:bookmarkStart w:id="3070" w:name="_Toc10335"/>
      <w:bookmarkStart w:id="3071" w:name="_Toc1342"/>
      <w:bookmarkStart w:id="3072" w:name="_Toc20686"/>
      <w:bookmarkStart w:id="3073" w:name="_Toc18017"/>
      <w:r>
        <w:rPr>
          <w:rFonts w:hint="eastAsia" w:ascii="仿宋_GB2312" w:eastAsia="仿宋_GB2312" w:cstheme="minorBidi"/>
          <w:b/>
          <w:color w:val="auto"/>
          <w:sz w:val="32"/>
          <w:szCs w:val="32"/>
          <w:lang w:val="en-US" w:eastAsia="zh-CN"/>
        </w:rPr>
        <w:t>44.</w:t>
      </w:r>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r>
        <w:rPr>
          <w:rFonts w:hint="eastAsia" w:ascii="仿宋_GB2312" w:hAnsi="Times New Roman" w:eastAsia="仿宋_GB2312" w:cstheme="minorBidi"/>
          <w:b/>
          <w:color w:val="auto"/>
          <w:sz w:val="32"/>
          <w:szCs w:val="32"/>
        </w:rPr>
        <w:t>提速建设中医医疗高地</w:t>
      </w:r>
      <w:r>
        <w:rPr>
          <w:rFonts w:hint="eastAsia" w:ascii="仿宋_GB2312" w:eastAsia="仿宋_GB2312" w:cstheme="minorBidi"/>
          <w:b/>
          <w:color w:val="auto"/>
          <w:sz w:val="32"/>
          <w:szCs w:val="32"/>
          <w:lang w:eastAsia="zh-CN"/>
        </w:rPr>
        <w:t>。</w:t>
      </w:r>
      <w:r>
        <w:rPr>
          <w:rFonts w:hint="eastAsia" w:ascii="仿宋_GB2312" w:hAnsi="仿宋_GB2312" w:eastAsia="仿宋_GB2312" w:cs="仿宋_GB2312"/>
          <w:color w:val="auto"/>
          <w:sz w:val="32"/>
          <w:szCs w:val="32"/>
          <w:highlight w:val="none"/>
        </w:rPr>
        <w:t>柔性引进江苏省南京中医药大学黄煌教授经方医学团队、广州中医药大学庄礼兴教授的“靳三针”团队、“龙江医派”高雪教授团队，建立培训带教、远程诊疗、资源共享等协作关系，提高区域医疗服务水平，建立更高质量的医疗卫生服务体系。</w:t>
      </w:r>
      <w:r>
        <w:rPr>
          <w:rFonts w:ascii="仿宋_GB2312" w:hAnsi="宋体" w:eastAsia="仿宋_GB2312" w:cs="仿宋_GB2312"/>
          <w:color w:val="auto"/>
          <w:kern w:val="0"/>
          <w:sz w:val="31"/>
          <w:szCs w:val="31"/>
          <w:highlight w:val="none"/>
          <w:lang w:val="en-US" w:eastAsia="zh-CN" w:bidi="ar"/>
        </w:rPr>
        <w:t>试点港澳中医师在深圳公立中医医疗机构执业，提</w:t>
      </w:r>
      <w:r>
        <w:rPr>
          <w:rFonts w:hint="eastAsia" w:ascii="仿宋_GB2312" w:hAnsi="宋体" w:eastAsia="仿宋_GB2312" w:cs="仿宋_GB2312"/>
          <w:color w:val="auto"/>
          <w:kern w:val="0"/>
          <w:sz w:val="31"/>
          <w:szCs w:val="31"/>
          <w:highlight w:val="none"/>
          <w:lang w:val="en-US" w:eastAsia="zh-CN" w:bidi="ar"/>
        </w:rPr>
        <w:t>供覆盖粤港澳三地和全生命周期的中医药服务。</w:t>
      </w:r>
      <w:r>
        <w:rPr>
          <w:rFonts w:hint="eastAsia" w:ascii="仿宋_GB2312" w:hAnsi="仿宋_GB2312" w:eastAsia="仿宋_GB2312" w:cs="仿宋_GB2312"/>
          <w:color w:val="auto"/>
          <w:sz w:val="32"/>
          <w:szCs w:val="32"/>
          <w:highlight w:val="none"/>
        </w:rPr>
        <w:t>三年内建设3-5个市级重点学科，五年内建设1-2个省级重点学科。建成</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个市级基层中医药服务能力提升工程优选建设单位。巩固光明区全国基层中医药先进示范单位的成果</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eastAsia" w:ascii="仿宋_GB2312" w:hAnsi="仿宋_GB2312" w:eastAsia="仿宋_GB2312" w:cs="仿宋_GB2312"/>
          <w:color w:val="auto"/>
          <w:sz w:val="32"/>
          <w:szCs w:val="32"/>
          <w:highlight w:val="none"/>
          <w:lang w:eastAsia="zh-CN"/>
        </w:rPr>
      </w:pPr>
      <w:bookmarkStart w:id="3074" w:name="_Toc6208"/>
      <w:bookmarkStart w:id="3075" w:name="_Toc30869"/>
      <w:bookmarkStart w:id="3076" w:name="_Toc19167"/>
      <w:bookmarkStart w:id="3077" w:name="_Toc27880"/>
      <w:bookmarkStart w:id="3078" w:name="_Toc18308"/>
      <w:bookmarkStart w:id="3079" w:name="_Toc7717"/>
      <w:bookmarkStart w:id="3080" w:name="_Toc455"/>
      <w:bookmarkStart w:id="3081" w:name="_Toc23048"/>
      <w:bookmarkStart w:id="3082" w:name="_Toc14064"/>
      <w:bookmarkStart w:id="3083" w:name="_Toc20354"/>
      <w:bookmarkStart w:id="3084" w:name="_Toc25492"/>
      <w:bookmarkStart w:id="3085" w:name="_Toc16910"/>
      <w:bookmarkStart w:id="3086" w:name="_Toc3949"/>
      <w:bookmarkStart w:id="3087" w:name="_Toc17297"/>
      <w:bookmarkStart w:id="3088" w:name="_Toc24439"/>
      <w:bookmarkStart w:id="3089" w:name="_Toc3029"/>
      <w:bookmarkStart w:id="3090" w:name="_Toc5235"/>
      <w:bookmarkStart w:id="3091" w:name="_Toc10593"/>
      <w:bookmarkStart w:id="3092" w:name="_Toc8315"/>
      <w:bookmarkStart w:id="3093" w:name="_Toc18954"/>
      <w:bookmarkStart w:id="3094" w:name="_Toc28807"/>
      <w:bookmarkStart w:id="3095" w:name="_Toc5212"/>
      <w:bookmarkStart w:id="3096" w:name="_Toc9332"/>
      <w:bookmarkStart w:id="3097" w:name="_Toc15612"/>
      <w:bookmarkStart w:id="3098" w:name="_Toc763"/>
      <w:bookmarkStart w:id="3099" w:name="_Toc17998"/>
      <w:bookmarkStart w:id="3100" w:name="_Toc11299"/>
      <w:bookmarkStart w:id="3101" w:name="_Toc28475"/>
      <w:bookmarkStart w:id="3102" w:name="_Toc4147"/>
      <w:bookmarkStart w:id="3103" w:name="_Toc8625"/>
      <w:bookmarkStart w:id="3104" w:name="_Toc9494"/>
      <w:bookmarkStart w:id="3105" w:name="_Toc27969"/>
      <w:bookmarkStart w:id="3106" w:name="_Toc18657"/>
      <w:bookmarkStart w:id="3107" w:name="_Toc11125"/>
      <w:bookmarkStart w:id="3108" w:name="_Toc16510"/>
      <w:bookmarkStart w:id="3109" w:name="_Toc31455"/>
      <w:bookmarkStart w:id="3110" w:name="_Toc17655"/>
      <w:bookmarkStart w:id="3111" w:name="_Toc27139"/>
      <w:bookmarkStart w:id="3112" w:name="_Toc31789"/>
      <w:bookmarkStart w:id="3113" w:name="_Toc28806"/>
      <w:bookmarkStart w:id="3114" w:name="_Toc17012"/>
      <w:bookmarkStart w:id="3115" w:name="_Toc22313"/>
      <w:bookmarkStart w:id="3116" w:name="_Toc6552"/>
      <w:bookmarkStart w:id="3117" w:name="_Toc12593"/>
      <w:bookmarkStart w:id="3118" w:name="_Toc2052"/>
      <w:bookmarkStart w:id="3119" w:name="_Toc21971"/>
      <w:bookmarkStart w:id="3120" w:name="_Toc15581"/>
      <w:r>
        <w:rPr>
          <w:rFonts w:hint="eastAsia" w:ascii="仿宋_GB2312" w:eastAsia="仿宋_GB2312" w:cstheme="minorBidi"/>
          <w:b/>
          <w:color w:val="auto"/>
          <w:sz w:val="32"/>
          <w:szCs w:val="32"/>
          <w:lang w:val="en-US" w:eastAsia="zh-CN"/>
        </w:rPr>
        <w:t>45.</w:t>
      </w:r>
      <w:r>
        <w:rPr>
          <w:rFonts w:hint="eastAsia" w:ascii="仿宋_GB2312" w:hAnsi="Times New Roman" w:eastAsia="仿宋_GB2312" w:cstheme="minorBidi"/>
          <w:b/>
          <w:color w:val="auto"/>
          <w:sz w:val="32"/>
          <w:szCs w:val="32"/>
        </w:rPr>
        <w:t>完善中医药服务网络体系</w:t>
      </w:r>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Start w:id="3121" w:name="_Toc2957"/>
      <w:bookmarkStart w:id="3122" w:name="_Toc16448"/>
      <w:bookmarkStart w:id="3123" w:name="_Toc6212"/>
      <w:bookmarkStart w:id="3124" w:name="_Toc10722"/>
      <w:bookmarkStart w:id="3125" w:name="_Toc21363"/>
      <w:bookmarkStart w:id="3126" w:name="_Toc32478"/>
      <w:bookmarkStart w:id="3127" w:name="_Toc15059"/>
      <w:bookmarkStart w:id="3128" w:name="_Toc24386"/>
      <w:bookmarkStart w:id="3129" w:name="_Toc28069"/>
      <w:r>
        <w:rPr>
          <w:rFonts w:hint="eastAsia" w:ascii="仿宋_GB2312" w:eastAsia="仿宋_GB2312" w:cstheme="minorBidi"/>
          <w:b/>
          <w:color w:val="auto"/>
          <w:sz w:val="32"/>
          <w:szCs w:val="32"/>
          <w:lang w:eastAsia="zh-CN"/>
        </w:rPr>
        <w:t>。</w:t>
      </w:r>
      <w:r>
        <w:rPr>
          <w:rFonts w:hint="eastAsia" w:ascii="仿宋_GB2312" w:hAnsi="仿宋_GB2312" w:eastAsia="仿宋_GB2312" w:cs="仿宋_GB2312"/>
          <w:color w:val="auto"/>
          <w:sz w:val="32"/>
          <w:szCs w:val="32"/>
          <w:highlight w:val="none"/>
          <w:lang w:eastAsia="zh-CN"/>
        </w:rPr>
        <w:t>区属医院的中医科</w:t>
      </w:r>
      <w:r>
        <w:rPr>
          <w:rFonts w:hint="eastAsia" w:ascii="仿宋_GB2312" w:hAnsi="仿宋_GB2312" w:eastAsia="仿宋_GB2312" w:cs="仿宋_GB2312"/>
          <w:color w:val="auto"/>
          <w:sz w:val="32"/>
          <w:szCs w:val="32"/>
          <w:highlight w:val="none"/>
        </w:rPr>
        <w:t>加大与其它科室的合作，参与其他科室的会诊、查房、诊疗、培训等方面，相关诊疗项目与合作科室分别计算费用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每位中医类别医师与1～2个社康中心建立合作关系，通过定期下基层坐诊、参与家庭医师团队等形式加入到居民的中医药防病治病当中。</w:t>
      </w:r>
      <w:r>
        <w:rPr>
          <w:rFonts w:hint="eastAsia" w:ascii="仿宋_GB2312" w:hAnsi="仿宋_GB2312" w:eastAsia="仿宋_GB2312" w:cs="仿宋_GB2312"/>
          <w:color w:val="auto"/>
          <w:sz w:val="32"/>
          <w:szCs w:val="32"/>
          <w:highlight w:val="none"/>
          <w:lang w:val="en-US" w:eastAsia="zh-CN"/>
        </w:rPr>
        <w:t>实现社康机构中医药服务“三个100%”。</w:t>
      </w:r>
      <w:r>
        <w:rPr>
          <w:rFonts w:hint="eastAsia" w:ascii="仿宋_GB2312" w:hAnsi="仿宋_GB2312" w:eastAsia="仿宋_GB2312" w:cs="仿宋_GB2312"/>
          <w:color w:val="auto"/>
          <w:sz w:val="32"/>
          <w:szCs w:val="32"/>
          <w:highlight w:val="none"/>
        </w:rPr>
        <w:t>中医类别医师占社康中心医师总数的比例达到20%以上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中医处方（包含中药饮片、中成药）占处方总数的比例达30%以上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中药饮片处方占处方总数的比例达5%以上或中医非药物疗法治疗人次占总诊疗人次的比例达10%以上</w:t>
      </w:r>
      <w:bookmarkStart w:id="3130" w:name="_Toc6679"/>
      <w:bookmarkStart w:id="3131" w:name="_Toc8734"/>
      <w:bookmarkStart w:id="3132" w:name="_Toc32145"/>
      <w:bookmarkStart w:id="3133" w:name="_Toc7710"/>
      <w:bookmarkStart w:id="3134" w:name="_Toc2044"/>
      <w:bookmarkStart w:id="3135" w:name="_Toc8371"/>
      <w:bookmarkStart w:id="3136" w:name="_Toc12099"/>
      <w:bookmarkStart w:id="3137" w:name="_Toc18013"/>
      <w:bookmarkStart w:id="3138" w:name="_Toc15606"/>
      <w:bookmarkStart w:id="3139" w:name="_Toc6934"/>
      <w:bookmarkStart w:id="3140" w:name="_Toc30481"/>
      <w:bookmarkStart w:id="3141" w:name="_Toc14762"/>
      <w:bookmarkStart w:id="3142" w:name="_Toc6216"/>
      <w:bookmarkStart w:id="3143" w:name="_Toc4386"/>
      <w:bookmarkStart w:id="3144" w:name="_Toc25148"/>
      <w:bookmarkStart w:id="3145" w:name="_Toc4187"/>
      <w:bookmarkStart w:id="3146" w:name="_Toc28569"/>
      <w:bookmarkStart w:id="3147" w:name="_Toc28284"/>
      <w:bookmarkStart w:id="3148" w:name="_Toc5392"/>
      <w:r>
        <w:rPr>
          <w:rFonts w:hint="eastAsia" w:ascii="仿宋_GB2312" w:hAnsi="仿宋_GB2312" w:eastAsia="仿宋_GB2312" w:cs="仿宋_GB2312"/>
          <w:color w:val="auto"/>
          <w:sz w:val="32"/>
          <w:szCs w:val="32"/>
          <w:highlight w:val="none"/>
          <w:lang w:eastAsia="zh-CN"/>
        </w:rPr>
        <w:t>。</w:t>
      </w:r>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Start w:id="3149" w:name="_Toc24773"/>
      <w:bookmarkStart w:id="3150" w:name="_Toc29246"/>
      <w:bookmarkStart w:id="3151" w:name="_Toc6273"/>
      <w:bookmarkStart w:id="3152" w:name="_Toc16269"/>
      <w:bookmarkStart w:id="3153" w:name="_Toc17378"/>
      <w:bookmarkStart w:id="3154" w:name="_Toc5208"/>
      <w:bookmarkStart w:id="3155" w:name="_Toc19316"/>
      <w:bookmarkStart w:id="3156" w:name="_Toc28575"/>
      <w:bookmarkStart w:id="3157" w:name="_Toc32008"/>
      <w:bookmarkStart w:id="3158" w:name="_Toc8596"/>
      <w:bookmarkStart w:id="3159" w:name="_Toc30261"/>
      <w:bookmarkStart w:id="3160" w:name="_Toc15765"/>
      <w:bookmarkStart w:id="3161" w:name="_Toc178"/>
      <w:bookmarkStart w:id="3162" w:name="_Toc10448"/>
      <w:bookmarkStart w:id="3163" w:name="_Toc29194"/>
      <w:bookmarkStart w:id="3164" w:name="_Toc4087"/>
      <w:bookmarkStart w:id="3165" w:name="_Toc30640"/>
      <w:bookmarkStart w:id="3166" w:name="_Toc12916"/>
      <w:bookmarkStart w:id="3167" w:name="_Toc23338"/>
      <w:bookmarkStart w:id="3168" w:name="_Toc24230"/>
      <w:bookmarkStart w:id="3169" w:name="_Toc11400"/>
      <w:bookmarkStart w:id="3170" w:name="_Toc2459"/>
      <w:bookmarkStart w:id="3171" w:name="_Toc16442"/>
      <w:bookmarkStart w:id="3172" w:name="_Toc9909"/>
      <w:bookmarkStart w:id="3173" w:name="_Toc5848"/>
      <w:bookmarkStart w:id="3174" w:name="_Toc15981"/>
      <w:bookmarkStart w:id="3175" w:name="_Toc13453"/>
      <w:bookmarkStart w:id="3176" w:name="_Toc18420"/>
      <w:bookmarkStart w:id="3177" w:name="_Toc18601"/>
      <w:bookmarkStart w:id="3178" w:name="_Toc24295"/>
      <w:bookmarkStart w:id="3179" w:name="_Toc14851"/>
      <w:bookmarkStart w:id="3180" w:name="_Toc10088"/>
      <w:bookmarkStart w:id="3181" w:name="_Toc3023"/>
      <w:bookmarkStart w:id="3182" w:name="_Toc19692"/>
      <w:bookmarkStart w:id="3183" w:name="_Toc2944"/>
      <w:bookmarkStart w:id="3184" w:name="_Toc20451"/>
      <w:bookmarkStart w:id="3185" w:name="_Toc26983"/>
      <w:bookmarkStart w:id="3186" w:name="_Toc27429"/>
      <w:bookmarkStart w:id="3187" w:name="_Toc32386"/>
      <w:bookmarkStart w:id="3188" w:name="_Toc22450"/>
      <w:bookmarkStart w:id="3189" w:name="_Toc16486"/>
      <w:bookmarkStart w:id="3190" w:name="_Toc29362"/>
      <w:bookmarkStart w:id="3191" w:name="_Toc15793"/>
      <w:bookmarkStart w:id="3192" w:name="_Toc8493"/>
      <w:bookmarkStart w:id="3193" w:name="_Toc11911"/>
      <w:bookmarkStart w:id="3194" w:name="_Toc10932"/>
      <w:bookmarkStart w:id="3195" w:name="_Toc25669"/>
      <w:bookmarkStart w:id="3196" w:name="_Toc26749"/>
      <w:bookmarkStart w:id="3197" w:name="_Toc7412"/>
      <w:bookmarkStart w:id="3198" w:name="_Toc21387"/>
      <w:bookmarkStart w:id="3199" w:name="_Toc17712"/>
      <w:bookmarkStart w:id="3200" w:name="_Toc11666"/>
      <w:bookmarkStart w:id="3201" w:name="_Toc15531"/>
      <w:bookmarkStart w:id="3202" w:name="_Toc8802"/>
      <w:bookmarkStart w:id="3203" w:name="_Toc31033"/>
      <w:bookmarkStart w:id="3204" w:name="_Toc4431"/>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eastAsia" w:ascii="仿宋_GB2312" w:hAnsi="仿宋_GB2312" w:eastAsia="仿宋_GB2312" w:cs="仿宋_GB2312"/>
          <w:color w:val="auto"/>
          <w:sz w:val="32"/>
          <w:szCs w:val="32"/>
          <w:highlight w:val="none"/>
        </w:rPr>
      </w:pPr>
      <w:r>
        <w:rPr>
          <w:rFonts w:hint="eastAsia" w:ascii="仿宋_GB2312" w:eastAsia="仿宋_GB2312" w:cstheme="minorBidi"/>
          <w:b/>
          <w:color w:val="auto"/>
          <w:sz w:val="32"/>
          <w:szCs w:val="32"/>
          <w:lang w:val="en-US" w:eastAsia="zh-CN"/>
        </w:rPr>
        <w:t>46</w:t>
      </w:r>
      <w:r>
        <w:rPr>
          <w:rFonts w:hint="eastAsia" w:ascii="仿宋_GB2312" w:hAnsi="Times New Roman" w:eastAsia="仿宋_GB2312" w:cstheme="minorBidi"/>
          <w:b/>
          <w:color w:val="auto"/>
          <w:sz w:val="32"/>
          <w:szCs w:val="32"/>
          <w:lang w:val="en-US" w:eastAsia="zh-CN"/>
        </w:rPr>
        <w:t>.</w:t>
      </w:r>
      <w:r>
        <w:rPr>
          <w:rFonts w:hint="eastAsia" w:ascii="仿宋_GB2312" w:hAnsi="Times New Roman" w:eastAsia="仿宋_GB2312" w:cstheme="minorBidi"/>
          <w:b/>
          <w:color w:val="auto"/>
          <w:sz w:val="32"/>
          <w:szCs w:val="32"/>
        </w:rPr>
        <w:t>推进“治未病”养生保健服务</w:t>
      </w:r>
      <w:r>
        <w:rPr>
          <w:rFonts w:hint="eastAsia" w:ascii="仿宋_GB2312" w:hAnsi="Times New Roman" w:eastAsia="仿宋_GB2312" w:cstheme="minorBidi"/>
          <w:b/>
          <w:color w:val="auto"/>
          <w:sz w:val="32"/>
          <w:szCs w:val="32"/>
          <w:lang w:eastAsia="zh-CN"/>
        </w:rPr>
        <w:t>。</w:t>
      </w:r>
      <w:r>
        <w:rPr>
          <w:rFonts w:hint="eastAsia" w:ascii="仿宋_GB2312" w:hAnsi="仿宋_GB2312" w:eastAsia="仿宋_GB2312" w:cs="仿宋_GB2312"/>
          <w:color w:val="auto"/>
          <w:sz w:val="32"/>
          <w:szCs w:val="32"/>
          <w:highlight w:val="none"/>
        </w:rPr>
        <w:t>大力推进“治未病”养生保健服务，提升医疗机构治未病能力。加强治未病中心的督导建设，建设“治未病”服务示范试点单位，提高基层医疗卫生机构中医医疗、养生、保健的服务能力。研究推广中医药经方体质辨识，拓展治未病服务领域。对常住居民中65岁以上和0～36个月儿童、孕产妇、高血压病患者、糖尿病患者开展中医药健康管理服务，提供中医治未病健康指导。将中医药优势与健康管理结合，以慢性病管理为重点，以治未病理念为核心，发挥中医药整体医学优势，探索融健康文化、健康管理、健康保障、康复养老为一体的中医药健康保障模式</w:t>
      </w:r>
      <w:r>
        <w:rPr>
          <w:rFonts w:hint="eastAsia" w:ascii="仿宋_GB2312" w:hAnsi="仿宋_GB2312" w:eastAsia="仿宋_GB2312" w:cs="仿宋_GB2312"/>
          <w:color w:val="auto"/>
          <w:sz w:val="32"/>
          <w:szCs w:val="32"/>
          <w:highlight w:val="none"/>
          <w:lang w:eastAsia="zh-CN"/>
        </w:rPr>
        <w:t>。</w:t>
      </w:r>
    </w:p>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eastAsia" w:ascii="仿宋_GB2312" w:hAnsi="仿宋_GB2312" w:eastAsia="仿宋_GB2312" w:cs="仿宋_GB2312"/>
          <w:color w:val="auto"/>
          <w:sz w:val="32"/>
          <w:szCs w:val="32"/>
          <w:highlight w:val="none"/>
          <w:lang w:eastAsia="zh-CN"/>
        </w:rPr>
      </w:pPr>
      <w:bookmarkStart w:id="3205" w:name="_Toc13192"/>
      <w:bookmarkStart w:id="3206" w:name="_Toc8740"/>
      <w:bookmarkStart w:id="3207" w:name="_Toc29"/>
      <w:bookmarkStart w:id="3208" w:name="_Toc3685"/>
      <w:bookmarkStart w:id="3209" w:name="_Toc15250"/>
      <w:bookmarkStart w:id="3210" w:name="_Toc22753"/>
      <w:bookmarkStart w:id="3211" w:name="_Toc10351"/>
      <w:bookmarkStart w:id="3212" w:name="_Toc7082"/>
      <w:bookmarkStart w:id="3213" w:name="_Toc18697"/>
      <w:bookmarkStart w:id="3214" w:name="_Toc30001"/>
      <w:bookmarkStart w:id="3215" w:name="_Toc2844"/>
      <w:bookmarkStart w:id="3216" w:name="_Toc5275"/>
      <w:bookmarkStart w:id="3217" w:name="_Toc5300"/>
      <w:bookmarkStart w:id="3218" w:name="_Toc28115"/>
      <w:bookmarkStart w:id="3219" w:name="_Toc11935"/>
      <w:bookmarkStart w:id="3220" w:name="_Toc24633"/>
      <w:bookmarkStart w:id="3221" w:name="_Toc29887"/>
      <w:bookmarkStart w:id="3222" w:name="_Toc32262"/>
      <w:bookmarkStart w:id="3223" w:name="_Toc23407"/>
      <w:r>
        <w:rPr>
          <w:rFonts w:hint="eastAsia" w:ascii="仿宋_GB2312" w:eastAsia="仿宋_GB2312" w:cstheme="minorBidi"/>
          <w:b/>
          <w:color w:val="auto"/>
          <w:sz w:val="32"/>
          <w:szCs w:val="32"/>
          <w:lang w:val="en-US" w:eastAsia="zh-CN"/>
        </w:rPr>
        <w:t>47</w:t>
      </w:r>
      <w:r>
        <w:rPr>
          <w:rFonts w:hint="eastAsia" w:ascii="仿宋_GB2312" w:hAnsi="Times New Roman" w:eastAsia="仿宋_GB2312" w:cstheme="minorBidi"/>
          <w:b/>
          <w:color w:val="auto"/>
          <w:sz w:val="32"/>
          <w:szCs w:val="32"/>
          <w:lang w:val="en-US" w:eastAsia="zh-CN"/>
        </w:rPr>
        <w:t>.</w:t>
      </w:r>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Start w:id="3224" w:name="_Toc29178"/>
      <w:bookmarkStart w:id="3225" w:name="_Toc14564"/>
      <w:bookmarkStart w:id="3226" w:name="_Toc13991"/>
      <w:bookmarkStart w:id="3227" w:name="_Toc32319"/>
      <w:bookmarkStart w:id="3228" w:name="_Toc28293"/>
      <w:bookmarkStart w:id="3229" w:name="_Toc19793"/>
      <w:bookmarkStart w:id="3230" w:name="_Toc30392"/>
      <w:bookmarkStart w:id="3231" w:name="_Toc15440"/>
      <w:bookmarkStart w:id="3232" w:name="_Toc3048"/>
      <w:bookmarkStart w:id="3233" w:name="_Toc7381"/>
      <w:bookmarkStart w:id="3234" w:name="_Toc25200"/>
      <w:bookmarkStart w:id="3235" w:name="_Toc21997"/>
      <w:bookmarkStart w:id="3236" w:name="_Toc9756"/>
      <w:bookmarkStart w:id="3237" w:name="_Toc27319"/>
      <w:bookmarkStart w:id="3238" w:name="_Toc14233"/>
      <w:bookmarkStart w:id="3239" w:name="_Toc1582"/>
      <w:bookmarkStart w:id="3240" w:name="_Toc16061"/>
      <w:bookmarkStart w:id="3241" w:name="_Toc32691"/>
      <w:bookmarkStart w:id="3242" w:name="_Toc16845"/>
      <w:r>
        <w:rPr>
          <w:rFonts w:hint="eastAsia" w:ascii="仿宋_GB2312" w:hAnsi="Times New Roman" w:eastAsia="仿宋_GB2312" w:cstheme="minorBidi"/>
          <w:b/>
          <w:color w:val="auto"/>
          <w:sz w:val="32"/>
          <w:szCs w:val="32"/>
          <w:lang w:val="en-US" w:eastAsia="zh-CN"/>
        </w:rPr>
        <w:t>强化中医药人才队伍。</w:t>
      </w:r>
      <w:r>
        <w:rPr>
          <w:rFonts w:hint="eastAsia" w:ascii="仿宋_GB2312" w:hAnsi="仿宋_GB2312" w:eastAsia="仿宋_GB2312" w:cs="仿宋_GB2312"/>
          <w:color w:val="auto"/>
          <w:sz w:val="32"/>
          <w:szCs w:val="32"/>
          <w:highlight w:val="none"/>
          <w:lang w:val="en-US" w:eastAsia="zh-CN"/>
        </w:rPr>
        <w:t>引进省、市级名中医，开办名中医工作室，对其学术经验和理论传承进行深度挖掘整理研究。</w:t>
      </w:r>
      <w:r>
        <w:rPr>
          <w:rFonts w:hint="eastAsia" w:ascii="仿宋_GB2312" w:hAnsi="仿宋_GB2312" w:eastAsia="仿宋_GB2312" w:cs="仿宋_GB2312"/>
          <w:color w:val="auto"/>
          <w:sz w:val="32"/>
          <w:szCs w:val="32"/>
          <w:highlight w:val="none"/>
        </w:rPr>
        <w:t>加强名中医对基层服务能力提升的指导作用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制定中医药人才梯队建设和培养行动计划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进一步加强区名中医师承教育工作，加强中医临床人才的培养</w:t>
      </w:r>
      <w:r>
        <w:rPr>
          <w:rFonts w:hint="eastAsia" w:ascii="仿宋_GB2312" w:hAnsi="仿宋_GB2312" w:eastAsia="仿宋_GB2312" w:cs="仿宋_GB2312"/>
          <w:color w:val="auto"/>
          <w:sz w:val="32"/>
          <w:szCs w:val="32"/>
          <w:highlight w:val="none"/>
          <w:lang w:eastAsia="zh-CN"/>
        </w:rPr>
        <w:t>，</w:t>
      </w:r>
      <w:r>
        <w:rPr>
          <w:rFonts w:ascii="仿宋_GB2312" w:hAnsi="宋体" w:eastAsia="仿宋_GB2312" w:cs="仿宋_GB2312"/>
          <w:color w:val="auto"/>
          <w:kern w:val="0"/>
          <w:sz w:val="31"/>
          <w:szCs w:val="31"/>
          <w:highlight w:val="none"/>
          <w:lang w:val="en-US" w:eastAsia="zh-CN" w:bidi="ar"/>
        </w:rPr>
        <w:t>支持光</w:t>
      </w:r>
      <w:r>
        <w:rPr>
          <w:rFonts w:hint="eastAsia" w:ascii="仿宋_GB2312" w:hAnsi="宋体" w:eastAsia="仿宋_GB2312" w:cs="仿宋_GB2312"/>
          <w:color w:val="auto"/>
          <w:kern w:val="0"/>
          <w:sz w:val="31"/>
          <w:szCs w:val="31"/>
          <w:highlight w:val="none"/>
          <w:lang w:val="en-US" w:eastAsia="zh-CN" w:bidi="ar"/>
        </w:rPr>
        <w:t>明区中医药传承发展研究院建设经方传习中心,构建国际经方交流分享平台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开展中医师诊疗服务能力提升项目工作</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lang w:val="en-US" w:eastAsia="zh-CN"/>
        </w:rPr>
        <w:t>推</w:t>
      </w:r>
      <w:r>
        <w:rPr>
          <w:rFonts w:hint="eastAsia" w:ascii="仿宋_GB2312" w:hAnsi="仿宋_GB2312" w:eastAsia="仿宋_GB2312" w:cs="仿宋_GB2312"/>
          <w:color w:val="auto"/>
          <w:sz w:val="32"/>
          <w:szCs w:val="32"/>
          <w:highlight w:val="none"/>
          <w:lang w:val="en-US" w:eastAsia="zh-CN"/>
        </w:rPr>
        <w:t>进</w:t>
      </w:r>
      <w:r>
        <w:rPr>
          <w:rFonts w:hint="default" w:ascii="仿宋_GB2312" w:hAnsi="仿宋_GB2312" w:eastAsia="仿宋_GB2312" w:cs="仿宋_GB2312"/>
          <w:color w:val="auto"/>
          <w:sz w:val="32"/>
          <w:szCs w:val="32"/>
          <w:highlight w:val="none"/>
          <w:lang w:val="en-US" w:eastAsia="zh-CN"/>
        </w:rPr>
        <w:t>中国科学院大学深圳医院（光明）与广东省中医药职业学院联合承办2年制西学中培训班项目</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鼓励综合医院</w:t>
      </w:r>
      <w:r>
        <w:rPr>
          <w:rFonts w:hint="eastAsia" w:ascii="仿宋_GB2312" w:hAnsi="仿宋_GB2312" w:eastAsia="仿宋_GB2312" w:cs="仿宋_GB2312"/>
          <w:color w:val="auto"/>
          <w:sz w:val="32"/>
          <w:szCs w:val="32"/>
          <w:highlight w:val="none"/>
          <w:lang w:val="en-US" w:eastAsia="zh-CN"/>
        </w:rPr>
        <w:t>、专科医院、社区健康服务中心</w:t>
      </w:r>
      <w:r>
        <w:rPr>
          <w:rFonts w:hint="default" w:ascii="仿宋_GB2312" w:hAnsi="仿宋_GB2312" w:eastAsia="仿宋_GB2312" w:cs="仿宋_GB2312"/>
          <w:color w:val="auto"/>
          <w:sz w:val="32"/>
          <w:szCs w:val="32"/>
          <w:highlight w:val="none"/>
          <w:lang w:val="en-US" w:eastAsia="zh-CN"/>
        </w:rPr>
        <w:t>中医类别医师参加中医全科转岗培训</w:t>
      </w:r>
      <w:r>
        <w:rPr>
          <w:rFonts w:hint="eastAsia" w:ascii="仿宋_GB2312" w:hAnsi="仿宋_GB2312" w:eastAsia="仿宋_GB2312" w:cs="仿宋_GB2312"/>
          <w:color w:val="auto"/>
          <w:sz w:val="32"/>
          <w:szCs w:val="32"/>
          <w:highlight w:val="none"/>
          <w:lang w:val="en-US" w:eastAsia="zh-CN"/>
        </w:rPr>
        <w:t>。</w:t>
      </w:r>
    </w:p>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p>
      <w:pPr>
        <w:keepNext w:val="0"/>
        <w:keepLines w:val="0"/>
        <w:pageBreakBefore w:val="0"/>
        <w:widowControl w:val="0"/>
        <w:shd w:val="clear"/>
        <w:kinsoku/>
        <w:wordWrap/>
        <w:overflowPunct/>
        <w:topLinePunct w:val="0"/>
        <w:autoSpaceDN/>
        <w:bidi w:val="0"/>
        <w:snapToGrid w:val="0"/>
        <w:spacing w:line="560" w:lineRule="exact"/>
        <w:ind w:firstLine="640" w:firstLineChars="200"/>
        <w:jc w:val="both"/>
        <w:textAlignment w:val="auto"/>
        <w:outlineLvl w:val="2"/>
        <w:rPr>
          <w:rFonts w:hint="eastAsia" w:ascii="黑体" w:hAnsi="黑体" w:eastAsia="黑体" w:cs="黑体"/>
          <w:color w:val="auto"/>
          <w:sz w:val="32"/>
          <w:szCs w:val="32"/>
        </w:rPr>
      </w:pPr>
      <w:bookmarkStart w:id="3243" w:name="_Toc585692412_WPSOffice_Level3"/>
      <w:r>
        <w:rPr>
          <w:rFonts w:hint="eastAsia" w:ascii="黑体" w:hAnsi="黑体" w:eastAsia="黑体" w:cs="黑体"/>
          <w:color w:val="auto"/>
          <w:sz w:val="32"/>
          <w:szCs w:val="32"/>
          <w:lang w:eastAsia="zh-CN"/>
        </w:rPr>
        <w:t>二、</w:t>
      </w:r>
      <w:bookmarkStart w:id="3244" w:name="_Toc29216"/>
      <w:bookmarkStart w:id="3245" w:name="_Toc846"/>
      <w:bookmarkStart w:id="3246" w:name="_Toc10297"/>
      <w:bookmarkStart w:id="3247" w:name="_Toc12136"/>
      <w:bookmarkStart w:id="3248" w:name="_Toc768"/>
      <w:bookmarkStart w:id="3249" w:name="_Toc9574"/>
      <w:bookmarkStart w:id="3250" w:name="_Toc23237"/>
      <w:bookmarkStart w:id="3251" w:name="_Toc5325"/>
      <w:bookmarkStart w:id="3252" w:name="_Toc22053"/>
      <w:bookmarkStart w:id="3253" w:name="_Toc23303"/>
      <w:bookmarkStart w:id="3254" w:name="_Toc29383"/>
      <w:bookmarkStart w:id="3255" w:name="_Toc26507"/>
      <w:bookmarkStart w:id="3256" w:name="_Toc27656"/>
      <w:bookmarkStart w:id="3257" w:name="_Toc22480"/>
      <w:bookmarkStart w:id="3258" w:name="_Toc29075"/>
      <w:bookmarkStart w:id="3259" w:name="_Toc11976"/>
      <w:bookmarkStart w:id="3260" w:name="_Toc4267"/>
      <w:bookmarkStart w:id="3261" w:name="_Toc10076"/>
      <w:r>
        <w:rPr>
          <w:rFonts w:hint="eastAsia" w:ascii="黑体" w:hAnsi="黑体" w:eastAsia="黑体" w:cs="黑体"/>
          <w:color w:val="auto"/>
          <w:sz w:val="32"/>
          <w:szCs w:val="32"/>
          <w:lang w:eastAsia="zh-CN"/>
        </w:rPr>
        <w:t>促</w:t>
      </w:r>
      <w:r>
        <w:rPr>
          <w:rFonts w:hint="eastAsia" w:ascii="黑体" w:hAnsi="黑体" w:eastAsia="黑体" w:cs="黑体"/>
          <w:color w:val="auto"/>
          <w:sz w:val="32"/>
          <w:szCs w:val="32"/>
        </w:rPr>
        <w:t>进中医药传承创新发展</w:t>
      </w:r>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Start w:id="3262" w:name="_Toc449"/>
      <w:bookmarkStart w:id="3263" w:name="_Toc24767"/>
      <w:bookmarkStart w:id="3264" w:name="_Toc912"/>
      <w:bookmarkStart w:id="3265" w:name="_Toc29675"/>
      <w:bookmarkStart w:id="3266" w:name="_Toc4894"/>
      <w:bookmarkStart w:id="3267" w:name="_Toc9752"/>
      <w:bookmarkStart w:id="3268" w:name="_Toc15672"/>
      <w:bookmarkStart w:id="3269" w:name="_Toc29053"/>
      <w:bookmarkStart w:id="3270" w:name="_Toc13601"/>
      <w:bookmarkStart w:id="3271" w:name="_Toc31539"/>
      <w:bookmarkStart w:id="3272" w:name="_Toc16985"/>
      <w:bookmarkStart w:id="3273" w:name="_Toc24062"/>
      <w:bookmarkStart w:id="3274" w:name="_Toc17820"/>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ascii="仿宋_GB2312" w:hAnsi="仿宋_GB2312" w:eastAsia="仿宋_GB2312" w:cs="仿宋_GB2312"/>
          <w:color w:val="auto"/>
          <w:sz w:val="32"/>
          <w:szCs w:val="32"/>
        </w:rPr>
      </w:pPr>
      <w:bookmarkStart w:id="3275" w:name="_Toc26574"/>
      <w:bookmarkStart w:id="3276" w:name="_Toc30042"/>
      <w:bookmarkStart w:id="3277" w:name="_Toc11036"/>
      <w:bookmarkStart w:id="3278" w:name="_Toc7348"/>
      <w:bookmarkStart w:id="3279" w:name="_Toc17323"/>
      <w:bookmarkStart w:id="3280" w:name="_Toc8259"/>
      <w:r>
        <w:rPr>
          <w:rFonts w:hint="eastAsia" w:ascii="仿宋_GB2312" w:eastAsia="仿宋_GB2312" w:cstheme="minorBidi"/>
          <w:b/>
          <w:color w:val="auto"/>
          <w:sz w:val="32"/>
          <w:szCs w:val="32"/>
          <w:lang w:val="en-US" w:eastAsia="zh-CN"/>
        </w:rPr>
        <w:t>48.</w:t>
      </w:r>
      <w:r>
        <w:rPr>
          <w:rFonts w:hint="eastAsia" w:ascii="仿宋_GB2312" w:hAnsi="Times New Roman" w:eastAsia="仿宋_GB2312" w:cstheme="minorBidi"/>
          <w:b/>
          <w:color w:val="auto"/>
          <w:sz w:val="32"/>
          <w:szCs w:val="32"/>
        </w:rPr>
        <w:t>推进中医药精华传承</w:t>
      </w:r>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r>
        <w:rPr>
          <w:rFonts w:hint="eastAsia" w:ascii="仿宋_GB2312" w:eastAsia="仿宋_GB2312" w:cstheme="minorBidi"/>
          <w:b/>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优先挖掘传承一批临床急需、疗效确切的中医药经典名方、验方及特色制剂，制定相关经典方剂目录。</w:t>
      </w:r>
      <w:r>
        <w:rPr>
          <w:rFonts w:hint="eastAsia" w:ascii="仿宋_GB2312" w:eastAsia="仿宋_GB2312"/>
          <w:color w:val="auto"/>
          <w:sz w:val="32"/>
          <w:szCs w:val="32"/>
          <w:highlight w:val="none"/>
        </w:rPr>
        <w:t>挖掘民间中医诊疗技术和方药</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开展中药验方收集、保存、研究评价。加强中医药传统知识保护与利用，</w:t>
      </w:r>
      <w:r>
        <w:rPr>
          <w:rFonts w:hint="eastAsia" w:ascii="仿宋_GB2312" w:eastAsia="仿宋_GB2312"/>
          <w:color w:val="auto"/>
          <w:sz w:val="32"/>
          <w:szCs w:val="32"/>
          <w:highlight w:val="none"/>
          <w:lang w:eastAsia="zh-CN"/>
        </w:rPr>
        <w:t>推进综合医院、专科医院、社区健康服务中心积极使用</w:t>
      </w:r>
      <w:r>
        <w:rPr>
          <w:rFonts w:hint="eastAsia" w:ascii="仿宋_GB2312" w:hAnsi="仿宋_GB2312" w:eastAsia="仿宋_GB2312" w:cs="仿宋_GB2312"/>
          <w:color w:val="auto"/>
          <w:sz w:val="32"/>
          <w:szCs w:val="32"/>
          <w:highlight w:val="none"/>
          <w:lang w:val="en-US" w:eastAsia="zh-CN"/>
        </w:rPr>
        <w:t>中医药经典名方、验方及特色制剂，鼓励具有中医相关资质的医师使用中医经典方剂，每张处方在绩效考核方面给予相应奖励。开展“经方家族”系列活动，传播中医药经方文化</w:t>
      </w:r>
      <w:r>
        <w:rPr>
          <w:rFonts w:hint="eastAsia" w:ascii="仿宋_GB2312" w:hAnsi="仿宋_GB2312" w:eastAsia="仿宋_GB2312" w:cs="仿宋_GB2312"/>
          <w:color w:val="auto"/>
          <w:sz w:val="32"/>
          <w:szCs w:val="32"/>
          <w:lang w:eastAsia="zh-CN"/>
        </w:rPr>
        <w:t>。</w:t>
      </w:r>
      <w:bookmarkStart w:id="3281" w:name="_Toc18842"/>
      <w:bookmarkStart w:id="3282" w:name="_Toc14220"/>
      <w:bookmarkStart w:id="3283" w:name="_Toc29700"/>
      <w:bookmarkStart w:id="3284" w:name="_Toc21325"/>
      <w:bookmarkStart w:id="3285" w:name="_Toc13494"/>
      <w:bookmarkStart w:id="3286" w:name="_Toc25226"/>
      <w:bookmarkStart w:id="3287" w:name="_Toc25139"/>
      <w:bookmarkStart w:id="3288" w:name="_Toc4882"/>
      <w:bookmarkStart w:id="3289" w:name="_Toc13213"/>
      <w:bookmarkStart w:id="3290" w:name="_Toc30829"/>
      <w:bookmarkStart w:id="3291" w:name="_Toc1338"/>
      <w:bookmarkStart w:id="3292" w:name="_Toc29899"/>
      <w:bookmarkStart w:id="3293" w:name="_Toc17731"/>
      <w:r>
        <w:rPr>
          <w:rFonts w:ascii="仿宋_GB2312" w:hAnsi="宋体" w:eastAsia="仿宋_GB2312" w:cs="仿宋_GB2312"/>
          <w:color w:val="auto"/>
          <w:kern w:val="0"/>
          <w:sz w:val="31"/>
          <w:szCs w:val="31"/>
          <w:highlight w:val="none"/>
          <w:lang w:val="en-US" w:eastAsia="zh-CN" w:bidi="ar"/>
        </w:rPr>
        <w:t>依托光明“欢乐田园”千亩中药植物</w:t>
      </w:r>
      <w:r>
        <w:rPr>
          <w:rFonts w:hint="eastAsia" w:ascii="仿宋_GB2312" w:hAnsi="宋体" w:eastAsia="仿宋_GB2312" w:cs="仿宋_GB2312"/>
          <w:color w:val="auto"/>
          <w:kern w:val="0"/>
          <w:sz w:val="31"/>
          <w:szCs w:val="31"/>
          <w:highlight w:val="none"/>
          <w:lang w:val="en-US" w:eastAsia="zh-CN" w:bidi="ar"/>
        </w:rPr>
        <w:t>园等打造中医药健康文化旅游基地。</w:t>
      </w:r>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eastAsia" w:ascii="仿宋_GB2312" w:eastAsia="仿宋_GB2312"/>
          <w:color w:val="auto"/>
          <w:sz w:val="32"/>
          <w:szCs w:val="32"/>
          <w:highlight w:val="none"/>
        </w:rPr>
      </w:pPr>
      <w:bookmarkStart w:id="3294" w:name="_Toc12097"/>
      <w:bookmarkStart w:id="3295" w:name="_Toc32648"/>
      <w:bookmarkStart w:id="3296" w:name="_Toc4682"/>
      <w:bookmarkStart w:id="3297" w:name="_Toc10404"/>
      <w:bookmarkStart w:id="3298" w:name="_Toc27800"/>
      <w:bookmarkStart w:id="3299" w:name="_Toc10911"/>
      <w:r>
        <w:rPr>
          <w:rFonts w:hint="eastAsia" w:ascii="仿宋_GB2312" w:eastAsia="仿宋_GB2312" w:cstheme="minorBidi"/>
          <w:b/>
          <w:color w:val="auto"/>
          <w:sz w:val="32"/>
          <w:szCs w:val="32"/>
          <w:lang w:val="en-US" w:eastAsia="zh-CN"/>
        </w:rPr>
        <w:t>49.</w:t>
      </w:r>
      <w:r>
        <w:rPr>
          <w:rFonts w:hint="eastAsia" w:ascii="仿宋_GB2312" w:hAnsi="Times New Roman" w:eastAsia="仿宋_GB2312" w:cstheme="minorBidi"/>
          <w:b/>
          <w:color w:val="auto"/>
          <w:sz w:val="32"/>
          <w:szCs w:val="32"/>
          <w:lang w:eastAsia="zh-CN"/>
        </w:rPr>
        <w:t>提高中医药科研水平</w:t>
      </w:r>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Start w:id="3300" w:name="_Toc28868"/>
      <w:r>
        <w:rPr>
          <w:rFonts w:hint="eastAsia" w:ascii="仿宋_GB2312" w:eastAsia="仿宋_GB2312" w:cstheme="minorBidi"/>
          <w:b/>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推进中医药科研工作与时俱进创新发展，设立区中医药科技研发专</w:t>
      </w:r>
      <w:r>
        <w:rPr>
          <w:rFonts w:hint="eastAsia" w:ascii="仿宋_GB2312" w:eastAsia="仿宋_GB2312"/>
          <w:color w:val="auto"/>
          <w:sz w:val="32"/>
          <w:szCs w:val="32"/>
          <w:highlight w:val="none"/>
          <w:lang w:val="en-US" w:eastAsia="zh-CN"/>
        </w:rPr>
        <w:t>项，支持开展中医药重大专项研究、中医药基础和中医药应用课题研究。以区级科研项目为基础，培育科研型中医药人才，激发中医药人员开展科研活动积极性，提升光明区</w:t>
      </w:r>
      <w:r>
        <w:rPr>
          <w:rFonts w:hint="eastAsia" w:ascii="仿宋_GB2312" w:eastAsia="仿宋_GB2312"/>
          <w:b w:val="0"/>
          <w:bCs w:val="0"/>
          <w:color w:val="auto"/>
          <w:sz w:val="32"/>
          <w:szCs w:val="32"/>
          <w:highlight w:val="none"/>
          <w:lang w:val="en-US" w:eastAsia="zh-CN"/>
        </w:rPr>
        <w:t>中医药</w:t>
      </w:r>
      <w:r>
        <w:rPr>
          <w:rFonts w:hint="eastAsia" w:ascii="仿宋_GB2312" w:hAnsi="Times New Roman" w:eastAsia="仿宋_GB2312" w:cstheme="minorBidi"/>
          <w:b w:val="0"/>
          <w:bCs w:val="0"/>
          <w:color w:val="auto"/>
          <w:sz w:val="32"/>
          <w:szCs w:val="32"/>
          <w:lang w:val="en-US" w:eastAsia="zh-CN"/>
        </w:rPr>
        <w:t>科研能力和水平，为申报省、市级课题创造条件，对获得国家</w:t>
      </w:r>
      <w:r>
        <w:rPr>
          <w:rFonts w:hint="eastAsia" w:ascii="仿宋_GB2312" w:eastAsia="仿宋_GB2312"/>
          <w:b w:val="0"/>
          <w:bCs w:val="0"/>
          <w:color w:val="auto"/>
          <w:sz w:val="32"/>
          <w:szCs w:val="32"/>
          <w:highlight w:val="none"/>
          <w:lang w:val="en-US" w:eastAsia="zh-CN"/>
        </w:rPr>
        <w:t>和广</w:t>
      </w:r>
      <w:r>
        <w:rPr>
          <w:rFonts w:hint="eastAsia" w:ascii="仿宋_GB2312" w:eastAsia="仿宋_GB2312"/>
          <w:color w:val="auto"/>
          <w:sz w:val="32"/>
          <w:szCs w:val="32"/>
          <w:highlight w:val="none"/>
          <w:lang w:val="en-US" w:eastAsia="zh-CN"/>
        </w:rPr>
        <w:t>东省科技计划资助的中医药项目，按照有关政策措施予以配套支持，推广国际化的中医药科研方法</w:t>
      </w:r>
      <w:r>
        <w:rPr>
          <w:rFonts w:hint="eastAsia" w:ascii="仿宋_GB2312" w:eastAsia="仿宋_GB2312"/>
          <w:color w:val="auto"/>
          <w:sz w:val="32"/>
          <w:szCs w:val="32"/>
          <w:highlight w:val="none"/>
        </w:rPr>
        <w:t>。</w:t>
      </w:r>
      <w:bookmarkEnd w:id="3300"/>
      <w:r>
        <w:rPr>
          <w:rFonts w:ascii="仿宋_GB2312" w:hAnsi="宋体" w:eastAsia="仿宋_GB2312" w:cs="仿宋_GB2312"/>
          <w:color w:val="auto"/>
          <w:kern w:val="0"/>
          <w:sz w:val="31"/>
          <w:szCs w:val="31"/>
          <w:highlight w:val="none"/>
          <w:lang w:val="en-US" w:eastAsia="zh-CN" w:bidi="ar"/>
        </w:rPr>
        <w:t>推进</w:t>
      </w:r>
      <w:r>
        <w:rPr>
          <w:rFonts w:hint="eastAsia" w:ascii="仿宋_GB2312" w:hAnsi="宋体" w:eastAsia="仿宋_GB2312" w:cs="仿宋_GB2312"/>
          <w:color w:val="auto"/>
          <w:kern w:val="0"/>
          <w:sz w:val="31"/>
          <w:szCs w:val="31"/>
          <w:highlight w:val="none"/>
          <w:lang w:val="en-US" w:eastAsia="zh-CN" w:bidi="ar"/>
        </w:rPr>
        <w:t>中医传承发展研究院、</w:t>
      </w:r>
      <w:r>
        <w:rPr>
          <w:rFonts w:ascii="仿宋_GB2312" w:hAnsi="宋体" w:eastAsia="仿宋_GB2312" w:cs="仿宋_GB2312"/>
          <w:color w:val="auto"/>
          <w:kern w:val="0"/>
          <w:sz w:val="31"/>
          <w:szCs w:val="31"/>
          <w:highlight w:val="none"/>
          <w:lang w:val="en-US" w:eastAsia="zh-CN" w:bidi="ar"/>
        </w:rPr>
        <w:t>光明国际中医</w:t>
      </w:r>
      <w:r>
        <w:rPr>
          <w:rFonts w:hint="eastAsia" w:ascii="仿宋_GB2312" w:hAnsi="宋体" w:eastAsia="仿宋_GB2312" w:cs="仿宋_GB2312"/>
          <w:color w:val="auto"/>
          <w:kern w:val="0"/>
          <w:sz w:val="31"/>
          <w:szCs w:val="31"/>
          <w:highlight w:val="none"/>
          <w:lang w:val="en-US" w:eastAsia="zh-CN" w:bidi="ar"/>
        </w:rPr>
        <w:t>药港等建设自主知识产权的中医药特色创新研发与转化平台，挖掘一批疗效确切的中医临床名方特色制剂。</w:t>
      </w:r>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eastAsia" w:ascii="仿宋_GB2312" w:hAnsi="Times New Roman" w:eastAsia="仿宋_GB2312" w:cstheme="minorBidi"/>
          <w:b w:val="0"/>
          <w:bCs/>
          <w:color w:val="auto"/>
          <w:sz w:val="32"/>
          <w:szCs w:val="32"/>
          <w:lang w:val="en-US" w:eastAsia="zh-CN"/>
        </w:rPr>
      </w:pPr>
      <w:r>
        <w:rPr>
          <w:rFonts w:hint="eastAsia" w:ascii="仿宋_GB2312" w:eastAsia="仿宋_GB2312" w:cstheme="minorBidi"/>
          <w:b/>
          <w:bCs w:val="0"/>
          <w:color w:val="auto"/>
          <w:sz w:val="32"/>
          <w:szCs w:val="32"/>
          <w:lang w:val="en-US" w:eastAsia="zh-CN"/>
        </w:rPr>
        <w:t>50</w:t>
      </w:r>
      <w:r>
        <w:rPr>
          <w:rFonts w:hint="eastAsia" w:ascii="仿宋_GB2312" w:hAnsi="Times New Roman" w:eastAsia="仿宋_GB2312" w:cstheme="minorBidi"/>
          <w:b/>
          <w:bCs w:val="0"/>
          <w:color w:val="auto"/>
          <w:sz w:val="32"/>
          <w:szCs w:val="32"/>
          <w:lang w:val="en-US" w:eastAsia="zh-CN"/>
        </w:rPr>
        <w:t>.推动中医药产业高质量发展。</w:t>
      </w:r>
      <w:r>
        <w:rPr>
          <w:rFonts w:hint="eastAsia" w:ascii="仿宋_GB2312" w:hAnsi="Times New Roman" w:eastAsia="仿宋_GB2312" w:cstheme="minorBidi"/>
          <w:b w:val="0"/>
          <w:bCs/>
          <w:color w:val="auto"/>
          <w:sz w:val="32"/>
          <w:szCs w:val="32"/>
          <w:lang w:val="en-US" w:eastAsia="zh-CN"/>
        </w:rPr>
        <w:t>争取“四个先行先试和一个突破”中医药政策：先行先试中医药进出口政策，简化审批程序；先行先试建立港澳台及境外中医师和其他国家传统医师在深圳执业政策；先行先试中成药及中药材跨境电商服务机制；先行先试中医药跨境流通和认证机制；突破中医药经典名方剂及验方的审批、开发、生产及标准化等政策，建设光明国际中医药港，形成以中医药产业为主体，中医药商业为枢纽，中医药知识经济为动力的集产、学、研、用、商、中医药传统文化传承和知识产权保护、新药开发及适宜技术推广为一体的中医药大健康产业。</w:t>
      </w:r>
    </w:p>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eastAsia" w:ascii="Times New Roman" w:hAnsi="Times New Roman" w:eastAsia="黑体" w:cstheme="minorBidi"/>
          <w:b w:val="0"/>
          <w:bCs/>
          <w:color w:val="auto"/>
          <w:kern w:val="44"/>
          <w:sz w:val="32"/>
          <w:szCs w:val="32"/>
          <w:highlight w:val="yellow"/>
          <w:lang w:val="en-US" w:eastAsia="zh-CN" w:bidi="ar-SA"/>
        </w:rPr>
      </w:pPr>
      <w:r>
        <w:rPr>
          <w:rFonts w:hint="eastAsia" w:ascii="仿宋_GB2312" w:eastAsia="仿宋_GB2312" w:cstheme="minorBidi"/>
          <w:b/>
          <w:bCs w:val="0"/>
          <w:color w:val="auto"/>
          <w:sz w:val="32"/>
          <w:szCs w:val="32"/>
          <w:lang w:val="en-US" w:eastAsia="zh-CN"/>
        </w:rPr>
        <w:t>51</w:t>
      </w:r>
      <w:r>
        <w:rPr>
          <w:rFonts w:hint="eastAsia" w:ascii="仿宋_GB2312" w:hAnsi="Times New Roman" w:eastAsia="仿宋_GB2312" w:cstheme="minorBidi"/>
          <w:b/>
          <w:bCs w:val="0"/>
          <w:color w:val="auto"/>
          <w:sz w:val="32"/>
          <w:szCs w:val="32"/>
          <w:lang w:val="en-US" w:eastAsia="zh-CN"/>
        </w:rPr>
        <w:t>.加强中医药知识产权保护工作</w:t>
      </w:r>
      <w:r>
        <w:rPr>
          <w:rFonts w:hint="eastAsia" w:ascii="仿宋_GB2312" w:eastAsia="仿宋_GB2312" w:cstheme="minorBidi"/>
          <w:b/>
          <w:bCs w:val="0"/>
          <w:color w:val="auto"/>
          <w:sz w:val="32"/>
          <w:szCs w:val="32"/>
          <w:lang w:val="en-US" w:eastAsia="zh-CN"/>
        </w:rPr>
        <w:t>。</w:t>
      </w:r>
      <w:r>
        <w:rPr>
          <w:rFonts w:hint="eastAsia" w:ascii="仿宋_GB2312" w:hAnsi="Times New Roman" w:eastAsia="仿宋_GB2312" w:cstheme="minorBidi"/>
          <w:b w:val="0"/>
          <w:bCs/>
          <w:color w:val="auto"/>
          <w:sz w:val="32"/>
          <w:szCs w:val="32"/>
          <w:lang w:val="en-US" w:eastAsia="zh-CN"/>
        </w:rPr>
        <w:t>以深圳市光明区中医药传承发展研究院为依托，开展中医药知识产权保护工作，包括收集中医药知识产权保护相关政策，整理深圳市中医名医名方、验方、院内制剂、中医药相关专利、非遗保护项目、学术流派，建立深圳市中医药传统知识保护数据库、保护名录，建立中医药知识产权和科技成果转化权益保障机制，突出中医药特点和发展需求，为中医药传承与开放创新发展保驾护航。</w:t>
      </w:r>
      <w:bookmarkStart w:id="3301" w:name="_Toc1028"/>
      <w:bookmarkStart w:id="3302" w:name="_Toc25730"/>
      <w:bookmarkStart w:id="3303" w:name="_Toc16814"/>
      <w:bookmarkStart w:id="3304" w:name="_Toc22341"/>
      <w:bookmarkStart w:id="3305" w:name="_Toc21953"/>
      <w:bookmarkStart w:id="3306" w:name="_Toc3886"/>
      <w:bookmarkStart w:id="3307" w:name="_Toc6709"/>
      <w:bookmarkStart w:id="3308" w:name="_Toc23701"/>
      <w:bookmarkStart w:id="3309" w:name="_Toc9931"/>
      <w:bookmarkStart w:id="3310" w:name="_Toc8059"/>
      <w:bookmarkStart w:id="3311" w:name="_Toc9407"/>
      <w:bookmarkStart w:id="3312" w:name="_Toc18361"/>
      <w:bookmarkStart w:id="3313" w:name="_Toc23858"/>
      <w:bookmarkStart w:id="3314" w:name="_Toc5626"/>
      <w:bookmarkStart w:id="3315" w:name="_Toc9885"/>
      <w:bookmarkStart w:id="3316" w:name="_Toc5655"/>
      <w:bookmarkStart w:id="3317" w:name="_Toc30247"/>
      <w:bookmarkStart w:id="3318" w:name="_Toc5440"/>
      <w:bookmarkStart w:id="3319" w:name="_Toc30117"/>
      <w:bookmarkStart w:id="3320" w:name="_Toc10583"/>
      <w:bookmarkStart w:id="3321" w:name="_Toc6467"/>
      <w:bookmarkStart w:id="3322" w:name="_Toc27192"/>
      <w:bookmarkStart w:id="3323" w:name="_Toc15176"/>
      <w:bookmarkStart w:id="3324" w:name="_Toc10739"/>
      <w:bookmarkStart w:id="3325" w:name="_Toc18435"/>
      <w:bookmarkStart w:id="3326" w:name="_Toc12659"/>
      <w:bookmarkStart w:id="3327" w:name="_Toc18575"/>
      <w:bookmarkStart w:id="3328" w:name="_Toc12507"/>
      <w:bookmarkStart w:id="3329" w:name="_Toc28834"/>
      <w:bookmarkStart w:id="3330" w:name="_Toc30836"/>
      <w:bookmarkStart w:id="3331" w:name="_Toc26467"/>
      <w:bookmarkStart w:id="3332" w:name="_Toc31559"/>
      <w:bookmarkStart w:id="3333" w:name="_Toc32054"/>
      <w:bookmarkStart w:id="3334" w:name="_Toc2493"/>
      <w:bookmarkStart w:id="3335" w:name="_Toc4130"/>
      <w:bookmarkStart w:id="3336" w:name="_Toc4440"/>
      <w:bookmarkStart w:id="3337" w:name="_Toc25438"/>
      <w:bookmarkStart w:id="3338" w:name="_Toc9959"/>
      <w:bookmarkStart w:id="3339" w:name="_Toc15359"/>
      <w:bookmarkStart w:id="3340" w:name="_Toc30681"/>
      <w:bookmarkStart w:id="3341" w:name="_Toc20131"/>
      <w:bookmarkStart w:id="3342" w:name="_Toc28423"/>
      <w:bookmarkStart w:id="3343" w:name="_Toc14795"/>
      <w:bookmarkStart w:id="3344" w:name="_Toc29230"/>
      <w:bookmarkStart w:id="3345" w:name="_Toc31285"/>
      <w:bookmarkStart w:id="3346" w:name="_Toc25574"/>
      <w:bookmarkStart w:id="3347" w:name="_Toc25777"/>
      <w:bookmarkStart w:id="3348" w:name="_Toc15711"/>
      <w:bookmarkStart w:id="3349" w:name="_Toc28830"/>
      <w:bookmarkStart w:id="3350" w:name="_Toc18086"/>
      <w:bookmarkStart w:id="3351" w:name="_Toc5001"/>
      <w:bookmarkStart w:id="3352" w:name="_Toc28174"/>
      <w:bookmarkStart w:id="3353" w:name="_Toc32281"/>
      <w:bookmarkStart w:id="3354" w:name="_Toc29734"/>
      <w:bookmarkStart w:id="3355" w:name="_Toc1099"/>
      <w:bookmarkStart w:id="3356" w:name="_Toc8386"/>
    </w:p>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p>
      <w:pPr>
        <w:keepNext w:val="0"/>
        <w:keepLines w:val="0"/>
        <w:pageBreakBefore w:val="0"/>
        <w:widowControl w:val="0"/>
        <w:shd w:val="clear"/>
        <w:kinsoku/>
        <w:wordWrap/>
        <w:overflowPunct/>
        <w:topLinePunct w:val="0"/>
        <w:autoSpaceDN/>
        <w:bidi w:val="0"/>
        <w:snapToGrid w:val="0"/>
        <w:spacing w:line="560" w:lineRule="exact"/>
        <w:ind w:firstLine="642" w:firstLineChars="200"/>
        <w:jc w:val="both"/>
        <w:textAlignment w:val="auto"/>
        <w:outlineLvl w:val="2"/>
        <w:rPr>
          <w:rFonts w:hint="eastAsia" w:ascii="仿宋_GB2312" w:hAnsi="仿宋_GB2312" w:eastAsia="仿宋_GB2312" w:cs="仿宋_GB2312"/>
          <w:bCs/>
          <w:color w:val="auto"/>
          <w:kern w:val="2"/>
          <w:sz w:val="32"/>
          <w:szCs w:val="32"/>
          <w:lang w:val="en-US" w:eastAsia="zh-CN" w:bidi="ar-SA"/>
        </w:rPr>
      </w:pPr>
      <w:bookmarkStart w:id="3357" w:name="_Toc7502"/>
      <w:bookmarkStart w:id="3358" w:name="_Toc19836"/>
      <w:bookmarkStart w:id="3359" w:name="_Toc6384"/>
      <w:bookmarkStart w:id="3360" w:name="_Toc8793"/>
      <w:bookmarkStart w:id="3361" w:name="_Toc5742"/>
      <w:bookmarkStart w:id="3362" w:name="_Toc12860"/>
      <w:bookmarkStart w:id="3363" w:name="_Toc1763"/>
      <w:bookmarkStart w:id="3364" w:name="_Toc24517"/>
      <w:bookmarkStart w:id="3365" w:name="_Toc26367"/>
      <w:bookmarkStart w:id="3366" w:name="_Toc19165"/>
      <w:bookmarkStart w:id="3367" w:name="_Toc5314"/>
      <w:bookmarkStart w:id="3368" w:name="_Toc11010"/>
      <w:bookmarkStart w:id="3369" w:name="_Toc2568"/>
      <w:bookmarkStart w:id="3370" w:name="_Toc11468"/>
      <w:bookmarkStart w:id="3371" w:name="_Toc21390"/>
      <w:bookmarkStart w:id="3372" w:name="_Toc22721"/>
      <w:bookmarkStart w:id="3373" w:name="_Toc2125"/>
      <w:bookmarkStart w:id="3374" w:name="_Toc16803"/>
      <w:bookmarkStart w:id="3375" w:name="_Toc19020"/>
      <w:bookmarkStart w:id="3376" w:name="_Toc32532"/>
      <w:bookmarkStart w:id="3377" w:name="_Toc19198"/>
      <w:bookmarkStart w:id="3378" w:name="_Toc6201"/>
      <w:bookmarkStart w:id="3379" w:name="_Toc12944"/>
      <w:bookmarkStart w:id="3380" w:name="_Toc25754"/>
      <w:bookmarkStart w:id="3381" w:name="_Toc21945"/>
      <w:bookmarkStart w:id="3382" w:name="_Toc21473"/>
      <w:bookmarkStart w:id="3383" w:name="_Toc30273"/>
      <w:bookmarkStart w:id="3384" w:name="_Toc31696"/>
      <w:bookmarkStart w:id="3385" w:name="_Toc18357"/>
      <w:bookmarkStart w:id="3386" w:name="_Toc28436"/>
      <w:bookmarkStart w:id="3387" w:name="_Toc32209"/>
      <w:bookmarkStart w:id="3388" w:name="_Toc27412"/>
      <w:bookmarkStart w:id="3389" w:name="_Toc12144"/>
      <w:bookmarkStart w:id="3390" w:name="_Toc15923"/>
      <w:bookmarkStart w:id="3391" w:name="_Toc27196"/>
      <w:bookmarkStart w:id="3392" w:name="_Toc10638"/>
      <w:bookmarkStart w:id="3393" w:name="_Toc11754"/>
      <w:bookmarkStart w:id="3394" w:name="_Toc16746"/>
      <w:bookmarkStart w:id="3395" w:name="_Toc15214"/>
      <w:bookmarkStart w:id="3396" w:name="_Toc19663"/>
      <w:bookmarkStart w:id="3397" w:name="_Toc16074"/>
      <w:bookmarkStart w:id="3398" w:name="_Toc4139"/>
      <w:bookmarkStart w:id="3399" w:name="_Toc23989"/>
      <w:bookmarkStart w:id="3400" w:name="_Toc25427"/>
      <w:bookmarkStart w:id="3401" w:name="_Toc25198"/>
      <w:bookmarkStart w:id="3402" w:name="_Toc4450"/>
      <w:bookmarkStart w:id="3403" w:name="_Toc25505"/>
      <w:bookmarkStart w:id="3404" w:name="_Toc18521"/>
      <w:bookmarkStart w:id="3405" w:name="_Toc31598"/>
      <w:bookmarkStart w:id="3406" w:name="_Toc23252"/>
      <w:bookmarkStart w:id="3407" w:name="_Toc29293"/>
      <w:bookmarkStart w:id="3408" w:name="_Toc18497"/>
      <w:bookmarkStart w:id="3409" w:name="_Toc15469"/>
      <w:bookmarkStart w:id="3410" w:name="_Toc15395"/>
      <w:bookmarkStart w:id="3411" w:name="_Toc666"/>
      <w:bookmarkStart w:id="3412" w:name="_Toc5874"/>
      <w:bookmarkStart w:id="3413" w:name="_Toc16457"/>
      <w:bookmarkStart w:id="3414" w:name="_Toc3202"/>
      <w:bookmarkStart w:id="3415" w:name="_Toc4114"/>
      <w:bookmarkStart w:id="3416" w:name="_Toc24925"/>
      <w:bookmarkStart w:id="3417" w:name="_Toc24252"/>
      <w:r>
        <w:rPr>
          <w:rFonts w:hint="eastAsia" w:ascii="仿宋_GB2312" w:hAnsi="仿宋_GB2312" w:eastAsia="仿宋_GB2312" w:cs="仿宋_GB2312"/>
          <w:b/>
          <w:bCs w:val="0"/>
          <w:color w:val="auto"/>
          <w:sz w:val="32"/>
          <w:szCs w:val="32"/>
          <w:lang w:val="en-US" w:eastAsia="zh-CN"/>
        </w:rPr>
        <w:t>52.推进粤港医疗机构</w:t>
      </w:r>
      <w:r>
        <w:rPr>
          <w:rFonts w:hint="eastAsia" w:ascii="仿宋_GB2312" w:hAnsi="仿宋_GB2312" w:eastAsia="仿宋_GB2312" w:cs="仿宋_GB2312"/>
          <w:b/>
          <w:color w:val="auto"/>
          <w:sz w:val="32"/>
          <w:szCs w:val="32"/>
          <w:highlight w:val="none"/>
        </w:rPr>
        <w:t>中药</w:t>
      </w:r>
      <w:r>
        <w:rPr>
          <w:rFonts w:hint="eastAsia" w:ascii="仿宋_GB2312" w:hAnsi="仿宋_GB2312" w:eastAsia="仿宋_GB2312" w:cs="仿宋_GB2312"/>
          <w:b/>
          <w:bCs w:val="0"/>
          <w:color w:val="auto"/>
          <w:sz w:val="32"/>
          <w:szCs w:val="32"/>
          <w:lang w:val="en-US" w:eastAsia="zh-CN"/>
        </w:rPr>
        <w:t>院内制剂中心建设。</w:t>
      </w:r>
      <w:bookmarkEnd w:id="3357"/>
      <w:bookmarkEnd w:id="3358"/>
      <w:bookmarkEnd w:id="3359"/>
      <w:bookmarkEnd w:id="3360"/>
      <w:bookmarkEnd w:id="3361"/>
      <w:bookmarkEnd w:id="3362"/>
      <w:r>
        <w:rPr>
          <w:rFonts w:hint="eastAsia" w:ascii="仿宋_GB2312" w:hAnsi="宋体" w:eastAsia="仿宋_GB2312" w:cs="仿宋_GB2312"/>
          <w:color w:val="auto"/>
          <w:kern w:val="0"/>
          <w:sz w:val="31"/>
          <w:szCs w:val="31"/>
          <w:highlight w:val="none"/>
          <w:lang w:val="en-US" w:eastAsia="zh-CN" w:bidi="ar"/>
        </w:rPr>
        <w:t>依托</w:t>
      </w:r>
      <w:r>
        <w:rPr>
          <w:rFonts w:ascii="仿宋_GB2312" w:hAnsi="宋体" w:eastAsia="仿宋_GB2312" w:cs="仿宋_GB2312"/>
          <w:color w:val="auto"/>
          <w:kern w:val="0"/>
          <w:sz w:val="31"/>
          <w:szCs w:val="31"/>
          <w:highlight w:val="none"/>
          <w:lang w:val="en-US" w:eastAsia="zh-CN" w:bidi="ar"/>
        </w:rPr>
        <w:t>光</w:t>
      </w:r>
      <w:r>
        <w:rPr>
          <w:rFonts w:hint="eastAsia" w:ascii="仿宋_GB2312" w:hAnsi="宋体" w:eastAsia="仿宋_GB2312" w:cs="仿宋_GB2312"/>
          <w:color w:val="auto"/>
          <w:kern w:val="0"/>
          <w:sz w:val="31"/>
          <w:szCs w:val="31"/>
          <w:highlight w:val="none"/>
          <w:lang w:val="en-US" w:eastAsia="zh-CN" w:bidi="ar"/>
        </w:rPr>
        <w:t>明国际中医药港</w:t>
      </w:r>
      <w:r>
        <w:rPr>
          <w:rFonts w:hint="eastAsia" w:ascii="仿宋_GB2312" w:hAnsi="仿宋_GB2312" w:eastAsia="仿宋_GB2312" w:cs="仿宋_GB2312"/>
          <w:bCs/>
          <w:color w:val="auto"/>
          <w:kern w:val="2"/>
          <w:sz w:val="32"/>
          <w:szCs w:val="32"/>
          <w:lang w:val="en-US" w:eastAsia="zh-CN" w:bidi="ar-SA"/>
        </w:rPr>
        <w:t>建设高产、高效、高标准的</w:t>
      </w:r>
      <w:r>
        <w:rPr>
          <w:rFonts w:ascii="仿宋_GB2312" w:hAnsi="宋体" w:eastAsia="仿宋_GB2312" w:cs="仿宋_GB2312"/>
          <w:color w:val="auto"/>
          <w:kern w:val="0"/>
          <w:sz w:val="31"/>
          <w:szCs w:val="31"/>
          <w:highlight w:val="none"/>
          <w:lang w:val="en-US" w:eastAsia="zh-CN" w:bidi="ar"/>
        </w:rPr>
        <w:t>辐射粤港的医疗机构中药制剂中心，争取先</w:t>
      </w:r>
      <w:r>
        <w:rPr>
          <w:rFonts w:hint="eastAsia" w:ascii="仿宋_GB2312" w:hAnsi="宋体" w:eastAsia="仿宋_GB2312" w:cs="仿宋_GB2312"/>
          <w:color w:val="auto"/>
          <w:kern w:val="0"/>
          <w:sz w:val="31"/>
          <w:szCs w:val="31"/>
          <w:highlight w:val="none"/>
          <w:lang w:val="en-US" w:eastAsia="zh-CN" w:bidi="ar"/>
        </w:rPr>
        <w:t>行先试中药制剂跨区域共享调剂</w:t>
      </w:r>
      <w:r>
        <w:rPr>
          <w:rFonts w:hint="eastAsia" w:ascii="仿宋_GB2312" w:hAnsi="仿宋_GB2312" w:eastAsia="仿宋_GB2312" w:cs="仿宋_GB2312"/>
          <w:bCs/>
          <w:color w:val="auto"/>
          <w:kern w:val="2"/>
          <w:sz w:val="32"/>
          <w:szCs w:val="32"/>
          <w:lang w:val="en-US" w:eastAsia="zh-CN" w:bidi="ar-SA"/>
        </w:rPr>
        <w:t>。组建粤港医疗机构中药院内制剂中心联盟，辐射粤港澳大湾区医疗机构，建立全新的院内制剂资源共享机制与合作模式，通过对院内制剂的相关资源整合，实现对中医临床经验方转化为医疗机构中药制剂的支持，提高院内制剂整体行业科研成果转化水平。</w:t>
      </w:r>
    </w:p>
    <w:p>
      <w:pPr>
        <w:pStyle w:val="31"/>
        <w:keepNext w:val="0"/>
        <w:keepLines w:val="0"/>
        <w:pageBreakBefore w:val="0"/>
        <w:shd w:val="clear"/>
        <w:kinsoku/>
        <w:wordWrap/>
        <w:overflowPunct/>
        <w:topLinePunct w:val="0"/>
        <w:autoSpaceDN/>
        <w:bidi w:val="0"/>
        <w:spacing w:line="56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bookmarkStart w:id="3418" w:name="_Toc1301836389_WPSOffice_Level3"/>
      <w:r>
        <w:rPr>
          <w:rFonts w:hint="eastAsia" w:ascii="黑体" w:hAnsi="黑体" w:eastAsia="黑体" w:cs="黑体"/>
          <w:b w:val="0"/>
          <w:bCs w:val="0"/>
          <w:color w:val="auto"/>
          <w:kern w:val="2"/>
          <w:sz w:val="32"/>
          <w:szCs w:val="32"/>
          <w:lang w:val="en-US" w:eastAsia="zh-CN" w:bidi="ar-SA"/>
        </w:rPr>
        <w:t>三、打造光明国际中医药港</w:t>
      </w:r>
      <w:bookmarkEnd w:id="3418"/>
    </w:p>
    <w:p>
      <w:pPr>
        <w:pStyle w:val="31"/>
        <w:keepNext w:val="0"/>
        <w:keepLines w:val="0"/>
        <w:pageBreakBefore w:val="0"/>
        <w:shd w:val="clear"/>
        <w:kinsoku/>
        <w:wordWrap/>
        <w:overflowPunct/>
        <w:topLinePunct w:val="0"/>
        <w:autoSpaceDN/>
        <w:bidi w:val="0"/>
        <w:spacing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val="0"/>
          <w:color w:val="auto"/>
          <w:kern w:val="2"/>
          <w:sz w:val="32"/>
          <w:szCs w:val="32"/>
          <w:lang w:val="en-US" w:eastAsia="zh-CN" w:bidi="ar-SA"/>
        </w:rPr>
        <w:t>53.争创标准膏方制作服务中心。</w:t>
      </w:r>
      <w:r>
        <w:rPr>
          <w:rFonts w:hint="eastAsia" w:ascii="仿宋_GB2312" w:hAnsi="仿宋_GB2312" w:eastAsia="仿宋_GB2312" w:cs="仿宋_GB2312"/>
          <w:bCs/>
          <w:color w:val="auto"/>
          <w:kern w:val="2"/>
          <w:sz w:val="32"/>
          <w:szCs w:val="32"/>
          <w:lang w:val="en-US" w:eastAsia="zh-CN" w:bidi="ar-SA"/>
        </w:rPr>
        <w:t>建设“标准膏方中心”，与专科中医特色诊疗及中医药大健康平台协同创新， 深入开发膏方产品，开展膏方临床应用研究，打造区域标杆平台，传承和发扬中</w:t>
      </w:r>
      <w:r>
        <w:rPr>
          <w:rFonts w:hint="eastAsia" w:ascii="仿宋_GB2312" w:hAnsi="仿宋_GB2312" w:eastAsia="仿宋_GB2312" w:cs="仿宋_GB2312"/>
          <w:color w:val="auto"/>
          <w:sz w:val="32"/>
          <w:szCs w:val="32"/>
          <w:highlight w:val="none"/>
          <w:lang w:val="en-US" w:eastAsia="zh-CN"/>
        </w:rPr>
        <w:t>医药文化经典。 加强对膏方四季应用的科学性研究，在拓宽膏方服用季节方面做进一步的探索。 初步完成定制膏方加工标准制定工作，实现标准化、集约化、规范化。争创深圳地区的标准膏方制作服务中心，设立膏方技术教育和培训基地，为光明区及周边地区医疗机构提供配药、制膏、包装、配送等一系列的膏方综合性服务。</w:t>
      </w:r>
    </w:p>
    <w:p>
      <w:pPr>
        <w:pStyle w:val="31"/>
        <w:keepNext w:val="0"/>
        <w:keepLines w:val="0"/>
        <w:pageBreakBefore w:val="0"/>
        <w:widowControl w:val="0"/>
        <w:shd w:val="clear"/>
        <w:kinsoku/>
        <w:wordWrap/>
        <w:overflowPunct/>
        <w:topLinePunct w:val="0"/>
        <w:autoSpaceDE w:val="0"/>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54.形成中医药应急储备新标杆。</w:t>
      </w:r>
      <w:r>
        <w:rPr>
          <w:rFonts w:hint="eastAsia" w:ascii="仿宋_GB2312" w:hAnsi="仿宋_GB2312" w:eastAsia="仿宋_GB2312" w:cs="仿宋_GB2312"/>
          <w:color w:val="auto"/>
          <w:sz w:val="32"/>
          <w:szCs w:val="32"/>
          <w:highlight w:val="none"/>
          <w:lang w:val="en-US" w:eastAsia="zh-CN"/>
        </w:rPr>
        <w:t>在光明国际中医药港建设深圳市公共卫生应急物资储备基地暨中药材战略储备库，发挥光明国际中医药港在中药储备和流通上的优势作用，以产能储备、动态储备、智能储备和科研技术储备为原则，以标准化、集约化、规模化和可追溯为特点，实现统一管理、统一调配，探索优质中药材战略储备全新机制，形成质量上乘、供应高效、规模适当、补充及时、管理科学的应急物资储备体系。</w:t>
      </w:r>
    </w:p>
    <w:p>
      <w:pPr>
        <w:pStyle w:val="31"/>
        <w:keepNext w:val="0"/>
        <w:keepLines w:val="0"/>
        <w:pageBreakBefore w:val="0"/>
        <w:widowControl w:val="0"/>
        <w:shd w:val="clear"/>
        <w:kinsoku/>
        <w:wordWrap/>
        <w:overflowPunct/>
        <w:topLinePunct w:val="0"/>
        <w:autoSpaceDE w:val="0"/>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55.打造“互联网+”中医智慧药房。</w:t>
      </w:r>
      <w:r>
        <w:rPr>
          <w:rFonts w:hint="eastAsia" w:ascii="仿宋_GB2312" w:hAnsi="仿宋_GB2312" w:eastAsia="仿宋_GB2312" w:cs="仿宋_GB2312"/>
          <w:color w:val="auto"/>
          <w:sz w:val="32"/>
          <w:szCs w:val="32"/>
          <w:highlight w:val="none"/>
          <w:lang w:val="en-US" w:eastAsia="zh-CN"/>
        </w:rPr>
        <w:t>在光明国际中医药港建设智能代煎代配中心，以自动化、智能化煎药机为基础，以计算机、互联网和物联网为保障，用“互联网+”技术，打造中医智慧药房，在保证药品使用各个环节安全化、标准化管理衔接的前提下，通过互联网的技术帮助服务患者，为广大市民提供优质、专业、高效、价廉的中药汤剂代煎服务，制定“互联网+中药药事服务”标准。</w:t>
      </w:r>
    </w:p>
    <w:p>
      <w:pPr>
        <w:pStyle w:val="31"/>
        <w:keepNext w:val="0"/>
        <w:keepLines w:val="0"/>
        <w:pageBreakBefore w:val="0"/>
        <w:widowControl w:val="0"/>
        <w:shd w:val="clear"/>
        <w:kinsoku/>
        <w:wordWrap/>
        <w:overflowPunct/>
        <w:topLinePunct w:val="0"/>
        <w:autoSpaceDE w:val="0"/>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56.建设中医药跨境电商平台。</w:t>
      </w:r>
      <w:r>
        <w:rPr>
          <w:rFonts w:hint="eastAsia" w:ascii="仿宋_GB2312" w:hAnsi="仿宋_GB2312" w:eastAsia="仿宋_GB2312" w:cs="仿宋_GB2312"/>
          <w:color w:val="auto"/>
          <w:sz w:val="32"/>
          <w:szCs w:val="32"/>
          <w:highlight w:val="none"/>
          <w:lang w:val="en-US" w:eastAsia="zh-CN"/>
        </w:rPr>
        <w:t>建立光明国际中医药港中医药跨境电商平台，依托粤港澳大湾区发展战略，结合深圳跨境电商产业发展的独特优势，以国内中医药供给侧的跨境服务改革创新，引进一批具有核心竞争力的中医药企业，按照国际认可的中医药产品质量标准，打通道地药材、中药饮片、配方颗粒剂的开发方剂和中成药出口渠道，为中医药实现“走出去”提供专业指导。</w:t>
      </w:r>
    </w:p>
    <w:p>
      <w:pPr>
        <w:pStyle w:val="31"/>
        <w:keepNext w:val="0"/>
        <w:keepLines w:val="0"/>
        <w:pageBreakBefore w:val="0"/>
        <w:widowControl w:val="0"/>
        <w:shd w:val="clear"/>
        <w:kinsoku/>
        <w:wordWrap/>
        <w:overflowPunct/>
        <w:topLinePunct w:val="0"/>
        <w:autoSpaceDE w:val="0"/>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57.先行先试中医药进出口政策。</w:t>
      </w:r>
      <w:r>
        <w:rPr>
          <w:rFonts w:hint="eastAsia" w:ascii="仿宋_GB2312" w:hAnsi="宋体" w:eastAsia="仿宋_GB2312" w:cs="仿宋_GB2312"/>
          <w:color w:val="auto"/>
          <w:kern w:val="0"/>
          <w:sz w:val="31"/>
          <w:szCs w:val="31"/>
          <w:highlight w:val="none"/>
          <w:lang w:val="en-US" w:eastAsia="zh-CN" w:bidi="ar"/>
        </w:rPr>
        <w:t>建设</w:t>
      </w:r>
      <w:r>
        <w:rPr>
          <w:rFonts w:ascii="仿宋_GB2312" w:hAnsi="宋体" w:eastAsia="仿宋_GB2312" w:cs="仿宋_GB2312"/>
          <w:color w:val="auto"/>
          <w:kern w:val="0"/>
          <w:sz w:val="31"/>
          <w:szCs w:val="31"/>
          <w:highlight w:val="none"/>
          <w:lang w:val="en-US" w:eastAsia="zh-CN" w:bidi="ar"/>
        </w:rPr>
        <w:t>品质中药国际交易中心及中药材出口集聚区，打造从中药种</w:t>
      </w:r>
      <w:r>
        <w:rPr>
          <w:rFonts w:hint="eastAsia" w:ascii="仿宋_GB2312" w:hAnsi="宋体" w:eastAsia="仿宋_GB2312" w:cs="仿宋_GB2312"/>
          <w:color w:val="auto"/>
          <w:kern w:val="0"/>
          <w:sz w:val="31"/>
          <w:szCs w:val="31"/>
          <w:highlight w:val="none"/>
          <w:lang w:val="en-US" w:eastAsia="zh-CN" w:bidi="ar"/>
        </w:rPr>
        <w:t>植源头到成药的全流程流通体系。</w:t>
      </w:r>
      <w:r>
        <w:rPr>
          <w:rFonts w:hint="eastAsia" w:ascii="仿宋_GB2312" w:hAnsi="仿宋_GB2312" w:eastAsia="仿宋_GB2312" w:cs="仿宋_GB2312"/>
          <w:color w:val="auto"/>
          <w:sz w:val="32"/>
          <w:szCs w:val="32"/>
          <w:highlight w:val="none"/>
          <w:lang w:val="en-US" w:eastAsia="zh-CN"/>
        </w:rPr>
        <w:t>在光明国际中医药港建设海关监管区域，协助企业试点医药产品清单备案、资质监管以及试点产品通关申报监管，建设跨境电商全业态监管功能区。支持“一港多形态，一仓多功能”，内贸和外贸同仓同储，大贸和普贸同仓同储，保税与非贸同仓同储，普货和电商同仓同储。支持9610、9710、9810、1210海关监管模式，叠加中医药（材）跨境电商零售出口、直接出口和出口海外仓等新兴业态，实现“口岸直通+属地检查”通关新模式，整合申报、检疫、查验、放行、保税监管等环节，提供一站式服务和集约化管理，不断优化跨境贸易海关监管模式。加强进出口政策法规辅导，吸引更多中医药企业落户光明国际中医药港，形成行业集群效应，集中培育中医药全业态的行业服务链条。</w:t>
      </w:r>
    </w:p>
    <w:p>
      <w:pPr>
        <w:pStyle w:val="31"/>
        <w:keepNext w:val="0"/>
        <w:keepLines w:val="0"/>
        <w:pageBreakBefore w:val="0"/>
        <w:widowControl w:val="0"/>
        <w:shd w:val="clear"/>
        <w:kinsoku/>
        <w:wordWrap/>
        <w:overflowPunct/>
        <w:topLinePunct w:val="0"/>
        <w:autoSpaceDE w:val="0"/>
        <w:autoSpaceDN/>
        <w:bidi w:val="0"/>
        <w:adjustRightInd/>
        <w:snapToGrid/>
        <w:spacing w:line="560" w:lineRule="exact"/>
        <w:ind w:firstLine="622" w:firstLineChars="200"/>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b/>
          <w:color w:val="auto"/>
          <w:kern w:val="0"/>
          <w:sz w:val="31"/>
          <w:szCs w:val="31"/>
          <w:highlight w:val="none"/>
          <w:lang w:val="en-US" w:eastAsia="zh-CN" w:bidi="ar"/>
        </w:rPr>
        <w:t>58.</w:t>
      </w:r>
      <w:r>
        <w:rPr>
          <w:rFonts w:ascii="仿宋_GB2312" w:hAnsi="宋体" w:eastAsia="仿宋_GB2312" w:cs="仿宋_GB2312"/>
          <w:b/>
          <w:color w:val="auto"/>
          <w:kern w:val="0"/>
          <w:sz w:val="31"/>
          <w:szCs w:val="31"/>
          <w:highlight w:val="none"/>
          <w:lang w:val="en-US" w:eastAsia="zh-CN" w:bidi="ar"/>
        </w:rPr>
        <w:t>建立大湾区中医药通行标准体系。</w:t>
      </w:r>
      <w:r>
        <w:rPr>
          <w:rFonts w:hint="eastAsia" w:ascii="仿宋_GB2312" w:hAnsi="宋体" w:eastAsia="仿宋_GB2312" w:cs="仿宋_GB2312"/>
          <w:color w:val="auto"/>
          <w:kern w:val="0"/>
          <w:sz w:val="31"/>
          <w:szCs w:val="31"/>
          <w:highlight w:val="none"/>
          <w:lang w:val="en-US" w:eastAsia="zh-CN" w:bidi="ar"/>
        </w:rPr>
        <w:t>推动光明国际中医药港设立大湾区标准化研究中心中医药分中心，探索粤港澳三地中药标准融合，推动实施中成药、制剂注册标准和检验标准互认。推动光明区医疗机构中药院内制剂区域调剂标准化项目纳入广东省标准化试点项目，探索建立政策、管理运行、检查督导、产品、医保、价格、信息化八项标准。逐步建设、完善中医药产业深圳地标建设，并在产业落地和发展过程中转化为湾区标准、国家标准以及国际标准。推动在港澳审批和注册并在深圳生产的中药产品依法在内地申请上市。</w:t>
      </w:r>
    </w:p>
    <w:p>
      <w:pPr>
        <w:spacing w:line="240" w:lineRule="exact"/>
        <w:jc w:val="center"/>
        <w:rPr>
          <w:rFonts w:ascii="仿宋_GB2312" w:hAnsi="仿宋_GB2312" w:eastAsia="仿宋_GB2312" w:cs="仿宋_GB2312"/>
          <w:color w:val="auto"/>
          <w:sz w:val="32"/>
          <w:szCs w:val="32"/>
          <w:highlight w:val="none"/>
        </w:rPr>
      </w:pPr>
    </w:p>
    <w:tbl>
      <w:tblPr>
        <w:tblStyle w:val="20"/>
        <w:tblW w:w="8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226"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before="156" w:beforeLines="50" w:line="440" w:lineRule="exact"/>
              <w:jc w:val="center"/>
              <w:rPr>
                <w:rFonts w:ascii="仿宋_GB2312" w:hAnsi="宋体" w:eastAsia="仿宋_GB2312" w:cs="仿宋"/>
                <w:b/>
                <w:bCs/>
                <w:color w:val="auto"/>
                <w:kern w:val="0"/>
                <w:sz w:val="28"/>
                <w:szCs w:val="28"/>
                <w:highlight w:val="none"/>
              </w:rPr>
            </w:pPr>
            <w:r>
              <w:rPr>
                <w:rFonts w:hint="eastAsia" w:ascii="仿宋_GB2312" w:hAnsi="宋体" w:eastAsia="仿宋_GB2312" w:cs="仿宋"/>
                <w:b/>
                <w:bCs/>
                <w:color w:val="auto"/>
                <w:kern w:val="0"/>
                <w:sz w:val="28"/>
                <w:szCs w:val="28"/>
                <w:highlight w:val="none"/>
                <w:lang w:eastAsia="zh-CN"/>
              </w:rPr>
              <w:t>专栏</w:t>
            </w:r>
            <w:r>
              <w:rPr>
                <w:rFonts w:hint="eastAsia" w:ascii="仿宋_GB2312" w:eastAsia="仿宋_GB2312" w:cs="仿宋"/>
                <w:b/>
                <w:bCs/>
                <w:color w:val="auto"/>
                <w:kern w:val="0"/>
                <w:sz w:val="28"/>
                <w:szCs w:val="28"/>
                <w:highlight w:val="none"/>
                <w:lang w:val="en-US" w:eastAsia="zh-CN"/>
              </w:rPr>
              <w:t>7</w:t>
            </w:r>
            <w:r>
              <w:rPr>
                <w:rFonts w:hint="eastAsia" w:ascii="仿宋_GB2312" w:hAnsi="宋体" w:eastAsia="仿宋_GB2312" w:cs="仿宋"/>
                <w:b/>
                <w:bCs/>
                <w:color w:val="auto"/>
                <w:kern w:val="0"/>
                <w:sz w:val="28"/>
                <w:szCs w:val="28"/>
                <w:highlight w:val="none"/>
                <w:lang w:val="en-US" w:eastAsia="zh-CN"/>
              </w:rPr>
              <w:t xml:space="preserve"> </w:t>
            </w:r>
            <w:r>
              <w:rPr>
                <w:rFonts w:hint="eastAsia" w:ascii="仿宋_GB2312" w:hAnsi="宋体" w:eastAsia="仿宋_GB2312" w:cs="仿宋"/>
                <w:b/>
                <w:bCs/>
                <w:color w:val="auto"/>
                <w:kern w:val="0"/>
                <w:sz w:val="28"/>
                <w:szCs w:val="28"/>
                <w:highlight w:val="none"/>
              </w:rPr>
              <w:t>中医药产业发展重点项目</w:t>
            </w:r>
          </w:p>
          <w:p>
            <w:pPr>
              <w:pStyle w:val="2"/>
              <w:adjustRightInd w:val="0"/>
              <w:snapToGrid w:val="0"/>
              <w:spacing w:before="156" w:beforeLines="50" w:line="440" w:lineRule="exact"/>
              <w:ind w:firstLine="562"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中医药传承创新项目：</w:t>
            </w:r>
            <w:r>
              <w:rPr>
                <w:rFonts w:hint="eastAsia" w:ascii="仿宋_GB2312" w:hAnsi="仿宋_GB2312" w:eastAsia="仿宋_GB2312" w:cs="仿宋_GB2312"/>
                <w:color w:val="auto"/>
                <w:kern w:val="0"/>
                <w:sz w:val="28"/>
                <w:szCs w:val="28"/>
                <w:highlight w:val="none"/>
              </w:rPr>
              <w:t>以光明区中医药传承发展研究院为平台，重点推进CNAS检测中心、深圳市中医药知识产权保护业务、院内制剂研发平台、国际传统医学诊疗中心、中医药跨境医药平台、深圳市中医药文化宣传教育基地、深圳市药膳中心等重点项目。通过开展国医大师论坛，对国医大师工作经验进行全息影像的采集，系统继承相关专家学术思想和临床诊疗经验，总结中医病种临床基本诊疗规范，加强中医药传统知识保护与利用。与临床科室、教学部门建立紧密联系，开展重大疑难疾病的攻关，探索从科研向临床发展、教学的多种机制，促进医疗、教学、科研共同发展。开展中医药新药研究利用，以中医药理论指导，结合现代科技，对中药特殊用药部位、特殊用药来源、特殊炮制工艺等关键技术研究，与企业合作开展中医药的新药研发，形成研究成果，申请专利并进行推广。</w:t>
            </w:r>
          </w:p>
          <w:p>
            <w:pPr>
              <w:pStyle w:val="2"/>
              <w:keepNext w:val="0"/>
              <w:keepLines w:val="0"/>
              <w:pageBreakBefore w:val="0"/>
              <w:widowControl w:val="0"/>
              <w:kinsoku/>
              <w:wordWrap/>
              <w:overflowPunct/>
              <w:topLinePunct w:val="0"/>
              <w:autoSpaceDE/>
              <w:autoSpaceDN/>
              <w:bidi w:val="0"/>
              <w:adjustRightInd w:val="0"/>
              <w:snapToGrid w:val="0"/>
              <w:spacing w:before="156" w:beforeLines="50" w:after="157" w:afterLines="50" w:line="440" w:lineRule="exact"/>
              <w:ind w:left="119" w:firstLine="562" w:firstLineChars="200"/>
              <w:textAlignment w:val="auto"/>
              <w:rPr>
                <w:rStyle w:val="50"/>
                <w:rFonts w:eastAsia="仿宋_GB2312"/>
                <w:color w:val="auto"/>
                <w:highlight w:val="none"/>
              </w:rPr>
            </w:pPr>
            <w:r>
              <w:rPr>
                <w:rFonts w:hint="eastAsia" w:ascii="仿宋_GB2312" w:hAnsi="仿宋_GB2312" w:eastAsia="仿宋_GB2312" w:cs="仿宋_GB2312"/>
                <w:b/>
                <w:bCs/>
                <w:color w:val="auto"/>
                <w:kern w:val="0"/>
                <w:sz w:val="28"/>
                <w:szCs w:val="28"/>
                <w:highlight w:val="none"/>
              </w:rPr>
              <w:t>光明国际中医药港项目：</w:t>
            </w:r>
            <w:r>
              <w:rPr>
                <w:rFonts w:hint="eastAsia" w:ascii="仿宋_GB2312" w:hAnsi="仿宋_GB2312" w:eastAsia="仿宋_GB2312" w:cs="仿宋_GB2312"/>
                <w:color w:val="auto"/>
                <w:kern w:val="0"/>
                <w:sz w:val="28"/>
                <w:szCs w:val="28"/>
                <w:highlight w:val="none"/>
              </w:rPr>
              <w:t>分一期和二期项目推进。一期项目建设内容包括深圳市中药代煎代配中心、粤港医疗机构中药院内制剂中心、海关监管区域、中药跨境电商平台和深圳市公共卫生应急物资储备基地（中药材战略储备库）及中、外传统药企中试厂房等。二期项目将引进</w:t>
            </w:r>
            <w:r>
              <w:rPr>
                <w:rFonts w:hint="default" w:ascii="仿宋_GB2312" w:hAnsi="仿宋_GB2312" w:eastAsia="仿宋_GB2312" w:cs="仿宋_GB2312"/>
                <w:color w:val="auto"/>
                <w:kern w:val="0"/>
                <w:sz w:val="28"/>
                <w:szCs w:val="28"/>
                <w:highlight w:val="none"/>
                <w:lang w:val="en"/>
              </w:rPr>
              <w:t>内地及港澳台</w:t>
            </w:r>
            <w:r>
              <w:rPr>
                <w:rFonts w:hint="eastAsia" w:ascii="仿宋_GB2312" w:hAnsi="仿宋_GB2312" w:eastAsia="仿宋_GB2312" w:cs="仿宋_GB2312"/>
                <w:color w:val="auto"/>
                <w:kern w:val="0"/>
                <w:sz w:val="28"/>
                <w:szCs w:val="28"/>
                <w:highlight w:val="none"/>
              </w:rPr>
              <w:t>地区知名中医药生产企业，与境内外开展经典方剂的产品物质基础研究和检测、生产环境测试、工作程序验证、生产工艺验证和工装验证等标准化验证的机构合作，构建光明国际中医药港品牌产业集群。承办中医药大会、传统药产业科技与标准大会，参与中医药产业、科技和标准的制订。</w:t>
            </w:r>
          </w:p>
        </w:tc>
      </w:tr>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tbl>
    <w:p>
      <w:pPr>
        <w:keepNext w:val="0"/>
        <w:keepLines w:val="0"/>
        <w:pageBreakBefore w:val="0"/>
        <w:widowControl/>
        <w:numPr>
          <w:ilvl w:val="0"/>
          <w:numId w:val="0"/>
        </w:numPr>
        <w:shd w:val="clear"/>
        <w:kinsoku/>
        <w:wordWrap/>
        <w:overflowPunct/>
        <w:topLinePunct w:val="0"/>
        <w:autoSpaceDN/>
        <w:bidi w:val="0"/>
        <w:spacing w:line="560" w:lineRule="exact"/>
        <w:ind w:leftChars="0"/>
        <w:jc w:val="center"/>
        <w:textAlignment w:val="auto"/>
        <w:outlineLvl w:val="0"/>
        <w:rPr>
          <w:rFonts w:hint="eastAsia" w:eastAsia="黑体" w:cs="Times New Roman"/>
          <w:bCs/>
          <w:color w:val="auto"/>
          <w:kern w:val="44"/>
          <w:sz w:val="36"/>
          <w:szCs w:val="36"/>
          <w:lang w:eastAsia="zh-CN"/>
        </w:rPr>
      </w:pPr>
      <w:bookmarkStart w:id="3419" w:name="_Toc3137"/>
      <w:bookmarkStart w:id="3420" w:name="_Toc10871"/>
      <w:bookmarkStart w:id="3421" w:name="_Toc26581"/>
      <w:bookmarkStart w:id="3422" w:name="_Toc9738"/>
      <w:bookmarkStart w:id="3423" w:name="_Toc15284"/>
      <w:bookmarkStart w:id="3424" w:name="_Toc12664"/>
      <w:bookmarkStart w:id="3425" w:name="_Toc26167"/>
      <w:bookmarkStart w:id="3426" w:name="_Toc27071"/>
      <w:bookmarkStart w:id="3427" w:name="_Toc17877"/>
      <w:bookmarkStart w:id="3428" w:name="_Toc8566"/>
      <w:bookmarkStart w:id="3429" w:name="_Toc21121"/>
      <w:bookmarkStart w:id="3430" w:name="_Toc5422"/>
      <w:bookmarkStart w:id="3431" w:name="_Toc14023"/>
      <w:bookmarkStart w:id="3432" w:name="_Toc5008"/>
      <w:bookmarkStart w:id="3433" w:name="_Toc10508"/>
      <w:bookmarkStart w:id="3434" w:name="_Toc17273"/>
      <w:bookmarkStart w:id="3435" w:name="_Toc27692"/>
      <w:bookmarkStart w:id="3436" w:name="_Toc1013"/>
      <w:bookmarkStart w:id="3437" w:name="_Toc29842"/>
      <w:bookmarkStart w:id="3438" w:name="_Toc20071"/>
      <w:bookmarkStart w:id="3439" w:name="_Toc21057"/>
      <w:bookmarkStart w:id="3440" w:name="_Toc6673"/>
      <w:bookmarkStart w:id="3441" w:name="_Toc9401"/>
      <w:bookmarkStart w:id="3442" w:name="_Toc3939"/>
      <w:bookmarkStart w:id="3443" w:name="_Toc1741"/>
      <w:bookmarkStart w:id="3444" w:name="_Toc25414"/>
      <w:bookmarkStart w:id="3445" w:name="_Toc30303"/>
      <w:bookmarkStart w:id="3446" w:name="_Toc27581"/>
      <w:bookmarkStart w:id="3447" w:name="_Toc28640"/>
      <w:bookmarkStart w:id="3448" w:name="_Toc9340"/>
      <w:bookmarkStart w:id="3449" w:name="_Toc7603"/>
      <w:bookmarkStart w:id="3450" w:name="_Toc51"/>
      <w:bookmarkStart w:id="3451" w:name="_Toc13801"/>
      <w:bookmarkStart w:id="3452" w:name="_Toc15281"/>
      <w:bookmarkStart w:id="3453" w:name="_Toc31662"/>
      <w:bookmarkStart w:id="3454" w:name="_Toc6120"/>
      <w:bookmarkStart w:id="3455" w:name="_Toc7790"/>
      <w:bookmarkStart w:id="3456" w:name="_Toc6550"/>
      <w:bookmarkStart w:id="3457" w:name="_Toc19865"/>
      <w:bookmarkStart w:id="3458" w:name="_Toc25216"/>
      <w:bookmarkStart w:id="3459" w:name="_Toc12486"/>
      <w:bookmarkStart w:id="3460" w:name="_Toc13997"/>
      <w:bookmarkStart w:id="3461" w:name="_Toc8931"/>
      <w:bookmarkStart w:id="3462" w:name="_Toc7729"/>
      <w:bookmarkStart w:id="3463" w:name="_Toc22854"/>
      <w:bookmarkStart w:id="3464" w:name="_Toc24328"/>
      <w:bookmarkStart w:id="3465" w:name="_Toc19051"/>
      <w:bookmarkStart w:id="3466" w:name="_Toc10927"/>
      <w:bookmarkStart w:id="3467" w:name="_Toc19038"/>
      <w:bookmarkStart w:id="3468" w:name="_Toc12603"/>
      <w:bookmarkStart w:id="3469" w:name="_Toc15819"/>
      <w:bookmarkStart w:id="3470" w:name="_Toc9179"/>
      <w:bookmarkStart w:id="3471" w:name="_Toc21332"/>
      <w:bookmarkStart w:id="3472" w:name="_Toc14693"/>
      <w:bookmarkStart w:id="3473" w:name="_Toc13842"/>
      <w:bookmarkStart w:id="3474" w:name="_Toc6404"/>
      <w:bookmarkStart w:id="3475" w:name="_Toc15194"/>
      <w:bookmarkStart w:id="3476" w:name="_Toc15520"/>
      <w:bookmarkStart w:id="3477" w:name="_Toc12435"/>
      <w:bookmarkStart w:id="3478" w:name="_Toc29276"/>
      <w:bookmarkStart w:id="3479" w:name="_Toc26024"/>
      <w:bookmarkStart w:id="3480" w:name="_Toc27180"/>
      <w:bookmarkStart w:id="3481" w:name="_Toc9215"/>
      <w:bookmarkStart w:id="3482" w:name="_Toc60"/>
      <w:bookmarkStart w:id="3483" w:name="_Toc27707"/>
      <w:bookmarkStart w:id="3484" w:name="_Toc23594"/>
    </w:p>
    <w:p>
      <w:pPr>
        <w:keepNext w:val="0"/>
        <w:keepLines w:val="0"/>
        <w:pageBreakBefore w:val="0"/>
        <w:widowControl/>
        <w:numPr>
          <w:ilvl w:val="0"/>
          <w:numId w:val="0"/>
        </w:numPr>
        <w:shd w:val="clear"/>
        <w:kinsoku/>
        <w:wordWrap/>
        <w:overflowPunct/>
        <w:topLinePunct w:val="0"/>
        <w:autoSpaceDN/>
        <w:bidi w:val="0"/>
        <w:spacing w:line="560" w:lineRule="exact"/>
        <w:ind w:leftChars="0"/>
        <w:jc w:val="center"/>
        <w:textAlignment w:val="auto"/>
        <w:outlineLvl w:val="0"/>
        <w:rPr>
          <w:rFonts w:hint="eastAsia" w:eastAsia="黑体" w:cs="Times New Roman"/>
          <w:bCs/>
          <w:color w:val="auto"/>
          <w:kern w:val="44"/>
          <w:sz w:val="36"/>
          <w:szCs w:val="36"/>
          <w:lang w:eastAsia="zh-CN"/>
        </w:rPr>
      </w:pPr>
    </w:p>
    <w:p>
      <w:pPr>
        <w:keepNext w:val="0"/>
        <w:keepLines w:val="0"/>
        <w:pageBreakBefore w:val="0"/>
        <w:widowControl/>
        <w:numPr>
          <w:ilvl w:val="0"/>
          <w:numId w:val="0"/>
        </w:numPr>
        <w:shd w:val="clear"/>
        <w:kinsoku/>
        <w:wordWrap/>
        <w:overflowPunct/>
        <w:topLinePunct w:val="0"/>
        <w:autoSpaceDN/>
        <w:bidi w:val="0"/>
        <w:spacing w:line="560" w:lineRule="exact"/>
        <w:ind w:leftChars="0"/>
        <w:jc w:val="center"/>
        <w:textAlignment w:val="auto"/>
        <w:outlineLvl w:val="0"/>
        <w:rPr>
          <w:rFonts w:hint="eastAsia" w:eastAsia="黑体" w:cs="Times New Roman"/>
          <w:bCs/>
          <w:color w:val="auto"/>
          <w:kern w:val="44"/>
          <w:sz w:val="36"/>
          <w:szCs w:val="36"/>
          <w:lang w:eastAsia="zh-CN"/>
        </w:rPr>
      </w:pPr>
    </w:p>
    <w:p>
      <w:pPr>
        <w:keepNext w:val="0"/>
        <w:keepLines w:val="0"/>
        <w:pageBreakBefore w:val="0"/>
        <w:widowControl/>
        <w:numPr>
          <w:ilvl w:val="0"/>
          <w:numId w:val="0"/>
        </w:numPr>
        <w:shd w:val="clear"/>
        <w:kinsoku/>
        <w:wordWrap/>
        <w:overflowPunct/>
        <w:topLinePunct w:val="0"/>
        <w:autoSpaceDN/>
        <w:bidi w:val="0"/>
        <w:spacing w:line="560" w:lineRule="exact"/>
        <w:ind w:leftChars="0"/>
        <w:jc w:val="center"/>
        <w:textAlignment w:val="auto"/>
        <w:outlineLvl w:val="0"/>
        <w:rPr>
          <w:rFonts w:hint="eastAsia" w:eastAsia="黑体" w:cs="Times New Roman"/>
          <w:bCs/>
          <w:color w:val="auto"/>
          <w:kern w:val="44"/>
          <w:sz w:val="36"/>
          <w:szCs w:val="36"/>
          <w:lang w:eastAsia="zh-CN"/>
        </w:rPr>
      </w:pPr>
    </w:p>
    <w:p>
      <w:pPr>
        <w:keepNext w:val="0"/>
        <w:keepLines w:val="0"/>
        <w:pageBreakBefore w:val="0"/>
        <w:widowControl/>
        <w:numPr>
          <w:ilvl w:val="0"/>
          <w:numId w:val="0"/>
        </w:numPr>
        <w:shd w:val="clear"/>
        <w:kinsoku/>
        <w:wordWrap/>
        <w:overflowPunct/>
        <w:topLinePunct w:val="0"/>
        <w:autoSpaceDN/>
        <w:bidi w:val="0"/>
        <w:spacing w:line="560" w:lineRule="exact"/>
        <w:ind w:leftChars="0"/>
        <w:jc w:val="center"/>
        <w:textAlignment w:val="auto"/>
        <w:outlineLvl w:val="0"/>
        <w:rPr>
          <w:rFonts w:hint="eastAsia" w:eastAsia="黑体" w:cs="Times New Roman"/>
          <w:bCs/>
          <w:color w:val="auto"/>
          <w:kern w:val="44"/>
          <w:sz w:val="36"/>
          <w:szCs w:val="36"/>
          <w:lang w:eastAsia="zh-CN"/>
        </w:rPr>
      </w:pPr>
    </w:p>
    <w:p>
      <w:pPr>
        <w:keepNext w:val="0"/>
        <w:keepLines w:val="0"/>
        <w:pageBreakBefore w:val="0"/>
        <w:widowControl/>
        <w:numPr>
          <w:ilvl w:val="0"/>
          <w:numId w:val="0"/>
        </w:numPr>
        <w:shd w:val="clear"/>
        <w:kinsoku/>
        <w:wordWrap/>
        <w:overflowPunct/>
        <w:topLinePunct w:val="0"/>
        <w:autoSpaceDN/>
        <w:bidi w:val="0"/>
        <w:spacing w:line="560" w:lineRule="exact"/>
        <w:ind w:leftChars="0"/>
        <w:jc w:val="center"/>
        <w:textAlignment w:val="auto"/>
        <w:outlineLvl w:val="0"/>
        <w:rPr>
          <w:rFonts w:hint="eastAsia" w:eastAsia="黑体" w:cs="Times New Roman"/>
          <w:bCs/>
          <w:color w:val="auto"/>
          <w:kern w:val="44"/>
          <w:sz w:val="36"/>
          <w:szCs w:val="36"/>
          <w:lang w:eastAsia="zh-CN"/>
        </w:rPr>
      </w:pPr>
    </w:p>
    <w:p>
      <w:pPr>
        <w:keepNext w:val="0"/>
        <w:keepLines w:val="0"/>
        <w:pageBreakBefore w:val="0"/>
        <w:widowControl/>
        <w:numPr>
          <w:ilvl w:val="0"/>
          <w:numId w:val="0"/>
        </w:numPr>
        <w:shd w:val="clear"/>
        <w:kinsoku/>
        <w:wordWrap/>
        <w:overflowPunct/>
        <w:topLinePunct w:val="0"/>
        <w:autoSpaceDN/>
        <w:bidi w:val="0"/>
        <w:spacing w:line="560" w:lineRule="exact"/>
        <w:ind w:leftChars="0"/>
        <w:jc w:val="center"/>
        <w:textAlignment w:val="auto"/>
        <w:outlineLvl w:val="0"/>
        <w:rPr>
          <w:rFonts w:hint="eastAsia" w:eastAsia="黑体" w:cs="Times New Roman"/>
          <w:bCs/>
          <w:color w:val="auto"/>
          <w:kern w:val="44"/>
          <w:sz w:val="36"/>
          <w:szCs w:val="36"/>
          <w:lang w:eastAsia="zh-CN"/>
        </w:rPr>
      </w:pPr>
    </w:p>
    <w:p>
      <w:pPr>
        <w:keepNext w:val="0"/>
        <w:keepLines w:val="0"/>
        <w:pageBreakBefore w:val="0"/>
        <w:widowControl/>
        <w:numPr>
          <w:ilvl w:val="0"/>
          <w:numId w:val="0"/>
        </w:numPr>
        <w:shd w:val="clear"/>
        <w:kinsoku/>
        <w:wordWrap/>
        <w:overflowPunct/>
        <w:topLinePunct w:val="0"/>
        <w:autoSpaceDN/>
        <w:bidi w:val="0"/>
        <w:spacing w:line="560" w:lineRule="exact"/>
        <w:ind w:leftChars="0"/>
        <w:jc w:val="center"/>
        <w:textAlignment w:val="auto"/>
        <w:outlineLvl w:val="0"/>
        <w:rPr>
          <w:rFonts w:hint="eastAsia" w:eastAsia="黑体" w:cs="Times New Roman"/>
          <w:bCs/>
          <w:color w:val="auto"/>
          <w:kern w:val="44"/>
          <w:sz w:val="36"/>
          <w:szCs w:val="36"/>
          <w:lang w:eastAsia="zh-CN"/>
        </w:rPr>
      </w:pPr>
    </w:p>
    <w:p>
      <w:pPr>
        <w:keepNext w:val="0"/>
        <w:keepLines w:val="0"/>
        <w:pageBreakBefore w:val="0"/>
        <w:widowControl/>
        <w:numPr>
          <w:ilvl w:val="0"/>
          <w:numId w:val="0"/>
        </w:numPr>
        <w:shd w:val="clear"/>
        <w:kinsoku/>
        <w:wordWrap/>
        <w:overflowPunct/>
        <w:topLinePunct w:val="0"/>
        <w:autoSpaceDN/>
        <w:bidi w:val="0"/>
        <w:spacing w:line="560" w:lineRule="exact"/>
        <w:ind w:leftChars="0"/>
        <w:jc w:val="center"/>
        <w:textAlignment w:val="auto"/>
        <w:outlineLvl w:val="0"/>
        <w:rPr>
          <w:rFonts w:hint="eastAsia" w:eastAsia="黑体" w:cs="Times New Roman"/>
          <w:bCs/>
          <w:color w:val="auto"/>
          <w:kern w:val="44"/>
          <w:sz w:val="36"/>
          <w:szCs w:val="36"/>
          <w:lang w:eastAsia="zh-CN"/>
        </w:rPr>
      </w:pPr>
    </w:p>
    <w:p>
      <w:pPr>
        <w:keepNext w:val="0"/>
        <w:keepLines w:val="0"/>
        <w:pageBreakBefore w:val="0"/>
        <w:widowControl/>
        <w:numPr>
          <w:ilvl w:val="0"/>
          <w:numId w:val="0"/>
        </w:numPr>
        <w:shd w:val="clear"/>
        <w:kinsoku/>
        <w:wordWrap/>
        <w:overflowPunct/>
        <w:topLinePunct w:val="0"/>
        <w:autoSpaceDN/>
        <w:bidi w:val="0"/>
        <w:spacing w:line="560" w:lineRule="exact"/>
        <w:ind w:leftChars="0"/>
        <w:jc w:val="center"/>
        <w:textAlignment w:val="auto"/>
        <w:outlineLvl w:val="0"/>
        <w:rPr>
          <w:rFonts w:hint="eastAsia" w:eastAsia="黑体" w:cs="Times New Roman"/>
          <w:bCs/>
          <w:color w:val="auto"/>
          <w:kern w:val="44"/>
          <w:sz w:val="36"/>
          <w:szCs w:val="36"/>
          <w:lang w:eastAsia="zh-CN"/>
        </w:rPr>
      </w:pPr>
    </w:p>
    <w:p>
      <w:pPr>
        <w:keepNext w:val="0"/>
        <w:keepLines w:val="0"/>
        <w:pageBreakBefore w:val="0"/>
        <w:widowControl/>
        <w:numPr>
          <w:ilvl w:val="0"/>
          <w:numId w:val="0"/>
        </w:numPr>
        <w:shd w:val="clear"/>
        <w:kinsoku/>
        <w:wordWrap/>
        <w:overflowPunct/>
        <w:topLinePunct w:val="0"/>
        <w:autoSpaceDN/>
        <w:bidi w:val="0"/>
        <w:spacing w:line="560" w:lineRule="exact"/>
        <w:ind w:leftChars="0"/>
        <w:jc w:val="center"/>
        <w:textAlignment w:val="auto"/>
        <w:outlineLvl w:val="0"/>
        <w:rPr>
          <w:rFonts w:hint="eastAsia" w:eastAsia="黑体" w:cs="Times New Roman"/>
          <w:bCs/>
          <w:color w:val="auto"/>
          <w:kern w:val="44"/>
          <w:sz w:val="36"/>
          <w:szCs w:val="36"/>
          <w:lang w:eastAsia="zh-CN"/>
        </w:rPr>
      </w:pPr>
    </w:p>
    <w:p>
      <w:pPr>
        <w:keepNext w:val="0"/>
        <w:keepLines w:val="0"/>
        <w:pageBreakBefore w:val="0"/>
        <w:widowControl/>
        <w:numPr>
          <w:ilvl w:val="0"/>
          <w:numId w:val="0"/>
        </w:numPr>
        <w:shd w:val="clear"/>
        <w:kinsoku/>
        <w:wordWrap/>
        <w:overflowPunct/>
        <w:topLinePunct w:val="0"/>
        <w:autoSpaceDN/>
        <w:bidi w:val="0"/>
        <w:spacing w:line="560" w:lineRule="exact"/>
        <w:ind w:leftChars="0"/>
        <w:jc w:val="center"/>
        <w:textAlignment w:val="auto"/>
        <w:outlineLvl w:val="0"/>
        <w:rPr>
          <w:rFonts w:hint="eastAsia" w:eastAsia="黑体" w:cs="Times New Roman"/>
          <w:bCs/>
          <w:color w:val="auto"/>
          <w:kern w:val="44"/>
          <w:sz w:val="36"/>
          <w:szCs w:val="36"/>
          <w:lang w:eastAsia="zh-CN"/>
        </w:rPr>
      </w:pPr>
    </w:p>
    <w:p>
      <w:pPr>
        <w:keepNext w:val="0"/>
        <w:keepLines w:val="0"/>
        <w:pageBreakBefore w:val="0"/>
        <w:widowControl/>
        <w:numPr>
          <w:ilvl w:val="0"/>
          <w:numId w:val="0"/>
        </w:numPr>
        <w:shd w:val="clear"/>
        <w:kinsoku/>
        <w:wordWrap/>
        <w:overflowPunct/>
        <w:topLinePunct w:val="0"/>
        <w:autoSpaceDN/>
        <w:bidi w:val="0"/>
        <w:spacing w:line="560" w:lineRule="exact"/>
        <w:ind w:leftChars="0"/>
        <w:jc w:val="center"/>
        <w:textAlignment w:val="auto"/>
        <w:outlineLvl w:val="0"/>
        <w:rPr>
          <w:rFonts w:hint="eastAsia" w:eastAsia="黑体" w:cs="Times New Roman"/>
          <w:bCs/>
          <w:color w:val="auto"/>
          <w:kern w:val="44"/>
          <w:sz w:val="36"/>
          <w:szCs w:val="36"/>
          <w:lang w:eastAsia="zh-CN"/>
        </w:rPr>
      </w:pPr>
    </w:p>
    <w:p>
      <w:pPr>
        <w:keepNext w:val="0"/>
        <w:keepLines w:val="0"/>
        <w:pageBreakBefore w:val="0"/>
        <w:widowControl/>
        <w:numPr>
          <w:ilvl w:val="0"/>
          <w:numId w:val="0"/>
        </w:numPr>
        <w:shd w:val="clear"/>
        <w:kinsoku/>
        <w:wordWrap/>
        <w:overflowPunct/>
        <w:topLinePunct w:val="0"/>
        <w:autoSpaceDN/>
        <w:bidi w:val="0"/>
        <w:spacing w:line="560" w:lineRule="exact"/>
        <w:ind w:leftChars="0"/>
        <w:jc w:val="center"/>
        <w:textAlignment w:val="auto"/>
        <w:outlineLvl w:val="0"/>
        <w:rPr>
          <w:rFonts w:hint="eastAsia" w:eastAsia="黑体" w:cs="Times New Roman"/>
          <w:bCs/>
          <w:color w:val="auto"/>
          <w:kern w:val="44"/>
          <w:sz w:val="36"/>
          <w:szCs w:val="36"/>
          <w:lang w:eastAsia="zh-CN"/>
        </w:rPr>
      </w:pPr>
    </w:p>
    <w:p>
      <w:pPr>
        <w:keepNext w:val="0"/>
        <w:keepLines w:val="0"/>
        <w:pageBreakBefore w:val="0"/>
        <w:widowControl/>
        <w:numPr>
          <w:ilvl w:val="0"/>
          <w:numId w:val="0"/>
        </w:numPr>
        <w:shd w:val="clear"/>
        <w:kinsoku/>
        <w:wordWrap/>
        <w:overflowPunct/>
        <w:topLinePunct w:val="0"/>
        <w:autoSpaceDN/>
        <w:bidi w:val="0"/>
        <w:spacing w:line="560" w:lineRule="exact"/>
        <w:ind w:leftChars="0"/>
        <w:jc w:val="center"/>
        <w:textAlignment w:val="auto"/>
        <w:outlineLvl w:val="0"/>
        <w:rPr>
          <w:rFonts w:hint="eastAsia" w:eastAsia="黑体" w:cs="Times New Roman"/>
          <w:bCs/>
          <w:color w:val="auto"/>
          <w:kern w:val="44"/>
          <w:sz w:val="36"/>
          <w:szCs w:val="36"/>
          <w:lang w:eastAsia="zh-CN"/>
        </w:rPr>
      </w:pPr>
    </w:p>
    <w:p>
      <w:pPr>
        <w:keepNext w:val="0"/>
        <w:keepLines w:val="0"/>
        <w:pageBreakBefore w:val="0"/>
        <w:widowControl/>
        <w:numPr>
          <w:ilvl w:val="0"/>
          <w:numId w:val="0"/>
        </w:numPr>
        <w:shd w:val="clear"/>
        <w:kinsoku/>
        <w:wordWrap/>
        <w:overflowPunct/>
        <w:topLinePunct w:val="0"/>
        <w:autoSpaceDN/>
        <w:bidi w:val="0"/>
        <w:spacing w:line="560" w:lineRule="exact"/>
        <w:ind w:leftChars="0"/>
        <w:jc w:val="center"/>
        <w:textAlignment w:val="auto"/>
        <w:outlineLvl w:val="0"/>
        <w:rPr>
          <w:rFonts w:hint="eastAsia" w:eastAsia="黑体" w:cs="Times New Roman"/>
          <w:bCs/>
          <w:color w:val="auto"/>
          <w:kern w:val="44"/>
          <w:sz w:val="36"/>
          <w:szCs w:val="36"/>
          <w:lang w:eastAsia="zh-CN"/>
        </w:rPr>
      </w:pPr>
    </w:p>
    <w:p>
      <w:pPr>
        <w:keepNext w:val="0"/>
        <w:keepLines w:val="0"/>
        <w:pageBreakBefore w:val="0"/>
        <w:widowControl/>
        <w:numPr>
          <w:ilvl w:val="0"/>
          <w:numId w:val="0"/>
        </w:numPr>
        <w:shd w:val="clear"/>
        <w:kinsoku/>
        <w:wordWrap/>
        <w:overflowPunct/>
        <w:topLinePunct w:val="0"/>
        <w:autoSpaceDN/>
        <w:bidi w:val="0"/>
        <w:spacing w:line="560" w:lineRule="exact"/>
        <w:ind w:leftChars="0"/>
        <w:jc w:val="center"/>
        <w:textAlignment w:val="auto"/>
        <w:outlineLvl w:val="0"/>
        <w:rPr>
          <w:rFonts w:hint="eastAsia" w:eastAsia="黑体" w:cs="Times New Roman"/>
          <w:bCs/>
          <w:color w:val="auto"/>
          <w:kern w:val="44"/>
          <w:sz w:val="36"/>
          <w:szCs w:val="36"/>
          <w:lang w:eastAsia="zh-CN"/>
        </w:rPr>
      </w:pPr>
    </w:p>
    <w:p>
      <w:pPr>
        <w:keepNext w:val="0"/>
        <w:keepLines w:val="0"/>
        <w:pageBreakBefore w:val="0"/>
        <w:widowControl/>
        <w:numPr>
          <w:ilvl w:val="0"/>
          <w:numId w:val="0"/>
        </w:numPr>
        <w:shd w:val="clear"/>
        <w:kinsoku/>
        <w:wordWrap/>
        <w:overflowPunct/>
        <w:topLinePunct w:val="0"/>
        <w:autoSpaceDN/>
        <w:bidi w:val="0"/>
        <w:spacing w:line="560" w:lineRule="exact"/>
        <w:ind w:leftChars="0"/>
        <w:jc w:val="center"/>
        <w:textAlignment w:val="auto"/>
        <w:outlineLvl w:val="0"/>
        <w:rPr>
          <w:rFonts w:hint="eastAsia" w:eastAsia="黑体" w:cs="Times New Roman"/>
          <w:bCs/>
          <w:color w:val="auto"/>
          <w:kern w:val="44"/>
          <w:sz w:val="36"/>
          <w:szCs w:val="36"/>
          <w:lang w:eastAsia="zh-CN"/>
        </w:rPr>
      </w:pPr>
    </w:p>
    <w:p>
      <w:pPr>
        <w:keepNext w:val="0"/>
        <w:keepLines w:val="0"/>
        <w:pageBreakBefore w:val="0"/>
        <w:widowControl/>
        <w:numPr>
          <w:ilvl w:val="0"/>
          <w:numId w:val="0"/>
        </w:numPr>
        <w:shd w:val="clear"/>
        <w:kinsoku/>
        <w:wordWrap/>
        <w:overflowPunct/>
        <w:topLinePunct w:val="0"/>
        <w:autoSpaceDN/>
        <w:bidi w:val="0"/>
        <w:spacing w:line="560" w:lineRule="exact"/>
        <w:ind w:leftChars="0"/>
        <w:jc w:val="both"/>
        <w:textAlignment w:val="auto"/>
        <w:outlineLvl w:val="0"/>
        <w:rPr>
          <w:rFonts w:hint="eastAsia" w:eastAsia="黑体" w:cs="Times New Roman"/>
          <w:bCs/>
          <w:color w:val="auto"/>
          <w:kern w:val="44"/>
          <w:sz w:val="36"/>
          <w:szCs w:val="36"/>
          <w:lang w:eastAsia="zh-CN"/>
        </w:rPr>
      </w:pPr>
    </w:p>
    <w:p>
      <w:pPr>
        <w:keepNext w:val="0"/>
        <w:keepLines w:val="0"/>
        <w:pageBreakBefore w:val="0"/>
        <w:widowControl/>
        <w:numPr>
          <w:ilvl w:val="0"/>
          <w:numId w:val="0"/>
        </w:numPr>
        <w:shd w:val="clear"/>
        <w:kinsoku/>
        <w:wordWrap/>
        <w:overflowPunct/>
        <w:topLinePunct w:val="0"/>
        <w:autoSpaceDN/>
        <w:bidi w:val="0"/>
        <w:spacing w:line="560" w:lineRule="exact"/>
        <w:ind w:leftChars="0"/>
        <w:jc w:val="center"/>
        <w:textAlignment w:val="auto"/>
        <w:outlineLvl w:val="0"/>
        <w:rPr>
          <w:rFonts w:hint="eastAsia" w:eastAsia="黑体" w:cs="Times New Roman"/>
          <w:bCs/>
          <w:color w:val="auto"/>
          <w:kern w:val="44"/>
          <w:sz w:val="36"/>
          <w:szCs w:val="36"/>
          <w:lang w:eastAsia="zh-CN"/>
        </w:rPr>
      </w:pPr>
      <w:bookmarkStart w:id="3485" w:name="_Toc472447777_WPSOffice_Level1"/>
    </w:p>
    <w:p>
      <w:pPr>
        <w:keepNext w:val="0"/>
        <w:keepLines w:val="0"/>
        <w:pageBreakBefore w:val="0"/>
        <w:widowControl/>
        <w:numPr>
          <w:ilvl w:val="0"/>
          <w:numId w:val="0"/>
        </w:numPr>
        <w:shd w:val="clear"/>
        <w:kinsoku/>
        <w:wordWrap/>
        <w:overflowPunct/>
        <w:topLinePunct w:val="0"/>
        <w:autoSpaceDN/>
        <w:bidi w:val="0"/>
        <w:spacing w:line="560" w:lineRule="exact"/>
        <w:ind w:leftChars="0"/>
        <w:jc w:val="center"/>
        <w:textAlignment w:val="auto"/>
        <w:outlineLvl w:val="0"/>
        <w:rPr>
          <w:rFonts w:hint="eastAsia" w:eastAsia="黑体" w:cs="Times New Roman"/>
          <w:bCs/>
          <w:color w:val="auto"/>
          <w:kern w:val="44"/>
          <w:sz w:val="36"/>
          <w:szCs w:val="36"/>
          <w:lang w:eastAsia="zh-CN"/>
        </w:rPr>
      </w:pPr>
    </w:p>
    <w:p>
      <w:pPr>
        <w:keepNext w:val="0"/>
        <w:keepLines w:val="0"/>
        <w:pageBreakBefore w:val="0"/>
        <w:widowControl/>
        <w:numPr>
          <w:ilvl w:val="0"/>
          <w:numId w:val="0"/>
        </w:numPr>
        <w:shd w:val="clear"/>
        <w:kinsoku/>
        <w:wordWrap/>
        <w:overflowPunct/>
        <w:topLinePunct w:val="0"/>
        <w:autoSpaceDN/>
        <w:bidi w:val="0"/>
        <w:spacing w:line="560" w:lineRule="exact"/>
        <w:ind w:leftChars="0"/>
        <w:jc w:val="both"/>
        <w:textAlignment w:val="auto"/>
        <w:outlineLvl w:val="0"/>
        <w:rPr>
          <w:rFonts w:hint="eastAsia" w:eastAsia="黑体" w:cs="Times New Roman"/>
          <w:bCs/>
          <w:color w:val="auto"/>
          <w:kern w:val="44"/>
          <w:sz w:val="36"/>
          <w:szCs w:val="36"/>
          <w:lang w:eastAsia="zh-CN"/>
        </w:rPr>
      </w:pPr>
    </w:p>
    <w:p>
      <w:pPr>
        <w:keepNext w:val="0"/>
        <w:keepLines w:val="0"/>
        <w:pageBreakBefore w:val="0"/>
        <w:widowControl/>
        <w:numPr>
          <w:ilvl w:val="0"/>
          <w:numId w:val="0"/>
        </w:numPr>
        <w:shd w:val="clear"/>
        <w:kinsoku/>
        <w:wordWrap/>
        <w:overflowPunct/>
        <w:topLinePunct w:val="0"/>
        <w:autoSpaceDN/>
        <w:bidi w:val="0"/>
        <w:spacing w:line="560" w:lineRule="exact"/>
        <w:ind w:leftChars="0"/>
        <w:jc w:val="center"/>
        <w:textAlignment w:val="auto"/>
        <w:outlineLvl w:val="0"/>
        <w:rPr>
          <w:rFonts w:hint="eastAsia" w:ascii="Times New Roman" w:hAnsi="Times New Roman" w:eastAsia="黑体" w:cs="Times New Roman"/>
          <w:bCs/>
          <w:color w:val="auto"/>
          <w:kern w:val="44"/>
          <w:sz w:val="36"/>
          <w:szCs w:val="36"/>
        </w:rPr>
      </w:pPr>
      <w:r>
        <w:rPr>
          <w:rFonts w:hint="eastAsia" w:eastAsia="黑体" w:cs="Times New Roman"/>
          <w:bCs/>
          <w:color w:val="auto"/>
          <w:kern w:val="44"/>
          <w:sz w:val="36"/>
          <w:szCs w:val="36"/>
          <w:lang w:eastAsia="zh-CN"/>
        </w:rPr>
        <w:t>第四章</w:t>
      </w:r>
      <w:r>
        <w:rPr>
          <w:rFonts w:hint="eastAsia" w:ascii="Times New Roman" w:hAnsi="Times New Roman" w:eastAsia="黑体" w:cs="Times New Roman"/>
          <w:bCs/>
          <w:color w:val="auto"/>
          <w:kern w:val="44"/>
          <w:sz w:val="36"/>
          <w:szCs w:val="36"/>
        </w:rPr>
        <w:t xml:space="preserve"> </w:t>
      </w:r>
      <w:bookmarkStart w:id="3486" w:name="_Toc6966"/>
      <w:r>
        <w:rPr>
          <w:rFonts w:hint="eastAsia" w:ascii="Times New Roman" w:hAnsi="Times New Roman" w:eastAsia="黑体" w:cs="Times New Roman"/>
          <w:bCs/>
          <w:color w:val="auto"/>
          <w:kern w:val="44"/>
          <w:sz w:val="36"/>
          <w:szCs w:val="36"/>
        </w:rPr>
        <w:t>保障措施</w:t>
      </w:r>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p>
    <w:p>
      <w:pPr>
        <w:pStyle w:val="31"/>
        <w:keepNext w:val="0"/>
        <w:keepLines w:val="0"/>
        <w:pageBreakBefore w:val="0"/>
        <w:numPr>
          <w:ilvl w:val="0"/>
          <w:numId w:val="0"/>
        </w:numPr>
        <w:shd w:val="clear"/>
        <w:kinsoku/>
        <w:wordWrap/>
        <w:overflowPunct/>
        <w:topLinePunct w:val="0"/>
        <w:autoSpaceDN/>
        <w:bidi w:val="0"/>
        <w:spacing w:line="560" w:lineRule="exact"/>
        <w:ind w:leftChars="0"/>
        <w:textAlignment w:val="auto"/>
        <w:rPr>
          <w:rFonts w:hint="eastAsia"/>
          <w:color w:val="auto"/>
          <w:sz w:val="28"/>
          <w:szCs w:val="28"/>
        </w:rPr>
      </w:pPr>
    </w:p>
    <w:p>
      <w:pPr>
        <w:pStyle w:val="6"/>
        <w:keepNext w:val="0"/>
        <w:keepLines w:val="0"/>
        <w:pageBreakBefore w:val="0"/>
        <w:shd w:val="clear"/>
        <w:kinsoku/>
        <w:wordWrap/>
        <w:overflowPunct/>
        <w:topLinePunct w:val="0"/>
        <w:autoSpaceDN/>
        <w:bidi w:val="0"/>
        <w:snapToGrid w:val="0"/>
        <w:spacing w:before="0" w:after="0" w:line="560" w:lineRule="exact"/>
        <w:ind w:firstLine="0" w:firstLineChars="0"/>
        <w:jc w:val="center"/>
        <w:textAlignment w:val="auto"/>
        <w:rPr>
          <w:rFonts w:ascii="Times New Roman" w:hAnsi="Times New Roman" w:eastAsia="楷体_GB2312" w:cstheme="minorBidi"/>
          <w:bCs w:val="0"/>
          <w:color w:val="auto"/>
        </w:rPr>
      </w:pPr>
      <w:bookmarkStart w:id="3487" w:name="_Toc31671"/>
      <w:bookmarkStart w:id="3488" w:name="_Toc11242"/>
      <w:bookmarkStart w:id="3489" w:name="_Toc20573"/>
      <w:bookmarkStart w:id="3490" w:name="_Toc28924"/>
      <w:bookmarkStart w:id="3491" w:name="_Toc20035"/>
      <w:bookmarkStart w:id="3492" w:name="_Toc19891"/>
      <w:bookmarkStart w:id="3493" w:name="_Toc19154"/>
      <w:bookmarkStart w:id="3494" w:name="_Toc27285"/>
      <w:bookmarkStart w:id="3495" w:name="_Toc2366"/>
      <w:bookmarkStart w:id="3496" w:name="_Toc1096"/>
      <w:bookmarkStart w:id="3497" w:name="_Toc19616"/>
      <w:bookmarkStart w:id="3498" w:name="_Toc15037"/>
      <w:bookmarkStart w:id="3499" w:name="_Toc27910"/>
      <w:bookmarkStart w:id="3500" w:name="_Toc10801"/>
      <w:bookmarkStart w:id="3501" w:name="_Toc3148"/>
      <w:bookmarkStart w:id="3502" w:name="_Toc13097"/>
      <w:bookmarkStart w:id="3503" w:name="_Toc12650"/>
      <w:bookmarkStart w:id="3504" w:name="_Toc6818"/>
      <w:bookmarkStart w:id="3505" w:name="_Toc30831"/>
      <w:bookmarkStart w:id="3506" w:name="_Toc28082"/>
      <w:bookmarkStart w:id="3507" w:name="_Toc26236"/>
      <w:bookmarkStart w:id="3508" w:name="_Toc1962"/>
      <w:bookmarkStart w:id="3509" w:name="_Toc108953475_WPSOffice_Level2"/>
      <w:bookmarkStart w:id="3510" w:name="_Toc25128"/>
      <w:bookmarkStart w:id="3511" w:name="_Toc12295"/>
      <w:bookmarkStart w:id="3512" w:name="_Toc21471"/>
      <w:bookmarkStart w:id="3513" w:name="_Toc4226"/>
      <w:bookmarkStart w:id="3514" w:name="_Toc4415"/>
      <w:bookmarkStart w:id="3515" w:name="_Toc14481"/>
      <w:bookmarkStart w:id="3516" w:name="_Toc15135"/>
      <w:bookmarkStart w:id="3517" w:name="_Toc6877"/>
      <w:bookmarkStart w:id="3518" w:name="_Toc704"/>
      <w:bookmarkStart w:id="3519" w:name="_Toc30652"/>
      <w:bookmarkStart w:id="3520" w:name="_Toc20940"/>
      <w:bookmarkStart w:id="3521" w:name="_Toc19110"/>
      <w:bookmarkStart w:id="3522" w:name="_Toc29804"/>
      <w:bookmarkStart w:id="3523" w:name="_Toc29199"/>
      <w:bookmarkStart w:id="3524" w:name="_Toc31900"/>
      <w:bookmarkStart w:id="3525" w:name="_Toc5543"/>
      <w:bookmarkStart w:id="3526" w:name="_Toc474"/>
      <w:bookmarkStart w:id="3527" w:name="_Toc20848"/>
      <w:bookmarkStart w:id="3528" w:name="_Toc26470"/>
      <w:bookmarkStart w:id="3529" w:name="_Toc14134"/>
      <w:bookmarkStart w:id="3530" w:name="_Toc30394"/>
      <w:bookmarkStart w:id="3531" w:name="_Toc32615"/>
      <w:bookmarkStart w:id="3532" w:name="_Toc32387"/>
      <w:bookmarkStart w:id="3533" w:name="_Toc11613"/>
      <w:bookmarkStart w:id="3534" w:name="_Toc25584"/>
      <w:bookmarkStart w:id="3535" w:name="_Toc25042"/>
      <w:bookmarkStart w:id="3536" w:name="_Toc16466"/>
      <w:bookmarkStart w:id="3537" w:name="_Toc13397"/>
      <w:bookmarkStart w:id="3538" w:name="_Toc26624"/>
      <w:bookmarkStart w:id="3539" w:name="_Toc31771"/>
      <w:bookmarkStart w:id="3540" w:name="_Toc2301"/>
      <w:bookmarkStart w:id="3541" w:name="_Toc15468"/>
      <w:bookmarkStart w:id="3542" w:name="_Toc19315"/>
      <w:bookmarkStart w:id="3543" w:name="_Toc27258"/>
      <w:bookmarkStart w:id="3544" w:name="_Toc24504"/>
      <w:bookmarkStart w:id="3545" w:name="_Toc1323"/>
      <w:bookmarkStart w:id="3546" w:name="_Toc26499"/>
      <w:bookmarkStart w:id="3547" w:name="_Toc12523"/>
      <w:bookmarkStart w:id="3548" w:name="_Toc6188"/>
      <w:bookmarkStart w:id="3549" w:name="_Toc27564"/>
      <w:bookmarkStart w:id="3550" w:name="_Toc21079"/>
      <w:bookmarkStart w:id="3551" w:name="_Toc7299"/>
      <w:bookmarkStart w:id="3552" w:name="_Toc30696"/>
      <w:bookmarkStart w:id="3553" w:name="_Toc13168"/>
      <w:bookmarkStart w:id="3554" w:name="_Toc25040"/>
      <w:r>
        <w:rPr>
          <w:rFonts w:hint="eastAsia" w:ascii="黑体" w:hAnsi="黑体" w:eastAsia="黑体" w:cs="黑体"/>
          <w:b w:val="0"/>
          <w:bCs w:val="0"/>
          <w:color w:val="auto"/>
          <w:kern w:val="2"/>
          <w:sz w:val="32"/>
          <w:szCs w:val="32"/>
          <w:lang w:val="en-US" w:eastAsia="zh-CN" w:bidi="ar-SA"/>
        </w:rPr>
        <w:t>第一节 加强规划引领</w:t>
      </w:r>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p>
    <w:p>
      <w:pPr>
        <w:pStyle w:val="34"/>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eastAsia="仿宋_GB2312"/>
          <w:color w:val="auto"/>
          <w:sz w:val="32"/>
          <w:szCs w:val="32"/>
        </w:rPr>
      </w:pPr>
      <w:bookmarkStart w:id="3555" w:name="_Toc27963"/>
      <w:r>
        <w:rPr>
          <w:rFonts w:hint="eastAsia" w:ascii="仿宋_GB2312" w:hAnsi="Calibri" w:eastAsia="仿宋_GB2312"/>
          <w:color w:val="auto"/>
          <w:sz w:val="32"/>
          <w:szCs w:val="32"/>
        </w:rPr>
        <w:t>各部门、各机构要</w:t>
      </w:r>
      <w:r>
        <w:rPr>
          <w:rFonts w:hint="eastAsia" w:ascii="仿宋_GB2312" w:eastAsia="仿宋_GB2312"/>
          <w:color w:val="auto"/>
          <w:sz w:val="32"/>
          <w:szCs w:val="32"/>
        </w:rPr>
        <w:t>充分发挥规划引领作用，在制定规划、确定发展方向、重点目标、重大项目时，</w:t>
      </w:r>
      <w:r>
        <w:rPr>
          <w:rFonts w:hint="eastAsia" w:ascii="仿宋_GB2312" w:hAnsi="Calibri" w:eastAsia="仿宋_GB2312"/>
          <w:color w:val="auto"/>
          <w:sz w:val="32"/>
          <w:szCs w:val="32"/>
        </w:rPr>
        <w:t>将本规划确定的主要目标和指标纳入本机构中长期计划，形成定位清晰、功能互补、统一协调的规划体系。对主要指标设置年度目标，明确职责，合理配置公共资源，认真组织落实，有序推进各项重点工作。要</w:t>
      </w:r>
      <w:r>
        <w:rPr>
          <w:rFonts w:hint="eastAsia" w:ascii="仿宋_GB2312" w:eastAsia="仿宋_GB2312"/>
          <w:color w:val="auto"/>
          <w:sz w:val="32"/>
          <w:szCs w:val="32"/>
        </w:rPr>
        <w:t>建立健全规划组织实施责任制，强化指导、督查和考核，确保各项任务落到实处。</w:t>
      </w:r>
      <w:bookmarkEnd w:id="3555"/>
    </w:p>
    <w:p>
      <w:pPr>
        <w:pStyle w:val="34"/>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eastAsia="仿宋_GB2312"/>
          <w:color w:val="auto"/>
          <w:sz w:val="32"/>
          <w:szCs w:val="32"/>
        </w:rPr>
      </w:pPr>
    </w:p>
    <w:p>
      <w:pPr>
        <w:pStyle w:val="6"/>
        <w:keepNext w:val="0"/>
        <w:keepLines w:val="0"/>
        <w:pageBreakBefore w:val="0"/>
        <w:numPr>
          <w:ilvl w:val="0"/>
          <w:numId w:val="0"/>
        </w:numPr>
        <w:shd w:val="clear"/>
        <w:kinsoku/>
        <w:wordWrap/>
        <w:overflowPunct/>
        <w:topLinePunct w:val="0"/>
        <w:autoSpaceDN/>
        <w:bidi w:val="0"/>
        <w:snapToGrid w:val="0"/>
        <w:spacing w:before="0" w:after="0" w:line="560" w:lineRule="exact"/>
        <w:jc w:val="center"/>
        <w:textAlignment w:val="auto"/>
        <w:rPr>
          <w:rFonts w:hint="eastAsia"/>
          <w:color w:val="auto"/>
          <w:lang w:eastAsia="zh-CN"/>
        </w:rPr>
      </w:pPr>
      <w:bookmarkStart w:id="3556" w:name="_Toc29526"/>
      <w:bookmarkStart w:id="3557" w:name="_Toc1972"/>
      <w:bookmarkStart w:id="3558" w:name="_Toc30204"/>
      <w:bookmarkStart w:id="3559" w:name="_Toc22532"/>
      <w:bookmarkStart w:id="3560" w:name="_Toc13464"/>
      <w:bookmarkStart w:id="3561" w:name="_Toc7092"/>
      <w:bookmarkStart w:id="3562" w:name="_Toc8573"/>
      <w:bookmarkStart w:id="3563" w:name="_Toc13651"/>
      <w:bookmarkStart w:id="3564" w:name="_Toc14365"/>
      <w:bookmarkStart w:id="3565" w:name="_Toc7580"/>
      <w:bookmarkStart w:id="3566" w:name="_Toc24900"/>
      <w:bookmarkStart w:id="3567" w:name="_Toc6554"/>
      <w:bookmarkStart w:id="3568" w:name="_Toc11388"/>
      <w:bookmarkStart w:id="3569" w:name="_Toc25462"/>
      <w:bookmarkStart w:id="3570" w:name="_Toc1375"/>
      <w:bookmarkStart w:id="3571" w:name="_Toc27184"/>
      <w:bookmarkStart w:id="3572" w:name="_Toc25408"/>
      <w:bookmarkStart w:id="3573" w:name="_Toc21277"/>
      <w:bookmarkStart w:id="3574" w:name="_Toc14005"/>
      <w:bookmarkStart w:id="3575" w:name="_Toc14894"/>
      <w:bookmarkStart w:id="3576" w:name="_Toc32562"/>
      <w:bookmarkStart w:id="3577" w:name="_Toc16514"/>
      <w:bookmarkStart w:id="3578" w:name="_Toc31903"/>
      <w:bookmarkStart w:id="3579" w:name="_Toc28103"/>
      <w:bookmarkStart w:id="3580" w:name="_Toc5724"/>
      <w:bookmarkStart w:id="3581" w:name="_Toc13375"/>
      <w:bookmarkStart w:id="3582" w:name="_Toc31110"/>
      <w:bookmarkStart w:id="3583" w:name="_Toc10921"/>
      <w:bookmarkStart w:id="3584" w:name="_Toc25556"/>
      <w:bookmarkStart w:id="3585" w:name="_Toc11546"/>
      <w:bookmarkStart w:id="3586" w:name="_Toc5846"/>
      <w:bookmarkStart w:id="3587" w:name="_Toc18038"/>
      <w:bookmarkStart w:id="3588" w:name="_Toc4774"/>
      <w:bookmarkStart w:id="3589" w:name="_Toc29109"/>
      <w:bookmarkStart w:id="3590" w:name="_Toc1155047831_WPSOffice_Level2"/>
      <w:bookmarkStart w:id="3591" w:name="_Toc11407"/>
      <w:bookmarkStart w:id="3592" w:name="_Toc1814"/>
      <w:bookmarkStart w:id="3593" w:name="_Toc12508"/>
      <w:bookmarkStart w:id="3594" w:name="_Toc13493"/>
      <w:bookmarkStart w:id="3595" w:name="_Toc4064"/>
      <w:bookmarkStart w:id="3596" w:name="_Toc24054"/>
      <w:bookmarkStart w:id="3597" w:name="_Toc10549"/>
      <w:bookmarkStart w:id="3598" w:name="_Toc18112"/>
      <w:bookmarkStart w:id="3599" w:name="_Toc31432"/>
      <w:bookmarkStart w:id="3600" w:name="_Toc31433"/>
      <w:bookmarkStart w:id="3601" w:name="_Toc24553"/>
      <w:bookmarkStart w:id="3602" w:name="_Toc31333"/>
      <w:bookmarkStart w:id="3603" w:name="_Toc20762"/>
      <w:bookmarkStart w:id="3604" w:name="_Toc9813"/>
      <w:bookmarkStart w:id="3605" w:name="_Toc3567"/>
      <w:bookmarkStart w:id="3606" w:name="_Toc11087"/>
      <w:bookmarkStart w:id="3607" w:name="_Toc3781"/>
      <w:bookmarkStart w:id="3608" w:name="_Toc3957"/>
      <w:bookmarkStart w:id="3609" w:name="_Toc23714"/>
      <w:bookmarkStart w:id="3610" w:name="_Toc25594"/>
      <w:bookmarkStart w:id="3611" w:name="_Toc29821"/>
      <w:bookmarkStart w:id="3612" w:name="_Toc3732"/>
      <w:bookmarkStart w:id="3613" w:name="_Toc31938"/>
      <w:bookmarkStart w:id="3614" w:name="_Toc19373"/>
      <w:bookmarkStart w:id="3615" w:name="_Toc23429"/>
      <w:bookmarkStart w:id="3616" w:name="_Toc31501"/>
      <w:bookmarkStart w:id="3617" w:name="_Toc8874"/>
      <w:bookmarkStart w:id="3618" w:name="_Toc21983"/>
      <w:bookmarkStart w:id="3619" w:name="_Toc1350"/>
      <w:bookmarkStart w:id="3620" w:name="_Toc8292"/>
      <w:r>
        <w:rPr>
          <w:rFonts w:hint="eastAsia" w:ascii="黑体" w:hAnsi="黑体" w:eastAsia="黑体" w:cs="黑体"/>
          <w:b w:val="0"/>
          <w:bCs w:val="0"/>
          <w:color w:val="auto"/>
          <w:kern w:val="2"/>
          <w:sz w:val="32"/>
          <w:szCs w:val="32"/>
          <w:lang w:val="en-US" w:eastAsia="zh-CN" w:bidi="ar-SA"/>
        </w:rPr>
        <w:t>第二节 完善投入机制</w:t>
      </w:r>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p>
    <w:p>
      <w:pPr>
        <w:pStyle w:val="34"/>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 w:eastAsia="仿宋_GB2312"/>
          <w:color w:val="auto"/>
          <w:sz w:val="32"/>
          <w:szCs w:val="32"/>
        </w:rPr>
      </w:pPr>
      <w:bookmarkStart w:id="3621" w:name="_Toc31489"/>
      <w:r>
        <w:rPr>
          <w:rFonts w:hint="eastAsia" w:ascii="仿宋_GB2312" w:hAnsi="仿宋" w:eastAsia="仿宋_GB2312"/>
          <w:color w:val="auto"/>
          <w:sz w:val="32"/>
          <w:szCs w:val="32"/>
        </w:rPr>
        <w:t>完善政府主导的多元化卫生健康筹资机制,强化政府对卫生健康基本公共服务的投入责任,引导社会资金参与发展卫生健康事业。保障区属公立医院投入机制改革、卫生人才队伍扶持政策等重大举措，以及其他卫生改革和重点项目建设资金投入，投入增量重点用于</w:t>
      </w:r>
      <w:r>
        <w:rPr>
          <w:rFonts w:hint="eastAsia" w:ascii="仿宋_GB2312" w:hAnsi="仿宋" w:eastAsia="仿宋_GB2312"/>
          <w:color w:val="auto"/>
          <w:sz w:val="32"/>
          <w:szCs w:val="32"/>
          <w:lang w:eastAsia="zh-CN"/>
        </w:rPr>
        <w:t>三甲医院创建、</w:t>
      </w:r>
      <w:r>
        <w:rPr>
          <w:rFonts w:hint="eastAsia" w:ascii="仿宋_GB2312" w:hAnsi="仿宋" w:eastAsia="仿宋_GB2312"/>
          <w:color w:val="auto"/>
          <w:sz w:val="32"/>
          <w:szCs w:val="32"/>
        </w:rPr>
        <w:t>区属医疗卫生重点学科的发展，以及精神卫生、基层卫生服务的补贴等。</w:t>
      </w:r>
      <w:bookmarkEnd w:id="3621"/>
    </w:p>
    <w:p>
      <w:pPr>
        <w:pStyle w:val="34"/>
        <w:keepNext w:val="0"/>
        <w:keepLines w:val="0"/>
        <w:pageBreakBefore w:val="0"/>
        <w:shd w:val="clear"/>
        <w:kinsoku/>
        <w:wordWrap/>
        <w:overflowPunct/>
        <w:topLinePunct w:val="0"/>
        <w:autoSpaceDN/>
        <w:bidi w:val="0"/>
        <w:adjustRightInd w:val="0"/>
        <w:snapToGrid w:val="0"/>
        <w:spacing w:line="560" w:lineRule="exact"/>
        <w:ind w:firstLine="108" w:firstLineChars="34"/>
        <w:textAlignment w:val="auto"/>
        <w:outlineLvl w:val="1"/>
        <w:rPr>
          <w:rFonts w:hint="eastAsia" w:ascii="仿宋_GB2312" w:hAnsi="仿宋" w:eastAsia="仿宋_GB2312"/>
          <w:color w:val="auto"/>
          <w:sz w:val="32"/>
          <w:szCs w:val="32"/>
        </w:rPr>
      </w:pPr>
    </w:p>
    <w:p>
      <w:pPr>
        <w:pStyle w:val="6"/>
        <w:keepNext w:val="0"/>
        <w:keepLines w:val="0"/>
        <w:pageBreakBefore w:val="0"/>
        <w:numPr>
          <w:ilvl w:val="0"/>
          <w:numId w:val="0"/>
        </w:numPr>
        <w:shd w:val="clear"/>
        <w:kinsoku/>
        <w:wordWrap/>
        <w:overflowPunct/>
        <w:topLinePunct w:val="0"/>
        <w:autoSpaceDN/>
        <w:bidi w:val="0"/>
        <w:snapToGrid w:val="0"/>
        <w:spacing w:before="0" w:after="0" w:line="560" w:lineRule="exact"/>
        <w:jc w:val="center"/>
        <w:textAlignment w:val="auto"/>
        <w:rPr>
          <w:rFonts w:hint="eastAsia" w:ascii="黑体" w:hAnsi="黑体" w:eastAsia="黑体" w:cs="黑体"/>
          <w:b w:val="0"/>
          <w:bCs w:val="0"/>
          <w:color w:val="auto"/>
          <w:kern w:val="2"/>
          <w:sz w:val="32"/>
          <w:szCs w:val="32"/>
          <w:lang w:val="en-US" w:eastAsia="zh-CN" w:bidi="ar-SA"/>
        </w:rPr>
      </w:pPr>
      <w:bookmarkStart w:id="3622" w:name="_Toc21775"/>
      <w:bookmarkStart w:id="3623" w:name="_Toc1294"/>
      <w:bookmarkStart w:id="3624" w:name="_Toc2574"/>
      <w:bookmarkStart w:id="3625" w:name="_Toc15495"/>
      <w:bookmarkStart w:id="3626" w:name="_Toc28366"/>
      <w:bookmarkStart w:id="3627" w:name="_Toc1385"/>
      <w:bookmarkStart w:id="3628" w:name="_Toc9118"/>
      <w:bookmarkStart w:id="3629" w:name="_Toc31023"/>
      <w:bookmarkStart w:id="3630" w:name="_Toc12054"/>
      <w:bookmarkStart w:id="3631" w:name="_Toc6870"/>
      <w:bookmarkStart w:id="3632" w:name="_Toc2839"/>
      <w:bookmarkStart w:id="3633" w:name="_Toc11721"/>
      <w:bookmarkStart w:id="3634" w:name="_Toc2583"/>
      <w:bookmarkStart w:id="3635" w:name="_Toc32266"/>
      <w:bookmarkStart w:id="3636" w:name="_Toc29297"/>
      <w:bookmarkStart w:id="3637" w:name="_Toc29170"/>
      <w:bookmarkStart w:id="3638" w:name="_Toc17321"/>
      <w:bookmarkStart w:id="3639" w:name="_Toc10981"/>
      <w:bookmarkStart w:id="3640" w:name="_Toc20966"/>
      <w:bookmarkStart w:id="3641" w:name="_Toc20214"/>
      <w:bookmarkStart w:id="3642" w:name="_Toc8215"/>
      <w:bookmarkStart w:id="3643" w:name="_Toc30291"/>
      <w:bookmarkStart w:id="3644" w:name="_Toc5201"/>
      <w:bookmarkStart w:id="3645" w:name="_Toc23073"/>
      <w:bookmarkStart w:id="3646" w:name="_Toc1030"/>
      <w:bookmarkStart w:id="3647" w:name="_Toc1186"/>
      <w:bookmarkStart w:id="3648" w:name="_Toc20423"/>
      <w:bookmarkStart w:id="3649" w:name="_Toc18124"/>
      <w:bookmarkStart w:id="3650" w:name="_Toc25978"/>
      <w:bookmarkStart w:id="3651" w:name="_Toc4667"/>
      <w:bookmarkStart w:id="3652" w:name="_Toc28501"/>
      <w:bookmarkStart w:id="3653" w:name="_Toc24620"/>
      <w:bookmarkStart w:id="3654" w:name="_Toc2514"/>
      <w:bookmarkStart w:id="3655" w:name="_Toc31578"/>
      <w:bookmarkStart w:id="3656" w:name="_Toc16519"/>
      <w:bookmarkStart w:id="3657" w:name="_Toc27241"/>
      <w:bookmarkStart w:id="3658" w:name="_Toc22490"/>
      <w:bookmarkStart w:id="3659" w:name="_Toc24777"/>
      <w:bookmarkStart w:id="3660" w:name="_Toc11435"/>
      <w:bookmarkStart w:id="3661" w:name="_Toc26290"/>
      <w:bookmarkStart w:id="3662" w:name="_Toc3832"/>
      <w:bookmarkStart w:id="3663" w:name="_Toc26708"/>
      <w:bookmarkStart w:id="3664" w:name="_Toc24835"/>
      <w:bookmarkStart w:id="3665" w:name="_Toc29587"/>
      <w:bookmarkStart w:id="3666" w:name="_Toc23167"/>
      <w:bookmarkStart w:id="3667" w:name="_Toc2845"/>
      <w:bookmarkStart w:id="3668" w:name="_Toc2421"/>
      <w:bookmarkStart w:id="3669" w:name="_Toc5503"/>
      <w:bookmarkStart w:id="3670" w:name="_Toc19881"/>
      <w:bookmarkStart w:id="3671" w:name="_Toc5428"/>
      <w:bookmarkStart w:id="3672" w:name="_Toc18255"/>
      <w:bookmarkStart w:id="3673" w:name="_Toc27651"/>
      <w:bookmarkStart w:id="3674" w:name="_Toc14751"/>
      <w:bookmarkStart w:id="3675" w:name="_Toc16503"/>
      <w:bookmarkStart w:id="3676" w:name="_Toc13164"/>
      <w:bookmarkStart w:id="3677" w:name="_Toc3861"/>
      <w:bookmarkStart w:id="3678" w:name="_Toc27149"/>
      <w:bookmarkStart w:id="3679" w:name="_Toc538915420_WPSOffice_Level2"/>
      <w:bookmarkStart w:id="3680" w:name="_Toc26938"/>
      <w:bookmarkStart w:id="3681" w:name="_Toc28473"/>
      <w:bookmarkStart w:id="3682" w:name="_Toc24139"/>
      <w:bookmarkStart w:id="3683" w:name="_Toc935"/>
      <w:bookmarkStart w:id="3684" w:name="_Toc22704"/>
      <w:bookmarkStart w:id="3685" w:name="_Toc21948"/>
      <w:bookmarkStart w:id="3686" w:name="_Toc22974"/>
      <w:r>
        <w:rPr>
          <w:rFonts w:hint="eastAsia" w:ascii="黑体" w:hAnsi="黑体" w:eastAsia="黑体" w:cs="黑体"/>
          <w:b w:val="0"/>
          <w:bCs w:val="0"/>
          <w:color w:val="auto"/>
          <w:kern w:val="2"/>
          <w:sz w:val="32"/>
          <w:szCs w:val="32"/>
          <w:lang w:val="en-US" w:eastAsia="zh-CN" w:bidi="ar-SA"/>
        </w:rPr>
        <w:t>第三节 强化监测评估</w:t>
      </w:r>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p>
    <w:p>
      <w:pPr>
        <w:pStyle w:val="34"/>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 w:eastAsia="仿宋_GB2312"/>
          <w:color w:val="auto"/>
          <w:sz w:val="32"/>
          <w:szCs w:val="32"/>
        </w:rPr>
      </w:pPr>
      <w:bookmarkStart w:id="3687" w:name="_Toc18034"/>
      <w:r>
        <w:rPr>
          <w:rFonts w:hint="eastAsia" w:ascii="仿宋_GB2312" w:hAnsi="仿宋" w:eastAsia="仿宋_GB2312"/>
          <w:color w:val="auto"/>
          <w:sz w:val="32"/>
          <w:szCs w:val="32"/>
        </w:rPr>
        <w:t>建立实施规划的监测评估机制，定期评估规划的实施情况，监督重大项目的执行情况，增强规划执行力。完善规划中期和末期评估机制，定期对规划实施进度和实施效果开展全面评估。对监测评估中发现的问题，要加强督导和整改，及时研究解决办法，确保规划目标的实现。</w:t>
      </w:r>
      <w:bookmarkEnd w:id="3552"/>
      <w:bookmarkEnd w:id="3553"/>
      <w:bookmarkEnd w:id="3554"/>
      <w:bookmarkEnd w:id="3687"/>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ascii="仿宋_GB2312" w:hAnsi="仿宋_GB2312" w:eastAsia="仿宋_GB2312" w:cs="仿宋_GB2312"/>
                              <w:sz w:val="24"/>
                            </w:rPr>
                            <w:t>30</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OqXm5zwAAAAUBAAAPAAAA&#10;AAAAAAEAIAAAADgAAABkcnMvZG93bnJldi54bWxQSwECFAAUAAAACACHTuJAJ3SIAc8BAACqAwAA&#10;DgAAAAAAAAABACAAAAA0AQAAZHJzL2Uyb0RvYy54bWxQSwUGAAAAAAYABgBZAQAAdQUAAAAA&#10;">
              <v:fill on="f" focussize="0,0"/>
              <v:stroke on="f"/>
              <v:imagedata o:title=""/>
              <o:lock v:ext="edit" aspectratio="f"/>
              <v:textbox inset="0mm,0mm,0mm,0mm" style="mso-fit-shape-to-text:t;">
                <w:txbxContent>
                  <w:p>
                    <w:pPr>
                      <w:snapToGrid w:val="0"/>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ascii="仿宋_GB2312" w:hAnsi="仿宋_GB2312" w:eastAsia="仿宋_GB2312" w:cs="仿宋_GB2312"/>
                        <w:sz w:val="24"/>
                      </w:rPr>
                      <w:t>30</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4AD2A3"/>
    <w:multiLevelType w:val="singleLevel"/>
    <w:tmpl w:val="484AD2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0"/>
  <w:drawingGridVerticalSpacing w:val="16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41F2"/>
    <w:rsid w:val="000D71B8"/>
    <w:rsid w:val="000E432F"/>
    <w:rsid w:val="00123DE0"/>
    <w:rsid w:val="00172A27"/>
    <w:rsid w:val="001A6A21"/>
    <w:rsid w:val="001F22A5"/>
    <w:rsid w:val="00202816"/>
    <w:rsid w:val="00204AB4"/>
    <w:rsid w:val="002228F2"/>
    <w:rsid w:val="00333167"/>
    <w:rsid w:val="003352B3"/>
    <w:rsid w:val="003C249B"/>
    <w:rsid w:val="003D064F"/>
    <w:rsid w:val="003D6B09"/>
    <w:rsid w:val="0042657E"/>
    <w:rsid w:val="004312D7"/>
    <w:rsid w:val="0044753A"/>
    <w:rsid w:val="00463A7A"/>
    <w:rsid w:val="004B52D8"/>
    <w:rsid w:val="004C0A2C"/>
    <w:rsid w:val="004D31C1"/>
    <w:rsid w:val="004D788C"/>
    <w:rsid w:val="00536C04"/>
    <w:rsid w:val="0055168E"/>
    <w:rsid w:val="005547EF"/>
    <w:rsid w:val="005612D3"/>
    <w:rsid w:val="005625D8"/>
    <w:rsid w:val="0056362B"/>
    <w:rsid w:val="005A5885"/>
    <w:rsid w:val="00633C1C"/>
    <w:rsid w:val="006927D1"/>
    <w:rsid w:val="006B6297"/>
    <w:rsid w:val="006F0EF8"/>
    <w:rsid w:val="006F4715"/>
    <w:rsid w:val="007577B4"/>
    <w:rsid w:val="00764712"/>
    <w:rsid w:val="00787829"/>
    <w:rsid w:val="00836DC1"/>
    <w:rsid w:val="00841ED4"/>
    <w:rsid w:val="0085062B"/>
    <w:rsid w:val="00856E66"/>
    <w:rsid w:val="008B69D6"/>
    <w:rsid w:val="00900069"/>
    <w:rsid w:val="009648AF"/>
    <w:rsid w:val="009776D8"/>
    <w:rsid w:val="009F194B"/>
    <w:rsid w:val="009F602B"/>
    <w:rsid w:val="009F6673"/>
    <w:rsid w:val="00A4667B"/>
    <w:rsid w:val="00AB2DF9"/>
    <w:rsid w:val="00B16401"/>
    <w:rsid w:val="00B55B9A"/>
    <w:rsid w:val="00B5794B"/>
    <w:rsid w:val="00B767F2"/>
    <w:rsid w:val="00C01769"/>
    <w:rsid w:val="00C0692B"/>
    <w:rsid w:val="00CC2411"/>
    <w:rsid w:val="00CE0140"/>
    <w:rsid w:val="00D84B81"/>
    <w:rsid w:val="00DC321E"/>
    <w:rsid w:val="00E20439"/>
    <w:rsid w:val="00E4133D"/>
    <w:rsid w:val="00E517C0"/>
    <w:rsid w:val="00E710B4"/>
    <w:rsid w:val="00EA5B69"/>
    <w:rsid w:val="00F72997"/>
    <w:rsid w:val="00FB1D7A"/>
    <w:rsid w:val="00FB69A1"/>
    <w:rsid w:val="01210358"/>
    <w:rsid w:val="018C57D8"/>
    <w:rsid w:val="01D45F9A"/>
    <w:rsid w:val="01FF2C55"/>
    <w:rsid w:val="02065880"/>
    <w:rsid w:val="023E2327"/>
    <w:rsid w:val="03773ABF"/>
    <w:rsid w:val="0452795A"/>
    <w:rsid w:val="04543A7B"/>
    <w:rsid w:val="047F3C2A"/>
    <w:rsid w:val="04881617"/>
    <w:rsid w:val="04972933"/>
    <w:rsid w:val="04C809E9"/>
    <w:rsid w:val="04D6534D"/>
    <w:rsid w:val="05263D5E"/>
    <w:rsid w:val="0560572B"/>
    <w:rsid w:val="058C7DC8"/>
    <w:rsid w:val="05AE00C1"/>
    <w:rsid w:val="05BC3099"/>
    <w:rsid w:val="060F0D9B"/>
    <w:rsid w:val="06187CFA"/>
    <w:rsid w:val="06217D63"/>
    <w:rsid w:val="06464592"/>
    <w:rsid w:val="068A1EA8"/>
    <w:rsid w:val="069170E0"/>
    <w:rsid w:val="06963DC9"/>
    <w:rsid w:val="074E7F76"/>
    <w:rsid w:val="076410D4"/>
    <w:rsid w:val="07A25481"/>
    <w:rsid w:val="07BE08B6"/>
    <w:rsid w:val="07D01698"/>
    <w:rsid w:val="07E41C62"/>
    <w:rsid w:val="085F75CF"/>
    <w:rsid w:val="086472DA"/>
    <w:rsid w:val="08A82122"/>
    <w:rsid w:val="08C57FEF"/>
    <w:rsid w:val="08E63398"/>
    <w:rsid w:val="08F00ADE"/>
    <w:rsid w:val="099D78F4"/>
    <w:rsid w:val="0A110A7A"/>
    <w:rsid w:val="0A327614"/>
    <w:rsid w:val="0A555BD7"/>
    <w:rsid w:val="0B1B137B"/>
    <w:rsid w:val="0B2E5A72"/>
    <w:rsid w:val="0B3E6F1F"/>
    <w:rsid w:val="0B4F1807"/>
    <w:rsid w:val="0B91309F"/>
    <w:rsid w:val="0BBF6B0E"/>
    <w:rsid w:val="0C0377D9"/>
    <w:rsid w:val="0C224678"/>
    <w:rsid w:val="0C495236"/>
    <w:rsid w:val="0C4B6223"/>
    <w:rsid w:val="0C9C498F"/>
    <w:rsid w:val="0D0F582F"/>
    <w:rsid w:val="0D116290"/>
    <w:rsid w:val="0D532D9B"/>
    <w:rsid w:val="0D686ABA"/>
    <w:rsid w:val="0D6B334A"/>
    <w:rsid w:val="0D744BA4"/>
    <w:rsid w:val="0D786233"/>
    <w:rsid w:val="0D7D550A"/>
    <w:rsid w:val="0EC0718A"/>
    <w:rsid w:val="0F101140"/>
    <w:rsid w:val="0F6C4E7C"/>
    <w:rsid w:val="0F7F6B8A"/>
    <w:rsid w:val="0F9D3A74"/>
    <w:rsid w:val="0FC93224"/>
    <w:rsid w:val="0FCE2065"/>
    <w:rsid w:val="0FD15D59"/>
    <w:rsid w:val="0FE03038"/>
    <w:rsid w:val="101C232E"/>
    <w:rsid w:val="10365AA7"/>
    <w:rsid w:val="104754D3"/>
    <w:rsid w:val="10581567"/>
    <w:rsid w:val="105A38D2"/>
    <w:rsid w:val="10CE358D"/>
    <w:rsid w:val="10D0700F"/>
    <w:rsid w:val="10DD3349"/>
    <w:rsid w:val="11175070"/>
    <w:rsid w:val="11770C28"/>
    <w:rsid w:val="118946F0"/>
    <w:rsid w:val="121850FB"/>
    <w:rsid w:val="12386DF5"/>
    <w:rsid w:val="123D53B1"/>
    <w:rsid w:val="124C5627"/>
    <w:rsid w:val="126D5035"/>
    <w:rsid w:val="127D0630"/>
    <w:rsid w:val="12D811E3"/>
    <w:rsid w:val="130E7F6D"/>
    <w:rsid w:val="13485AE5"/>
    <w:rsid w:val="134B4CBB"/>
    <w:rsid w:val="138E168D"/>
    <w:rsid w:val="14192675"/>
    <w:rsid w:val="147F53DE"/>
    <w:rsid w:val="14823A89"/>
    <w:rsid w:val="14AB70E1"/>
    <w:rsid w:val="15346BE8"/>
    <w:rsid w:val="154104E3"/>
    <w:rsid w:val="15630189"/>
    <w:rsid w:val="15687398"/>
    <w:rsid w:val="15BF0281"/>
    <w:rsid w:val="15BF360A"/>
    <w:rsid w:val="163E2F5F"/>
    <w:rsid w:val="16554197"/>
    <w:rsid w:val="168F433D"/>
    <w:rsid w:val="16C40344"/>
    <w:rsid w:val="17071336"/>
    <w:rsid w:val="171A2DA3"/>
    <w:rsid w:val="17674F0B"/>
    <w:rsid w:val="17D47114"/>
    <w:rsid w:val="18067AC1"/>
    <w:rsid w:val="182E300B"/>
    <w:rsid w:val="18B9303D"/>
    <w:rsid w:val="18C52696"/>
    <w:rsid w:val="194E34D2"/>
    <w:rsid w:val="195B4A5B"/>
    <w:rsid w:val="19736F94"/>
    <w:rsid w:val="19EA3DDE"/>
    <w:rsid w:val="1A5853C8"/>
    <w:rsid w:val="1B5F0CBA"/>
    <w:rsid w:val="1B701998"/>
    <w:rsid w:val="1B7125BC"/>
    <w:rsid w:val="1B91415D"/>
    <w:rsid w:val="1BB9132A"/>
    <w:rsid w:val="1BEA0004"/>
    <w:rsid w:val="1BF823FC"/>
    <w:rsid w:val="1C046F02"/>
    <w:rsid w:val="1C0948BD"/>
    <w:rsid w:val="1C6C7EAC"/>
    <w:rsid w:val="1CEA2A0C"/>
    <w:rsid w:val="1CF13667"/>
    <w:rsid w:val="1D0C6695"/>
    <w:rsid w:val="1D4158D7"/>
    <w:rsid w:val="1DB87284"/>
    <w:rsid w:val="1DD05E4A"/>
    <w:rsid w:val="1E380532"/>
    <w:rsid w:val="1E43036B"/>
    <w:rsid w:val="1E5053B5"/>
    <w:rsid w:val="1EC548FF"/>
    <w:rsid w:val="1F0209C3"/>
    <w:rsid w:val="1F6363E1"/>
    <w:rsid w:val="2065739F"/>
    <w:rsid w:val="207B2364"/>
    <w:rsid w:val="208954F0"/>
    <w:rsid w:val="20DF37C8"/>
    <w:rsid w:val="21802BDB"/>
    <w:rsid w:val="21AA6D90"/>
    <w:rsid w:val="21B27685"/>
    <w:rsid w:val="22866390"/>
    <w:rsid w:val="22B2673F"/>
    <w:rsid w:val="22E44DB0"/>
    <w:rsid w:val="22FB08C8"/>
    <w:rsid w:val="23056452"/>
    <w:rsid w:val="23296452"/>
    <w:rsid w:val="23653685"/>
    <w:rsid w:val="24230893"/>
    <w:rsid w:val="24B26923"/>
    <w:rsid w:val="24C07994"/>
    <w:rsid w:val="24F9660F"/>
    <w:rsid w:val="25341F7E"/>
    <w:rsid w:val="25977825"/>
    <w:rsid w:val="25BB04DA"/>
    <w:rsid w:val="264066F3"/>
    <w:rsid w:val="26835911"/>
    <w:rsid w:val="268425D9"/>
    <w:rsid w:val="26C054D7"/>
    <w:rsid w:val="26DE0FD5"/>
    <w:rsid w:val="271747F7"/>
    <w:rsid w:val="276B5B7F"/>
    <w:rsid w:val="27C9549B"/>
    <w:rsid w:val="27FF4711"/>
    <w:rsid w:val="281110B7"/>
    <w:rsid w:val="282624C4"/>
    <w:rsid w:val="28551523"/>
    <w:rsid w:val="28745DDF"/>
    <w:rsid w:val="2975070F"/>
    <w:rsid w:val="29B46DAD"/>
    <w:rsid w:val="2A240596"/>
    <w:rsid w:val="2A2D0CFD"/>
    <w:rsid w:val="2A732371"/>
    <w:rsid w:val="2AAD1E2D"/>
    <w:rsid w:val="2AE565E1"/>
    <w:rsid w:val="2B0C0736"/>
    <w:rsid w:val="2B2C6129"/>
    <w:rsid w:val="2B60673D"/>
    <w:rsid w:val="2B827314"/>
    <w:rsid w:val="2B872E6E"/>
    <w:rsid w:val="2BF244C6"/>
    <w:rsid w:val="2C037A53"/>
    <w:rsid w:val="2C0F0466"/>
    <w:rsid w:val="2C4F2027"/>
    <w:rsid w:val="2C4F34EB"/>
    <w:rsid w:val="2CE52FCA"/>
    <w:rsid w:val="2D0A7E94"/>
    <w:rsid w:val="2D0C151C"/>
    <w:rsid w:val="2D0C28CE"/>
    <w:rsid w:val="2DAA5200"/>
    <w:rsid w:val="2DCB54AF"/>
    <w:rsid w:val="2FA936BF"/>
    <w:rsid w:val="2FCF70F1"/>
    <w:rsid w:val="30543F93"/>
    <w:rsid w:val="30D35AFD"/>
    <w:rsid w:val="30F96B37"/>
    <w:rsid w:val="31266964"/>
    <w:rsid w:val="31837A48"/>
    <w:rsid w:val="329221B0"/>
    <w:rsid w:val="333A155E"/>
    <w:rsid w:val="33614F5D"/>
    <w:rsid w:val="33991387"/>
    <w:rsid w:val="33F30050"/>
    <w:rsid w:val="346217DD"/>
    <w:rsid w:val="34850238"/>
    <w:rsid w:val="348E7A0A"/>
    <w:rsid w:val="34C4647C"/>
    <w:rsid w:val="34E25895"/>
    <w:rsid w:val="34F1037B"/>
    <w:rsid w:val="35650062"/>
    <w:rsid w:val="35751DD3"/>
    <w:rsid w:val="361E33FF"/>
    <w:rsid w:val="36331EC6"/>
    <w:rsid w:val="36405C81"/>
    <w:rsid w:val="3658434C"/>
    <w:rsid w:val="366613E1"/>
    <w:rsid w:val="372C6364"/>
    <w:rsid w:val="37971D3C"/>
    <w:rsid w:val="37AA53B8"/>
    <w:rsid w:val="37AD39D3"/>
    <w:rsid w:val="37EC785D"/>
    <w:rsid w:val="37ED3535"/>
    <w:rsid w:val="37F07A4A"/>
    <w:rsid w:val="38323CBC"/>
    <w:rsid w:val="385E6524"/>
    <w:rsid w:val="389A21F4"/>
    <w:rsid w:val="38FF3B5B"/>
    <w:rsid w:val="390A7371"/>
    <w:rsid w:val="3A8C3CB6"/>
    <w:rsid w:val="3AFD0E35"/>
    <w:rsid w:val="3B0837F9"/>
    <w:rsid w:val="3B0F125A"/>
    <w:rsid w:val="3B1C135E"/>
    <w:rsid w:val="3B643CC2"/>
    <w:rsid w:val="3C242230"/>
    <w:rsid w:val="3C4B6DFC"/>
    <w:rsid w:val="3C5D4BFB"/>
    <w:rsid w:val="3CF06644"/>
    <w:rsid w:val="3D9F761B"/>
    <w:rsid w:val="3DFDFEF2"/>
    <w:rsid w:val="3E7A71BF"/>
    <w:rsid w:val="3F0D1A36"/>
    <w:rsid w:val="3F112E61"/>
    <w:rsid w:val="3FC8092E"/>
    <w:rsid w:val="40453585"/>
    <w:rsid w:val="405671E5"/>
    <w:rsid w:val="40B32BCE"/>
    <w:rsid w:val="40DD299F"/>
    <w:rsid w:val="40EE754D"/>
    <w:rsid w:val="40F47981"/>
    <w:rsid w:val="40FC2518"/>
    <w:rsid w:val="40FD6051"/>
    <w:rsid w:val="41183CE8"/>
    <w:rsid w:val="4169171F"/>
    <w:rsid w:val="41CD46E6"/>
    <w:rsid w:val="41F83508"/>
    <w:rsid w:val="4202782D"/>
    <w:rsid w:val="420F6306"/>
    <w:rsid w:val="42AB0CE7"/>
    <w:rsid w:val="42AC498E"/>
    <w:rsid w:val="42D61816"/>
    <w:rsid w:val="42F974BE"/>
    <w:rsid w:val="435F26E8"/>
    <w:rsid w:val="43740F07"/>
    <w:rsid w:val="43967B8F"/>
    <w:rsid w:val="43AC3FEF"/>
    <w:rsid w:val="43C827C8"/>
    <w:rsid w:val="44067993"/>
    <w:rsid w:val="449A2520"/>
    <w:rsid w:val="450B3FE3"/>
    <w:rsid w:val="461B1A92"/>
    <w:rsid w:val="462A08AA"/>
    <w:rsid w:val="4634294C"/>
    <w:rsid w:val="466425B4"/>
    <w:rsid w:val="472736E9"/>
    <w:rsid w:val="472DC075"/>
    <w:rsid w:val="473A4E8D"/>
    <w:rsid w:val="47C31ACF"/>
    <w:rsid w:val="47CE4F0D"/>
    <w:rsid w:val="47ED57C5"/>
    <w:rsid w:val="48136630"/>
    <w:rsid w:val="488A7B6B"/>
    <w:rsid w:val="48952C0A"/>
    <w:rsid w:val="48A15E4B"/>
    <w:rsid w:val="493B45DE"/>
    <w:rsid w:val="496B6808"/>
    <w:rsid w:val="49D25D1F"/>
    <w:rsid w:val="49E244CD"/>
    <w:rsid w:val="49E63FDC"/>
    <w:rsid w:val="49E92585"/>
    <w:rsid w:val="49F77CFB"/>
    <w:rsid w:val="4A0011E8"/>
    <w:rsid w:val="4A1C0DF2"/>
    <w:rsid w:val="4A232214"/>
    <w:rsid w:val="4A7E1A6F"/>
    <w:rsid w:val="4B011D87"/>
    <w:rsid w:val="4B6B5EA2"/>
    <w:rsid w:val="4BD76542"/>
    <w:rsid w:val="4BE33DD6"/>
    <w:rsid w:val="4C411AFA"/>
    <w:rsid w:val="4C4F1C73"/>
    <w:rsid w:val="4C7F076B"/>
    <w:rsid w:val="4C874D23"/>
    <w:rsid w:val="4C8D5B18"/>
    <w:rsid w:val="4C9C6C6B"/>
    <w:rsid w:val="4CF63AD5"/>
    <w:rsid w:val="4CFC7E0B"/>
    <w:rsid w:val="4D6F6BE5"/>
    <w:rsid w:val="4D753DDD"/>
    <w:rsid w:val="4D7A65FC"/>
    <w:rsid w:val="4E394192"/>
    <w:rsid w:val="4E4B4575"/>
    <w:rsid w:val="4E6E7663"/>
    <w:rsid w:val="4EA00A39"/>
    <w:rsid w:val="4EA60CDF"/>
    <w:rsid w:val="4EB57EB4"/>
    <w:rsid w:val="4ECA7D8D"/>
    <w:rsid w:val="4F3FCEE3"/>
    <w:rsid w:val="4F632293"/>
    <w:rsid w:val="4F870ADD"/>
    <w:rsid w:val="4FD11A19"/>
    <w:rsid w:val="4FE723AB"/>
    <w:rsid w:val="50970C16"/>
    <w:rsid w:val="50DB50AB"/>
    <w:rsid w:val="51D51E2C"/>
    <w:rsid w:val="521533FC"/>
    <w:rsid w:val="52234CF9"/>
    <w:rsid w:val="52251117"/>
    <w:rsid w:val="523578F2"/>
    <w:rsid w:val="525133FA"/>
    <w:rsid w:val="525764D5"/>
    <w:rsid w:val="526F0F54"/>
    <w:rsid w:val="52915DFA"/>
    <w:rsid w:val="52C61F57"/>
    <w:rsid w:val="52D5774D"/>
    <w:rsid w:val="52FE200E"/>
    <w:rsid w:val="533458F6"/>
    <w:rsid w:val="535522DD"/>
    <w:rsid w:val="536925D9"/>
    <w:rsid w:val="540B4B47"/>
    <w:rsid w:val="549623F3"/>
    <w:rsid w:val="54AD5ACB"/>
    <w:rsid w:val="54EB3E7E"/>
    <w:rsid w:val="55146D56"/>
    <w:rsid w:val="55386FD6"/>
    <w:rsid w:val="553EA25B"/>
    <w:rsid w:val="56506FAB"/>
    <w:rsid w:val="571A4941"/>
    <w:rsid w:val="574E7A97"/>
    <w:rsid w:val="57DA610E"/>
    <w:rsid w:val="57F90684"/>
    <w:rsid w:val="58020839"/>
    <w:rsid w:val="5862544B"/>
    <w:rsid w:val="58AD1A86"/>
    <w:rsid w:val="58B12EFD"/>
    <w:rsid w:val="59187A0D"/>
    <w:rsid w:val="594B04C5"/>
    <w:rsid w:val="594E1595"/>
    <w:rsid w:val="594F263D"/>
    <w:rsid w:val="5980378C"/>
    <w:rsid w:val="59BF6C35"/>
    <w:rsid w:val="59E832AB"/>
    <w:rsid w:val="5A0C127D"/>
    <w:rsid w:val="5AD17A04"/>
    <w:rsid w:val="5AF36032"/>
    <w:rsid w:val="5B2524A9"/>
    <w:rsid w:val="5B401CAD"/>
    <w:rsid w:val="5B504C61"/>
    <w:rsid w:val="5B801D9D"/>
    <w:rsid w:val="5C13184A"/>
    <w:rsid w:val="5C1B54FE"/>
    <w:rsid w:val="5C213620"/>
    <w:rsid w:val="5C4B75A1"/>
    <w:rsid w:val="5C75041F"/>
    <w:rsid w:val="5D054C53"/>
    <w:rsid w:val="5D43244D"/>
    <w:rsid w:val="5D5813A7"/>
    <w:rsid w:val="5D5A1B61"/>
    <w:rsid w:val="5E5667A4"/>
    <w:rsid w:val="5EBA47E6"/>
    <w:rsid w:val="5ED110CB"/>
    <w:rsid w:val="5ED52E57"/>
    <w:rsid w:val="5EEE5889"/>
    <w:rsid w:val="5EFE23B4"/>
    <w:rsid w:val="5F0475B7"/>
    <w:rsid w:val="5F07E456"/>
    <w:rsid w:val="5F434C67"/>
    <w:rsid w:val="5F572956"/>
    <w:rsid w:val="5FDB1FCC"/>
    <w:rsid w:val="5FE72F5A"/>
    <w:rsid w:val="60652F39"/>
    <w:rsid w:val="60923C8A"/>
    <w:rsid w:val="60A771F8"/>
    <w:rsid w:val="60B43573"/>
    <w:rsid w:val="60B85879"/>
    <w:rsid w:val="60E270EC"/>
    <w:rsid w:val="61C926A8"/>
    <w:rsid w:val="61E21987"/>
    <w:rsid w:val="61FFB9B1"/>
    <w:rsid w:val="6224675B"/>
    <w:rsid w:val="622836A6"/>
    <w:rsid w:val="62315333"/>
    <w:rsid w:val="62C61EF0"/>
    <w:rsid w:val="62CD14DB"/>
    <w:rsid w:val="633A5195"/>
    <w:rsid w:val="6343387F"/>
    <w:rsid w:val="63A333D3"/>
    <w:rsid w:val="63B52B33"/>
    <w:rsid w:val="63C9482A"/>
    <w:rsid w:val="63F54B2B"/>
    <w:rsid w:val="64197456"/>
    <w:rsid w:val="64623F87"/>
    <w:rsid w:val="64925D00"/>
    <w:rsid w:val="64F0679B"/>
    <w:rsid w:val="65D11612"/>
    <w:rsid w:val="65F21086"/>
    <w:rsid w:val="65FD2C97"/>
    <w:rsid w:val="66F0407B"/>
    <w:rsid w:val="673D1002"/>
    <w:rsid w:val="676F3D16"/>
    <w:rsid w:val="677F6F37"/>
    <w:rsid w:val="67B6001C"/>
    <w:rsid w:val="67FFC4CB"/>
    <w:rsid w:val="68756874"/>
    <w:rsid w:val="68BA7304"/>
    <w:rsid w:val="68FF419A"/>
    <w:rsid w:val="69012E28"/>
    <w:rsid w:val="690D796C"/>
    <w:rsid w:val="698B687D"/>
    <w:rsid w:val="69DD5899"/>
    <w:rsid w:val="69E12973"/>
    <w:rsid w:val="69ED6AA8"/>
    <w:rsid w:val="6A0C1FC1"/>
    <w:rsid w:val="6A1B62D5"/>
    <w:rsid w:val="6A5C609C"/>
    <w:rsid w:val="6A6E5296"/>
    <w:rsid w:val="6AD94717"/>
    <w:rsid w:val="6B0251B6"/>
    <w:rsid w:val="6B5936EB"/>
    <w:rsid w:val="6B5C1E8D"/>
    <w:rsid w:val="6B9400A8"/>
    <w:rsid w:val="6BB603B0"/>
    <w:rsid w:val="6BCD6E1F"/>
    <w:rsid w:val="6C002DD2"/>
    <w:rsid w:val="6C26666C"/>
    <w:rsid w:val="6C2906BF"/>
    <w:rsid w:val="6C5902B3"/>
    <w:rsid w:val="6C711246"/>
    <w:rsid w:val="6C884473"/>
    <w:rsid w:val="6CA6635D"/>
    <w:rsid w:val="6CB550AB"/>
    <w:rsid w:val="6CE746FB"/>
    <w:rsid w:val="6D735407"/>
    <w:rsid w:val="6D8802C5"/>
    <w:rsid w:val="6DAB7BD6"/>
    <w:rsid w:val="6E0D6D1E"/>
    <w:rsid w:val="6E305CB1"/>
    <w:rsid w:val="6E647EAA"/>
    <w:rsid w:val="6E923DFE"/>
    <w:rsid w:val="6E994FCC"/>
    <w:rsid w:val="6EA41A5E"/>
    <w:rsid w:val="6EAB0A0D"/>
    <w:rsid w:val="6F03126C"/>
    <w:rsid w:val="6F0E0A0D"/>
    <w:rsid w:val="6F2A3919"/>
    <w:rsid w:val="6FAC5A16"/>
    <w:rsid w:val="6FBC669D"/>
    <w:rsid w:val="6FD053EA"/>
    <w:rsid w:val="70195DA1"/>
    <w:rsid w:val="703674E1"/>
    <w:rsid w:val="704048BD"/>
    <w:rsid w:val="708362AC"/>
    <w:rsid w:val="70867767"/>
    <w:rsid w:val="70A86540"/>
    <w:rsid w:val="71183FFD"/>
    <w:rsid w:val="715513A6"/>
    <w:rsid w:val="71706E00"/>
    <w:rsid w:val="7174759E"/>
    <w:rsid w:val="717F05FF"/>
    <w:rsid w:val="71B8363A"/>
    <w:rsid w:val="721E2642"/>
    <w:rsid w:val="72363388"/>
    <w:rsid w:val="72785A22"/>
    <w:rsid w:val="727C2ECF"/>
    <w:rsid w:val="72CA07CB"/>
    <w:rsid w:val="72CA14BE"/>
    <w:rsid w:val="73376F82"/>
    <w:rsid w:val="73436CE8"/>
    <w:rsid w:val="739531E5"/>
    <w:rsid w:val="73FA3445"/>
    <w:rsid w:val="743A1DB2"/>
    <w:rsid w:val="74B266CD"/>
    <w:rsid w:val="74D21769"/>
    <w:rsid w:val="75DC4CC8"/>
    <w:rsid w:val="75E90B3E"/>
    <w:rsid w:val="76B61E2C"/>
    <w:rsid w:val="76D1430E"/>
    <w:rsid w:val="771978AB"/>
    <w:rsid w:val="777B4A5B"/>
    <w:rsid w:val="778951A9"/>
    <w:rsid w:val="779F04F3"/>
    <w:rsid w:val="77BA1C71"/>
    <w:rsid w:val="77F70C5A"/>
    <w:rsid w:val="78B864D7"/>
    <w:rsid w:val="792874FA"/>
    <w:rsid w:val="795F174D"/>
    <w:rsid w:val="7A0B0683"/>
    <w:rsid w:val="7A457286"/>
    <w:rsid w:val="7A7A040E"/>
    <w:rsid w:val="7AA40846"/>
    <w:rsid w:val="7AFD81D0"/>
    <w:rsid w:val="7B111D75"/>
    <w:rsid w:val="7B17184F"/>
    <w:rsid w:val="7B4D56DB"/>
    <w:rsid w:val="7B8F11FE"/>
    <w:rsid w:val="7BFD3F5D"/>
    <w:rsid w:val="7C06054D"/>
    <w:rsid w:val="7C1A6144"/>
    <w:rsid w:val="7C481AD4"/>
    <w:rsid w:val="7C6F081B"/>
    <w:rsid w:val="7C775A86"/>
    <w:rsid w:val="7C944F22"/>
    <w:rsid w:val="7CDA5898"/>
    <w:rsid w:val="7D0D1E22"/>
    <w:rsid w:val="7D0D64A6"/>
    <w:rsid w:val="7D283974"/>
    <w:rsid w:val="7D7B1E6E"/>
    <w:rsid w:val="7D9F66F1"/>
    <w:rsid w:val="7DA9210A"/>
    <w:rsid w:val="7E016466"/>
    <w:rsid w:val="7E324187"/>
    <w:rsid w:val="7E7D057F"/>
    <w:rsid w:val="7E99682D"/>
    <w:rsid w:val="7EAE366E"/>
    <w:rsid w:val="7EFBA67E"/>
    <w:rsid w:val="7F0511CF"/>
    <w:rsid w:val="7F3B3D2D"/>
    <w:rsid w:val="7F5047C7"/>
    <w:rsid w:val="7F5E5530"/>
    <w:rsid w:val="7F7046DC"/>
    <w:rsid w:val="9E76C94C"/>
    <w:rsid w:val="9EFF0E5B"/>
    <w:rsid w:val="B62D9530"/>
    <w:rsid w:val="BCF7C715"/>
    <w:rsid w:val="CB6D9812"/>
    <w:rsid w:val="CEA7202B"/>
    <w:rsid w:val="CF9DFDD7"/>
    <w:rsid w:val="D55A521E"/>
    <w:rsid w:val="DBF59DA7"/>
    <w:rsid w:val="EBBFDEB4"/>
    <w:rsid w:val="EFCE94D7"/>
    <w:rsid w:val="F7D14340"/>
    <w:rsid w:val="F8EF79AE"/>
    <w:rsid w:val="FDCFE202"/>
    <w:rsid w:val="FEDEA779"/>
    <w:rsid w:val="FFF6A9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5"/>
    <w:link w:val="28"/>
    <w:qFormat/>
    <w:uiPriority w:val="0"/>
    <w:pPr>
      <w:keepNext/>
      <w:keepLines/>
      <w:spacing w:before="340" w:after="330" w:line="578" w:lineRule="auto"/>
      <w:outlineLvl w:val="0"/>
    </w:pPr>
    <w:rPr>
      <w:rFonts w:ascii="Times New Roman" w:hAnsi="Times New Roman" w:eastAsia="黑体"/>
      <w:kern w:val="44"/>
      <w:sz w:val="36"/>
      <w:szCs w:val="44"/>
    </w:rPr>
  </w:style>
  <w:style w:type="paragraph" w:styleId="6">
    <w:name w:val="heading 2"/>
    <w:basedOn w:val="1"/>
    <w:next w:val="1"/>
    <w:link w:val="29"/>
    <w:unhideWhenUsed/>
    <w:qFormat/>
    <w:uiPriority w:val="9"/>
    <w:pPr>
      <w:keepNext/>
      <w:keepLines/>
      <w:spacing w:before="260" w:after="260" w:line="416" w:lineRule="auto"/>
      <w:outlineLvl w:val="1"/>
    </w:pPr>
    <w:rPr>
      <w:rFonts w:eastAsia="楷体_GB2312" w:asciiTheme="majorAscii" w:hAnsiTheme="majorAscii" w:cstheme="majorBidi"/>
      <w:b/>
      <w:bCs/>
      <w:sz w:val="32"/>
      <w:szCs w:val="32"/>
    </w:rPr>
  </w:style>
  <w:style w:type="paragraph" w:styleId="7">
    <w:name w:val="heading 3"/>
    <w:basedOn w:val="1"/>
    <w:next w:val="1"/>
    <w:link w:val="30"/>
    <w:unhideWhenUsed/>
    <w:qFormat/>
    <w:uiPriority w:val="9"/>
    <w:pPr>
      <w:keepNext/>
      <w:keepLines/>
      <w:spacing w:before="260" w:after="260" w:line="416" w:lineRule="auto"/>
      <w:outlineLvl w:val="2"/>
    </w:pPr>
    <w:rPr>
      <w:rFonts w:ascii="Times New Roman" w:hAnsi="Times New Roman" w:eastAsia="仿宋_GB2312"/>
      <w:bCs/>
      <w:sz w:val="28"/>
      <w:szCs w:val="32"/>
    </w:rPr>
  </w:style>
  <w:style w:type="paragraph" w:styleId="8">
    <w:name w:val="heading 4"/>
    <w:basedOn w:val="1"/>
    <w:next w:val="1"/>
    <w:unhideWhenUsed/>
    <w:qFormat/>
    <w:uiPriority w:val="9"/>
    <w:pPr>
      <w:widowControl w:val="0"/>
      <w:snapToGrid w:val="0"/>
      <w:spacing w:line="560" w:lineRule="exact"/>
      <w:ind w:firstLine="643" w:firstLineChars="200"/>
      <w:jc w:val="both"/>
      <w:outlineLvl w:val="3"/>
    </w:pPr>
    <w:rPr>
      <w:rFonts w:ascii="仿宋_GB2312" w:hAnsi="楷体" w:eastAsia="仿宋_GB2312"/>
      <w:b/>
      <w:sz w:val="32"/>
      <w:szCs w:val="32"/>
    </w:rPr>
  </w:style>
  <w:style w:type="character" w:default="1" w:styleId="22">
    <w:name w:val="Default Paragraph Font"/>
    <w:link w:val="23"/>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left="117"/>
    </w:pPr>
    <w:rPr>
      <w:rFonts w:ascii="宋体" w:hAnsi="宋体"/>
      <w:sz w:val="31"/>
      <w:szCs w:val="31"/>
    </w:rPr>
  </w:style>
  <w:style w:type="paragraph" w:styleId="3">
    <w:name w:val="Title"/>
    <w:basedOn w:val="1"/>
    <w:next w:val="1"/>
    <w:qFormat/>
    <w:uiPriority w:val="0"/>
    <w:pPr>
      <w:spacing w:before="240" w:after="60"/>
      <w:jc w:val="center"/>
      <w:outlineLvl w:val="0"/>
    </w:pPr>
    <w:rPr>
      <w:rFonts w:ascii="Cambria" w:hAnsi="Cambria" w:eastAsia="宋体" w:cs="Times New Roman"/>
      <w:b/>
      <w:bCs/>
      <w:szCs w:val="32"/>
    </w:rPr>
  </w:style>
  <w:style w:type="paragraph" w:styleId="5">
    <w:name w:val="Body Text First Indent"/>
    <w:basedOn w:val="2"/>
    <w:qFormat/>
    <w:uiPriority w:val="0"/>
    <w:pPr>
      <w:ind w:firstLine="420" w:firstLineChars="100"/>
    </w:pPr>
  </w:style>
  <w:style w:type="paragraph" w:styleId="9">
    <w:name w:val="toa heading"/>
    <w:basedOn w:val="1"/>
    <w:next w:val="1"/>
    <w:semiHidden/>
    <w:unhideWhenUsed/>
    <w:qFormat/>
    <w:uiPriority w:val="99"/>
    <w:pPr>
      <w:spacing w:before="120" w:beforeLines="0" w:beforeAutospacing="0"/>
    </w:pPr>
    <w:rPr>
      <w:rFonts w:ascii="Arial" w:hAnsi="Arial"/>
      <w:sz w:val="24"/>
    </w:rPr>
  </w:style>
  <w:style w:type="paragraph" w:styleId="10">
    <w:name w:val="annotation text"/>
    <w:basedOn w:val="1"/>
    <w:unhideWhenUsed/>
    <w:qFormat/>
    <w:uiPriority w:val="99"/>
    <w:pPr>
      <w:jc w:val="left"/>
    </w:pPr>
  </w:style>
  <w:style w:type="paragraph" w:styleId="11">
    <w:name w:val="Body Text Indent"/>
    <w:basedOn w:val="1"/>
    <w:qFormat/>
    <w:uiPriority w:val="0"/>
    <w:pPr>
      <w:spacing w:line="150" w:lineRule="atLeast"/>
      <w:ind w:firstLine="420" w:firstLineChars="200"/>
      <w:textAlignment w:val="baseline"/>
    </w:pPr>
    <w:rPr>
      <w:rFonts w:ascii="Times New Roman" w:hAnsi="Times New Roman" w:cs="Times New Roman"/>
    </w:rPr>
  </w:style>
  <w:style w:type="paragraph" w:styleId="12">
    <w:name w:val="toc 3"/>
    <w:basedOn w:val="1"/>
    <w:next w:val="1"/>
    <w:unhideWhenUsed/>
    <w:qFormat/>
    <w:uiPriority w:val="39"/>
    <w:pPr>
      <w:ind w:left="840" w:leftChars="400"/>
    </w:pPr>
    <w:rPr>
      <w:rFonts w:ascii="Times New Roman" w:hAnsi="Times New Roman" w:eastAsia="楷体_GB2312"/>
      <w:sz w:val="24"/>
    </w:rPr>
  </w:style>
  <w:style w:type="paragraph" w:styleId="13">
    <w:name w:val="Balloon Text"/>
    <w:basedOn w:val="1"/>
    <w:link w:val="33"/>
    <w:unhideWhenUsed/>
    <w:qFormat/>
    <w:uiPriority w:val="99"/>
    <w:rPr>
      <w:sz w:val="18"/>
      <w:szCs w:val="18"/>
    </w:rPr>
  </w:style>
  <w:style w:type="paragraph" w:styleId="14">
    <w:name w:val="footer"/>
    <w:basedOn w:val="1"/>
    <w:link w:val="39"/>
    <w:unhideWhenUsed/>
    <w:qFormat/>
    <w:uiPriority w:val="99"/>
    <w:pPr>
      <w:tabs>
        <w:tab w:val="center" w:pos="4153"/>
        <w:tab w:val="right" w:pos="8306"/>
      </w:tabs>
      <w:snapToGrid w:val="0"/>
      <w:jc w:val="left"/>
    </w:pPr>
    <w:rPr>
      <w:sz w:val="18"/>
      <w:szCs w:val="18"/>
    </w:rPr>
  </w:style>
  <w:style w:type="paragraph" w:styleId="15">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spacing w:line="560" w:lineRule="exact"/>
    </w:pPr>
    <w:rPr>
      <w:rFonts w:ascii="Times New Roman" w:hAnsi="Times New Roman" w:eastAsia="黑体"/>
      <w:sz w:val="30"/>
    </w:rPr>
  </w:style>
  <w:style w:type="paragraph" w:styleId="17">
    <w:name w:val="toc 2"/>
    <w:next w:val="1"/>
    <w:unhideWhenUsed/>
    <w:qFormat/>
    <w:uiPriority w:val="39"/>
    <w:pPr>
      <w:ind w:left="420" w:leftChars="200"/>
    </w:pPr>
    <w:rPr>
      <w:rFonts w:ascii="Times New Roman" w:hAnsi="Times New Roman" w:eastAsia="楷体_GB2312" w:cs="Times New Roman"/>
      <w:sz w:val="28"/>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2"/>
    <w:basedOn w:val="11"/>
    <w:qFormat/>
    <w:uiPriority w:val="0"/>
    <w:pPr>
      <w:spacing w:line="360" w:lineRule="auto"/>
    </w:pPr>
    <w:rPr>
      <w:rFonts w:eastAsia="宋体"/>
      <w:sz w:val="24"/>
    </w:r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Char Char Char"/>
    <w:basedOn w:val="1"/>
    <w:link w:val="22"/>
    <w:qFormat/>
    <w:uiPriority w:val="0"/>
  </w:style>
  <w:style w:type="character" w:styleId="24">
    <w:name w:val="Strong"/>
    <w:basedOn w:val="22"/>
    <w:qFormat/>
    <w:uiPriority w:val="22"/>
    <w:rPr>
      <w:b/>
    </w:rPr>
  </w:style>
  <w:style w:type="character" w:styleId="25">
    <w:name w:val="Hyperlink"/>
    <w:basedOn w:val="22"/>
    <w:unhideWhenUsed/>
    <w:qFormat/>
    <w:uiPriority w:val="99"/>
    <w:rPr>
      <w:color w:val="0000FF" w:themeColor="hyperlink"/>
      <w:u w:val="single"/>
      <w14:textFill>
        <w14:solidFill>
          <w14:schemeClr w14:val="hlink"/>
        </w14:solidFill>
      </w14:textFill>
    </w:rPr>
  </w:style>
  <w:style w:type="character" w:styleId="26">
    <w:name w:val="annotation reference"/>
    <w:basedOn w:val="22"/>
    <w:unhideWhenUsed/>
    <w:qFormat/>
    <w:uiPriority w:val="99"/>
    <w:rPr>
      <w:sz w:val="21"/>
      <w:szCs w:val="21"/>
    </w:rPr>
  </w:style>
  <w:style w:type="paragraph" w:customStyle="1" w:styleId="27">
    <w:name w:val="BodyText"/>
    <w:basedOn w:val="1"/>
    <w:next w:val="3"/>
    <w:qFormat/>
    <w:uiPriority w:val="0"/>
    <w:pPr>
      <w:spacing w:after="120"/>
      <w:textAlignment w:val="baseline"/>
    </w:pPr>
  </w:style>
  <w:style w:type="character" w:customStyle="1" w:styleId="28">
    <w:name w:val="标题 1 Char"/>
    <w:basedOn w:val="22"/>
    <w:link w:val="4"/>
    <w:qFormat/>
    <w:uiPriority w:val="0"/>
    <w:rPr>
      <w:rFonts w:ascii="Times New Roman" w:hAnsi="Times New Roman" w:eastAsia="黑体" w:cs="Times New Roman"/>
      <w:bCs/>
      <w:kern w:val="44"/>
      <w:sz w:val="36"/>
      <w:szCs w:val="44"/>
    </w:rPr>
  </w:style>
  <w:style w:type="character" w:customStyle="1" w:styleId="29">
    <w:name w:val="标题 2 Char"/>
    <w:basedOn w:val="22"/>
    <w:link w:val="6"/>
    <w:qFormat/>
    <w:uiPriority w:val="9"/>
    <w:rPr>
      <w:rFonts w:eastAsia="楷体_GB2312" w:asciiTheme="majorAscii" w:hAnsiTheme="majorAscii" w:cstheme="majorBidi"/>
      <w:b/>
      <w:bCs/>
      <w:sz w:val="32"/>
      <w:szCs w:val="32"/>
    </w:rPr>
  </w:style>
  <w:style w:type="character" w:customStyle="1" w:styleId="30">
    <w:name w:val="标题 3 Char"/>
    <w:basedOn w:val="22"/>
    <w:link w:val="7"/>
    <w:qFormat/>
    <w:uiPriority w:val="9"/>
    <w:rPr>
      <w:rFonts w:ascii="Times New Roman" w:hAnsi="Times New Roman" w:eastAsia="仿宋_GB2312" w:cs="Times New Roman"/>
      <w:b/>
      <w:bCs/>
      <w:sz w:val="28"/>
      <w:szCs w:val="32"/>
    </w:rPr>
  </w:style>
  <w:style w:type="paragraph" w:customStyle="1" w:styleId="31">
    <w:name w:val="WW-Default"/>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 w:type="paragraph" w:customStyle="1" w:styleId="32">
    <w:name w:val="+正文"/>
    <w:basedOn w:val="1"/>
    <w:qFormat/>
    <w:uiPriority w:val="0"/>
    <w:rPr>
      <w:kern w:val="0"/>
      <w:sz w:val="24"/>
      <w:szCs w:val="28"/>
    </w:rPr>
  </w:style>
  <w:style w:type="character" w:customStyle="1" w:styleId="33">
    <w:name w:val="批注框文本 Char"/>
    <w:basedOn w:val="22"/>
    <w:link w:val="13"/>
    <w:semiHidden/>
    <w:qFormat/>
    <w:uiPriority w:val="99"/>
    <w:rPr>
      <w:rFonts w:ascii="Times New Roman" w:hAnsi="Times New Roman" w:eastAsia="宋体" w:cs="Times New Roman"/>
      <w:sz w:val="18"/>
      <w:szCs w:val="18"/>
    </w:rPr>
  </w:style>
  <w:style w:type="paragraph" w:customStyle="1" w:styleId="34">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列出段落2"/>
    <w:basedOn w:val="1"/>
    <w:qFormat/>
    <w:uiPriority w:val="34"/>
    <w:pPr>
      <w:ind w:firstLine="420" w:firstLineChars="200"/>
    </w:pPr>
  </w:style>
  <w:style w:type="paragraph" w:customStyle="1" w:styleId="36">
    <w:name w:val="msonospacing"/>
    <w:basedOn w:val="1"/>
    <w:qFormat/>
    <w:uiPriority w:val="0"/>
    <w:rPr>
      <w:szCs w:val="21"/>
    </w:rPr>
  </w:style>
  <w:style w:type="character" w:customStyle="1" w:styleId="37">
    <w:name w:val="15"/>
    <w:basedOn w:val="22"/>
    <w:qFormat/>
    <w:uiPriority w:val="0"/>
    <w:rPr>
      <w:rFonts w:hint="default" w:ascii="Times New Roman" w:hAnsi="Times New Roman" w:cs="Times New Roman"/>
      <w:kern w:val="2"/>
      <w:sz w:val="21"/>
      <w:szCs w:val="21"/>
    </w:rPr>
  </w:style>
  <w:style w:type="character" w:customStyle="1" w:styleId="38">
    <w:name w:val="页眉 Char"/>
    <w:basedOn w:val="22"/>
    <w:link w:val="15"/>
    <w:semiHidden/>
    <w:qFormat/>
    <w:uiPriority w:val="99"/>
    <w:rPr>
      <w:rFonts w:ascii="Times New Roman" w:hAnsi="Times New Roman" w:eastAsia="宋体" w:cs="Times New Roman"/>
      <w:sz w:val="18"/>
      <w:szCs w:val="18"/>
    </w:rPr>
  </w:style>
  <w:style w:type="character" w:customStyle="1" w:styleId="39">
    <w:name w:val="页脚 Char"/>
    <w:basedOn w:val="22"/>
    <w:link w:val="14"/>
    <w:semiHidden/>
    <w:qFormat/>
    <w:uiPriority w:val="99"/>
    <w:rPr>
      <w:rFonts w:ascii="Times New Roman" w:hAnsi="Times New Roman" w:eastAsia="宋体" w:cs="Times New Roman"/>
      <w:sz w:val="18"/>
      <w:szCs w:val="18"/>
    </w:rPr>
  </w:style>
  <w:style w:type="paragraph" w:customStyle="1" w:styleId="40">
    <w:name w:val="无间隔11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p0"/>
    <w:basedOn w:val="1"/>
    <w:qFormat/>
    <w:uiPriority w:val="0"/>
    <w:pPr>
      <w:widowControl/>
    </w:pPr>
    <w:rPr>
      <w:kern w:val="0"/>
      <w:szCs w:val="21"/>
    </w:rPr>
  </w:style>
  <w:style w:type="paragraph" w:styleId="42">
    <w:name w:val="List Paragraph"/>
    <w:basedOn w:val="1"/>
    <w:qFormat/>
    <w:uiPriority w:val="1"/>
    <w:pPr>
      <w:ind w:left="1222" w:hanging="323"/>
    </w:pPr>
    <w:rPr>
      <w:rFonts w:ascii="宋体" w:hAnsi="宋体" w:cs="宋体"/>
    </w:rPr>
  </w:style>
  <w:style w:type="paragraph" w:customStyle="1" w:styleId="43">
    <w:name w:val="无间隔1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apple-style-span"/>
    <w:basedOn w:val="22"/>
    <w:qFormat/>
    <w:uiPriority w:val="0"/>
  </w:style>
  <w:style w:type="paragraph" w:customStyle="1" w:styleId="45">
    <w:name w:val="样式1"/>
    <w:basedOn w:val="9"/>
    <w:qFormat/>
    <w:uiPriority w:val="0"/>
    <w:pPr>
      <w:tabs>
        <w:tab w:val="right" w:leader="dot" w:pos="8845"/>
      </w:tabs>
      <w:ind w:left="840" w:leftChars="400"/>
    </w:pPr>
    <w:rPr>
      <w:rFonts w:ascii="Arial" w:hAnsi="Arial" w:eastAsia="黑体"/>
      <w:sz w:val="30"/>
    </w:rPr>
  </w:style>
  <w:style w:type="paragraph" w:customStyle="1" w:styleId="46">
    <w:name w:val="WPSOffice手动目录 1"/>
    <w:qFormat/>
    <w:uiPriority w:val="0"/>
    <w:pPr>
      <w:ind w:leftChars="0"/>
    </w:pPr>
    <w:rPr>
      <w:rFonts w:ascii="Times New Roman" w:hAnsi="Times New Roman" w:eastAsia="黑体" w:cs="Times New Roman"/>
      <w:sz w:val="30"/>
      <w:szCs w:val="20"/>
    </w:rPr>
  </w:style>
  <w:style w:type="paragraph" w:customStyle="1" w:styleId="47">
    <w:name w:val="WPSOffice手动目录 2"/>
    <w:qFormat/>
    <w:uiPriority w:val="0"/>
    <w:pPr>
      <w:ind w:leftChars="200"/>
    </w:pPr>
    <w:rPr>
      <w:rFonts w:ascii="Times New Roman" w:hAnsi="Times New Roman" w:eastAsia="楷体_GB2312" w:cs="Times New Roman"/>
      <w:b/>
      <w:sz w:val="28"/>
      <w:szCs w:val="20"/>
    </w:rPr>
  </w:style>
  <w:style w:type="paragraph" w:customStyle="1" w:styleId="48">
    <w:name w:val="WPSOffice手动目录 3"/>
    <w:qFormat/>
    <w:uiPriority w:val="0"/>
    <w:pPr>
      <w:ind w:leftChars="400"/>
    </w:pPr>
    <w:rPr>
      <w:rFonts w:ascii="Times New Roman" w:hAnsi="Times New Roman" w:eastAsia="仿宋_GB2312" w:cs="Times New Roman"/>
      <w:sz w:val="24"/>
      <w:szCs w:val="20"/>
    </w:rPr>
  </w:style>
  <w:style w:type="paragraph" w:customStyle="1" w:styleId="4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0">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f39e2ed-6a03-41e7-85da-0775c50344ff}"/>
        <w:style w:val=""/>
        <w:category>
          <w:name w:val="常规"/>
          <w:gallery w:val="placeholder"/>
        </w:category>
        <w:types>
          <w:type w:val="bbPlcHdr"/>
        </w:types>
        <w:behaviors>
          <w:behavior w:val="content"/>
        </w:behaviors>
        <w:description w:val=""/>
        <w:guid w:val="{5f39e2ed-6a03-41e7-85da-0775c50344ff}"/>
      </w:docPartPr>
      <w:docPartBody>
        <w:p>
          <w:r>
            <w:rPr>
              <w:color w:val="808080"/>
            </w:rPr>
            <w:t>单击此处输入文字。</w:t>
          </w:r>
        </w:p>
      </w:docPartBody>
    </w:docPart>
    <w:docPart>
      <w:docPartPr>
        <w:name w:val="{da86f959-0e3b-4866-97af-9545d283dae3}"/>
        <w:style w:val=""/>
        <w:category>
          <w:name w:val="常规"/>
          <w:gallery w:val="placeholder"/>
        </w:category>
        <w:types>
          <w:type w:val="bbPlcHdr"/>
        </w:types>
        <w:behaviors>
          <w:behavior w:val="content"/>
        </w:behaviors>
        <w:description w:val=""/>
        <w:guid w:val="{da86f959-0e3b-4866-97af-9545d283dae3}"/>
      </w:docPartPr>
      <w:docPartBody>
        <w:p>
          <w:r>
            <w:rPr>
              <w:color w:val="808080"/>
            </w:rPr>
            <w:t>单击此处输入文字。</w:t>
          </w:r>
        </w:p>
      </w:docPartBody>
    </w:docPart>
    <w:docPart>
      <w:docPartPr>
        <w:name w:val="{17ac3d68-aa33-4e10-b739-a14ee98638dc}"/>
        <w:style w:val=""/>
        <w:category>
          <w:name w:val="常规"/>
          <w:gallery w:val="placeholder"/>
        </w:category>
        <w:types>
          <w:type w:val="bbPlcHdr"/>
        </w:types>
        <w:behaviors>
          <w:behavior w:val="content"/>
        </w:behaviors>
        <w:description w:val=""/>
        <w:guid w:val="{17ac3d68-aa33-4e10-b739-a14ee98638dc}"/>
      </w:docPartPr>
      <w:docPartBody>
        <w:p>
          <w:r>
            <w:rPr>
              <w:color w:val="808080"/>
            </w:rPr>
            <w:t>单击此处输入文字。</w:t>
          </w:r>
        </w:p>
      </w:docPartBody>
    </w:docPart>
    <w:docPart>
      <w:docPartPr>
        <w:name w:val="{f5026cb5-f8a0-42de-b5c2-228ec3be9081}"/>
        <w:style w:val=""/>
        <w:category>
          <w:name w:val="常规"/>
          <w:gallery w:val="placeholder"/>
        </w:category>
        <w:types>
          <w:type w:val="bbPlcHdr"/>
        </w:types>
        <w:behaviors>
          <w:behavior w:val="content"/>
        </w:behaviors>
        <w:description w:val=""/>
        <w:guid w:val="{f5026cb5-f8a0-42de-b5c2-228ec3be9081}"/>
      </w:docPartPr>
      <w:docPartBody>
        <w:p>
          <w:r>
            <w:rPr>
              <w:color w:val="808080"/>
            </w:rPr>
            <w:t>单击此处输入文字。</w:t>
          </w:r>
        </w:p>
      </w:docPartBody>
    </w:docPart>
    <w:docPart>
      <w:docPartPr>
        <w:name w:val="{cd39ab5a-d50b-42a4-83a0-1f74d15a7231}"/>
        <w:style w:val=""/>
        <w:category>
          <w:name w:val="常规"/>
          <w:gallery w:val="placeholder"/>
        </w:category>
        <w:types>
          <w:type w:val="bbPlcHdr"/>
        </w:types>
        <w:behaviors>
          <w:behavior w:val="content"/>
        </w:behaviors>
        <w:description w:val=""/>
        <w:guid w:val="{cd39ab5a-d50b-42a4-83a0-1f74d15a7231}"/>
      </w:docPartPr>
      <w:docPartBody>
        <w:p>
          <w:r>
            <w:rPr>
              <w:color w:val="808080"/>
            </w:rPr>
            <w:t>单击此处输入文字。</w:t>
          </w:r>
        </w:p>
      </w:docPartBody>
    </w:docPart>
    <w:docPart>
      <w:docPartPr>
        <w:name w:val="{7dfc9ad5-39ed-41c0-9e48-2fdc52851dde}"/>
        <w:style w:val=""/>
        <w:category>
          <w:name w:val="常规"/>
          <w:gallery w:val="placeholder"/>
        </w:category>
        <w:types>
          <w:type w:val="bbPlcHdr"/>
        </w:types>
        <w:behaviors>
          <w:behavior w:val="content"/>
        </w:behaviors>
        <w:description w:val=""/>
        <w:guid w:val="{7dfc9ad5-39ed-41c0-9e48-2fdc52851dde}"/>
      </w:docPartPr>
      <w:docPartBody>
        <w:p>
          <w:r>
            <w:rPr>
              <w:color w:val="808080"/>
            </w:rPr>
            <w:t>单击此处输入文字。</w:t>
          </w:r>
        </w:p>
      </w:docPartBody>
    </w:docPart>
    <w:docPart>
      <w:docPartPr>
        <w:name w:val="{a1391c08-0204-40b1-9e15-434de94677a4}"/>
        <w:style w:val=""/>
        <w:category>
          <w:name w:val="常规"/>
          <w:gallery w:val="placeholder"/>
        </w:category>
        <w:types>
          <w:type w:val="bbPlcHdr"/>
        </w:types>
        <w:behaviors>
          <w:behavior w:val="content"/>
        </w:behaviors>
        <w:description w:val=""/>
        <w:guid w:val="{a1391c08-0204-40b1-9e15-434de94677a4}"/>
      </w:docPartPr>
      <w:docPartBody>
        <w:p>
          <w:r>
            <w:rPr>
              <w:color w:val="808080"/>
            </w:rPr>
            <w:t>单击此处输入文字。</w:t>
          </w:r>
        </w:p>
      </w:docPartBody>
    </w:docPart>
    <w:docPart>
      <w:docPartPr>
        <w:name w:val="{8cf7967c-30ef-4f32-9184-32bf5eb27886}"/>
        <w:style w:val=""/>
        <w:category>
          <w:name w:val="常规"/>
          <w:gallery w:val="placeholder"/>
        </w:category>
        <w:types>
          <w:type w:val="bbPlcHdr"/>
        </w:types>
        <w:behaviors>
          <w:behavior w:val="content"/>
        </w:behaviors>
        <w:description w:val=""/>
        <w:guid w:val="{8cf7967c-30ef-4f32-9184-32bf5eb27886}"/>
      </w:docPartPr>
      <w:docPartBody>
        <w:p>
          <w:r>
            <w:rPr>
              <w:color w:val="808080"/>
            </w:rPr>
            <w:t>单击此处输入文字。</w:t>
          </w:r>
        </w:p>
      </w:docPartBody>
    </w:docPart>
    <w:docPart>
      <w:docPartPr>
        <w:name w:val="{dc27a809-0321-4214-b32f-b899e6a44fa3}"/>
        <w:style w:val=""/>
        <w:category>
          <w:name w:val="常规"/>
          <w:gallery w:val="placeholder"/>
        </w:category>
        <w:types>
          <w:type w:val="bbPlcHdr"/>
        </w:types>
        <w:behaviors>
          <w:behavior w:val="content"/>
        </w:behaviors>
        <w:description w:val=""/>
        <w:guid w:val="{dc27a809-0321-4214-b32f-b899e6a44fa3}"/>
      </w:docPartPr>
      <w:docPartBody>
        <w:p>
          <w:r>
            <w:rPr>
              <w:color w:val="808080"/>
            </w:rPr>
            <w:t>单击此处输入文字。</w:t>
          </w:r>
        </w:p>
      </w:docPartBody>
    </w:docPart>
    <w:docPart>
      <w:docPartPr>
        <w:name w:val="{63f5b91d-be02-4ed1-bc13-119d885f0c97}"/>
        <w:style w:val=""/>
        <w:category>
          <w:name w:val="常规"/>
          <w:gallery w:val="placeholder"/>
        </w:category>
        <w:types>
          <w:type w:val="bbPlcHdr"/>
        </w:types>
        <w:behaviors>
          <w:behavior w:val="content"/>
        </w:behaviors>
        <w:description w:val=""/>
        <w:guid w:val="{63f5b91d-be02-4ed1-bc13-119d885f0c97}"/>
      </w:docPartPr>
      <w:docPartBody>
        <w:p>
          <w:r>
            <w:rPr>
              <w:color w:val="808080"/>
            </w:rPr>
            <w:t>单击此处输入文字。</w:t>
          </w:r>
        </w:p>
      </w:docPartBody>
    </w:docPart>
    <w:docPart>
      <w:docPartPr>
        <w:name w:val="{396bc59c-683e-492b-9d47-6b51285bc477}"/>
        <w:style w:val=""/>
        <w:category>
          <w:name w:val="常规"/>
          <w:gallery w:val="placeholder"/>
        </w:category>
        <w:types>
          <w:type w:val="bbPlcHdr"/>
        </w:types>
        <w:behaviors>
          <w:behavior w:val="content"/>
        </w:behaviors>
        <w:description w:val=""/>
        <w:guid w:val="{396bc59c-683e-492b-9d47-6b51285bc477}"/>
      </w:docPartPr>
      <w:docPartBody>
        <w:p>
          <w:r>
            <w:rPr>
              <w:color w:val="808080"/>
            </w:rPr>
            <w:t>单击此处输入文字。</w:t>
          </w:r>
        </w:p>
      </w:docPartBody>
    </w:docPart>
    <w:docPart>
      <w:docPartPr>
        <w:name w:val="{1f680373-32e1-437b-8cf2-924f7651432e}"/>
        <w:style w:val=""/>
        <w:category>
          <w:name w:val="常规"/>
          <w:gallery w:val="placeholder"/>
        </w:category>
        <w:types>
          <w:type w:val="bbPlcHdr"/>
        </w:types>
        <w:behaviors>
          <w:behavior w:val="content"/>
        </w:behaviors>
        <w:description w:val=""/>
        <w:guid w:val="{1f680373-32e1-437b-8cf2-924f7651432e}"/>
      </w:docPartPr>
      <w:docPartBody>
        <w:p>
          <w:r>
            <w:rPr>
              <w:color w:val="808080"/>
            </w:rPr>
            <w:t>单击此处输入文字。</w:t>
          </w:r>
        </w:p>
      </w:docPartBody>
    </w:docPart>
    <w:docPart>
      <w:docPartPr>
        <w:name w:val="{3ed3dee1-7ee8-405b-81b0-a32fbb8f9fe3}"/>
        <w:style w:val=""/>
        <w:category>
          <w:name w:val="常规"/>
          <w:gallery w:val="placeholder"/>
        </w:category>
        <w:types>
          <w:type w:val="bbPlcHdr"/>
        </w:types>
        <w:behaviors>
          <w:behavior w:val="content"/>
        </w:behaviors>
        <w:description w:val=""/>
        <w:guid w:val="{3ed3dee1-7ee8-405b-81b0-a32fbb8f9fe3}"/>
      </w:docPartPr>
      <w:docPartBody>
        <w:p>
          <w:r>
            <w:rPr>
              <w:color w:val="808080"/>
            </w:rPr>
            <w:t>单击此处输入文字。</w:t>
          </w:r>
        </w:p>
      </w:docPartBody>
    </w:docPart>
    <w:docPart>
      <w:docPartPr>
        <w:name w:val="{df3459ea-4040-4a0c-8265-166aec533834}"/>
        <w:style w:val=""/>
        <w:category>
          <w:name w:val="常规"/>
          <w:gallery w:val="placeholder"/>
        </w:category>
        <w:types>
          <w:type w:val="bbPlcHdr"/>
        </w:types>
        <w:behaviors>
          <w:behavior w:val="content"/>
        </w:behaviors>
        <w:description w:val=""/>
        <w:guid w:val="{df3459ea-4040-4a0c-8265-166aec533834}"/>
      </w:docPartPr>
      <w:docPartBody>
        <w:p>
          <w:r>
            <w:rPr>
              <w:color w:val="808080"/>
            </w:rPr>
            <w:t>单击此处输入文字。</w:t>
          </w:r>
        </w:p>
      </w:docPartBody>
    </w:docPart>
    <w:docPart>
      <w:docPartPr>
        <w:name w:val="{e42ff8dc-a649-48b7-9c38-2fdd2aac1f56}"/>
        <w:style w:val=""/>
        <w:category>
          <w:name w:val="常规"/>
          <w:gallery w:val="placeholder"/>
        </w:category>
        <w:types>
          <w:type w:val="bbPlcHdr"/>
        </w:types>
        <w:behaviors>
          <w:behavior w:val="content"/>
        </w:behaviors>
        <w:description w:val=""/>
        <w:guid w:val="{e42ff8dc-a649-48b7-9c38-2fdd2aac1f56}"/>
      </w:docPartPr>
      <w:docPartBody>
        <w:p>
          <w:r>
            <w:rPr>
              <w:color w:val="808080"/>
            </w:rPr>
            <w:t>单击此处输入文字。</w:t>
          </w:r>
        </w:p>
      </w:docPartBody>
    </w:docPart>
    <w:docPart>
      <w:docPartPr>
        <w:name w:val="{12ed251c-2b07-4ab4-844a-55f56ddb9150}"/>
        <w:style w:val=""/>
        <w:category>
          <w:name w:val="常规"/>
          <w:gallery w:val="placeholder"/>
        </w:category>
        <w:types>
          <w:type w:val="bbPlcHdr"/>
        </w:types>
        <w:behaviors>
          <w:behavior w:val="content"/>
        </w:behaviors>
        <w:description w:val=""/>
        <w:guid w:val="{12ed251c-2b07-4ab4-844a-55f56ddb9150}"/>
      </w:docPartPr>
      <w:docPartBody>
        <w:p>
          <w:r>
            <w:rPr>
              <w:color w:val="808080"/>
            </w:rPr>
            <w:t>单击此处输入文字。</w:t>
          </w:r>
        </w:p>
      </w:docPartBody>
    </w:docPart>
    <w:docPart>
      <w:docPartPr>
        <w:name w:val="{e1eeedf0-6a5a-40cf-94e6-ce41ef456809}"/>
        <w:style w:val=""/>
        <w:category>
          <w:name w:val="常规"/>
          <w:gallery w:val="placeholder"/>
        </w:category>
        <w:types>
          <w:type w:val="bbPlcHdr"/>
        </w:types>
        <w:behaviors>
          <w:behavior w:val="content"/>
        </w:behaviors>
        <w:description w:val=""/>
        <w:guid w:val="{e1eeedf0-6a5a-40cf-94e6-ce41ef456809}"/>
      </w:docPartPr>
      <w:docPartBody>
        <w:p>
          <w:r>
            <w:rPr>
              <w:color w:val="808080"/>
            </w:rPr>
            <w:t>单击此处输入文字。</w:t>
          </w:r>
        </w:p>
      </w:docPartBody>
    </w:docPart>
    <w:docPart>
      <w:docPartPr>
        <w:name w:val="{5faa6173-a912-46bf-a9c4-8e6dac5bc8fe}"/>
        <w:style w:val=""/>
        <w:category>
          <w:name w:val="常规"/>
          <w:gallery w:val="placeholder"/>
        </w:category>
        <w:types>
          <w:type w:val="bbPlcHdr"/>
        </w:types>
        <w:behaviors>
          <w:behavior w:val="content"/>
        </w:behaviors>
        <w:description w:val=""/>
        <w:guid w:val="{5faa6173-a912-46bf-a9c4-8e6dac5bc8fe}"/>
      </w:docPartPr>
      <w:docPartBody>
        <w:p>
          <w:r>
            <w:rPr>
              <w:color w:val="808080"/>
            </w:rPr>
            <w:t>单击此处输入文字。</w:t>
          </w:r>
        </w:p>
      </w:docPartBody>
    </w:docPart>
    <w:docPart>
      <w:docPartPr>
        <w:name w:val="{c88bc098-8d41-4c77-9c3f-4b09bd3fcfe0}"/>
        <w:style w:val=""/>
        <w:category>
          <w:name w:val="常规"/>
          <w:gallery w:val="placeholder"/>
        </w:category>
        <w:types>
          <w:type w:val="bbPlcHdr"/>
        </w:types>
        <w:behaviors>
          <w:behavior w:val="content"/>
        </w:behaviors>
        <w:description w:val=""/>
        <w:guid w:val="{c88bc098-8d41-4c77-9c3f-4b09bd3fcfe0}"/>
      </w:docPartPr>
      <w:docPartBody>
        <w:p>
          <w:r>
            <w:rPr>
              <w:color w:val="808080"/>
            </w:rPr>
            <w:t>单击此处输入文字。</w:t>
          </w:r>
        </w:p>
      </w:docPartBody>
    </w:docPart>
    <w:docPart>
      <w:docPartPr>
        <w:name w:val="{5e1b12a9-102c-466d-b2bf-c82db8a3efb8}"/>
        <w:style w:val=""/>
        <w:category>
          <w:name w:val="常规"/>
          <w:gallery w:val="placeholder"/>
        </w:category>
        <w:types>
          <w:type w:val="bbPlcHdr"/>
        </w:types>
        <w:behaviors>
          <w:behavior w:val="content"/>
        </w:behaviors>
        <w:description w:val=""/>
        <w:guid w:val="{5e1b12a9-102c-466d-b2bf-c82db8a3efb8}"/>
      </w:docPartPr>
      <w:docPartBody>
        <w:p>
          <w:r>
            <w:rPr>
              <w:color w:val="808080"/>
            </w:rPr>
            <w:t>单击此处输入文字。</w:t>
          </w:r>
        </w:p>
      </w:docPartBody>
    </w:docPart>
    <w:docPart>
      <w:docPartPr>
        <w:name w:val="{62df94a9-ab8a-4724-82b7-2c166d9b5c06}"/>
        <w:style w:val=""/>
        <w:category>
          <w:name w:val="常规"/>
          <w:gallery w:val="placeholder"/>
        </w:category>
        <w:types>
          <w:type w:val="bbPlcHdr"/>
        </w:types>
        <w:behaviors>
          <w:behavior w:val="content"/>
        </w:behaviors>
        <w:description w:val=""/>
        <w:guid w:val="{62df94a9-ab8a-4724-82b7-2c166d9b5c06}"/>
      </w:docPartPr>
      <w:docPartBody>
        <w:p>
          <w:r>
            <w:rPr>
              <w:color w:val="808080"/>
            </w:rPr>
            <w:t>单击此处输入文字。</w:t>
          </w:r>
        </w:p>
      </w:docPartBody>
    </w:docPart>
    <w:docPart>
      <w:docPartPr>
        <w:name w:val="{9684eef4-44a2-4dfa-bafc-cf33c930d3aa}"/>
        <w:style w:val=""/>
        <w:category>
          <w:name w:val="常规"/>
          <w:gallery w:val="placeholder"/>
        </w:category>
        <w:types>
          <w:type w:val="bbPlcHdr"/>
        </w:types>
        <w:behaviors>
          <w:behavior w:val="content"/>
        </w:behaviors>
        <w:description w:val=""/>
        <w:guid w:val="{9684eef4-44a2-4dfa-bafc-cf33c930d3aa}"/>
      </w:docPartPr>
      <w:docPartBody>
        <w:p>
          <w:r>
            <w:rPr>
              <w:color w:val="808080"/>
            </w:rPr>
            <w:t>单击此处输入文字。</w:t>
          </w:r>
        </w:p>
      </w:docPartBody>
    </w:docPart>
    <w:docPart>
      <w:docPartPr>
        <w:name w:val="{c4abd046-34f0-41a6-a62e-b3ac44f444bc}"/>
        <w:style w:val=""/>
        <w:category>
          <w:name w:val="常规"/>
          <w:gallery w:val="placeholder"/>
        </w:category>
        <w:types>
          <w:type w:val="bbPlcHdr"/>
        </w:types>
        <w:behaviors>
          <w:behavior w:val="content"/>
        </w:behaviors>
        <w:description w:val=""/>
        <w:guid w:val="{c4abd046-34f0-41a6-a62e-b3ac44f444bc}"/>
      </w:docPartPr>
      <w:docPartBody>
        <w:p>
          <w:r>
            <w:rPr>
              <w:color w:val="808080"/>
            </w:rPr>
            <w:t>单击此处输入文字。</w:t>
          </w:r>
        </w:p>
      </w:docPartBody>
    </w:docPart>
    <w:docPart>
      <w:docPartPr>
        <w:name w:val="{4cab1ba9-b860-4b9f-93d9-a588ceab8913}"/>
        <w:style w:val=""/>
        <w:category>
          <w:name w:val="常规"/>
          <w:gallery w:val="placeholder"/>
        </w:category>
        <w:types>
          <w:type w:val="bbPlcHdr"/>
        </w:types>
        <w:behaviors>
          <w:behavior w:val="content"/>
        </w:behaviors>
        <w:description w:val=""/>
        <w:guid w:val="{4cab1ba9-b860-4b9f-93d9-a588ceab8913}"/>
      </w:docPartPr>
      <w:docPartBody>
        <w:p>
          <w:r>
            <w:rPr>
              <w:color w:val="808080"/>
            </w:rPr>
            <w:t>单击此处输入文字。</w:t>
          </w:r>
        </w:p>
      </w:docPartBody>
    </w:docPart>
    <w:docPart>
      <w:docPartPr>
        <w:name w:val="{1cb2ca01-fe1b-4dc9-87c4-6e4fd108750e}"/>
        <w:style w:val=""/>
        <w:category>
          <w:name w:val="常规"/>
          <w:gallery w:val="placeholder"/>
        </w:category>
        <w:types>
          <w:type w:val="bbPlcHdr"/>
        </w:types>
        <w:behaviors>
          <w:behavior w:val="content"/>
        </w:behaviors>
        <w:description w:val=""/>
        <w:guid w:val="{1cb2ca01-fe1b-4dc9-87c4-6e4fd108750e}"/>
      </w:docPartPr>
      <w:docPartBody>
        <w:p>
          <w:r>
            <w:rPr>
              <w:color w:val="808080"/>
            </w:rPr>
            <w:t>单击此处输入文字。</w:t>
          </w:r>
        </w:p>
      </w:docPartBody>
    </w:docPart>
    <w:docPart>
      <w:docPartPr>
        <w:name w:val="{73901e68-56ea-4259-937d-0838b9713874}"/>
        <w:style w:val=""/>
        <w:category>
          <w:name w:val="常规"/>
          <w:gallery w:val="placeholder"/>
        </w:category>
        <w:types>
          <w:type w:val="bbPlcHdr"/>
        </w:types>
        <w:behaviors>
          <w:behavior w:val="content"/>
        </w:behaviors>
        <w:description w:val=""/>
        <w:guid w:val="{73901e68-56ea-4259-937d-0838b9713874}"/>
      </w:docPartPr>
      <w:docPartBody>
        <w:p>
          <w:r>
            <w:rPr>
              <w:color w:val="808080"/>
            </w:rPr>
            <w:t>单击此处输入文字。</w:t>
          </w:r>
        </w:p>
      </w:docPartBody>
    </w:docPart>
    <w:docPart>
      <w:docPartPr>
        <w:name w:val="{b04cc8c1-a03e-461c-971a-79549a9d309d}"/>
        <w:style w:val=""/>
        <w:category>
          <w:name w:val="常规"/>
          <w:gallery w:val="placeholder"/>
        </w:category>
        <w:types>
          <w:type w:val="bbPlcHdr"/>
        </w:types>
        <w:behaviors>
          <w:behavior w:val="content"/>
        </w:behaviors>
        <w:description w:val=""/>
        <w:guid w:val="{b04cc8c1-a03e-461c-971a-79549a9d309d}"/>
      </w:docPartPr>
      <w:docPartBody>
        <w:p>
          <w:r>
            <w:rPr>
              <w:color w:val="808080"/>
            </w:rPr>
            <w:t>单击此处输入文字。</w:t>
          </w:r>
        </w:p>
      </w:docPartBody>
    </w:docPart>
    <w:docPart>
      <w:docPartPr>
        <w:name w:val="{9a4fad8e-5469-49f5-896a-6f22592997cd}"/>
        <w:style w:val=""/>
        <w:category>
          <w:name w:val="常规"/>
          <w:gallery w:val="placeholder"/>
        </w:category>
        <w:types>
          <w:type w:val="bbPlcHdr"/>
        </w:types>
        <w:behaviors>
          <w:behavior w:val="content"/>
        </w:behaviors>
        <w:description w:val=""/>
        <w:guid w:val="{9a4fad8e-5469-49f5-896a-6f22592997cd}"/>
      </w:docPartPr>
      <w:docPartBody>
        <w:p>
          <w:r>
            <w:rPr>
              <w:color w:val="808080"/>
            </w:rPr>
            <w:t>单击此处输入文字。</w:t>
          </w:r>
        </w:p>
      </w:docPartBody>
    </w:docPart>
    <w:docPart>
      <w:docPartPr>
        <w:name w:val="{3e858dea-c7d9-4944-b84e-4c91f203ce24}"/>
        <w:style w:val=""/>
        <w:category>
          <w:name w:val="常规"/>
          <w:gallery w:val="placeholder"/>
        </w:category>
        <w:types>
          <w:type w:val="bbPlcHdr"/>
        </w:types>
        <w:behaviors>
          <w:behavior w:val="content"/>
        </w:behaviors>
        <w:description w:val=""/>
        <w:guid w:val="{3e858dea-c7d9-4944-b84e-4c91f203ce24}"/>
      </w:docPartPr>
      <w:docPartBody>
        <w:p>
          <w:r>
            <w:rPr>
              <w:color w:val="808080"/>
            </w:rPr>
            <w:t>单击此处输入文字。</w:t>
          </w:r>
        </w:p>
      </w:docPartBody>
    </w:docPart>
    <w:docPart>
      <w:docPartPr>
        <w:name w:val="{38f1d7a4-7852-464e-8d40-fe10ca0fa019}"/>
        <w:style w:val=""/>
        <w:category>
          <w:name w:val="常规"/>
          <w:gallery w:val="placeholder"/>
        </w:category>
        <w:types>
          <w:type w:val="bbPlcHdr"/>
        </w:types>
        <w:behaviors>
          <w:behavior w:val="content"/>
        </w:behaviors>
        <w:description w:val=""/>
        <w:guid w:val="{38f1d7a4-7852-464e-8d40-fe10ca0fa019}"/>
      </w:docPartPr>
      <w:docPartBody>
        <w:p>
          <w:r>
            <w:rPr>
              <w:color w:val="808080"/>
            </w:rPr>
            <w:t>单击此处输入文字。</w:t>
          </w:r>
        </w:p>
      </w:docPartBody>
    </w:docPart>
    <w:docPart>
      <w:docPartPr>
        <w:name w:val="{afefe07c-5458-4fae-9025-22fc99aedf66}"/>
        <w:style w:val=""/>
        <w:category>
          <w:name w:val="常规"/>
          <w:gallery w:val="placeholder"/>
        </w:category>
        <w:types>
          <w:type w:val="bbPlcHdr"/>
        </w:types>
        <w:behaviors>
          <w:behavior w:val="content"/>
        </w:behaviors>
        <w:description w:val=""/>
        <w:guid w:val="{afefe07c-5458-4fae-9025-22fc99aedf66}"/>
      </w:docPartPr>
      <w:docPartBody>
        <w:p>
          <w:r>
            <w:rPr>
              <w:color w:val="808080"/>
            </w:rPr>
            <w:t>单击此处输入文字。</w:t>
          </w:r>
        </w:p>
      </w:docPartBody>
    </w:docPart>
    <w:docPart>
      <w:docPartPr>
        <w:name w:val="{8d16d739-0efe-4b93-b215-07ff6991a134}"/>
        <w:style w:val=""/>
        <w:category>
          <w:name w:val="常规"/>
          <w:gallery w:val="placeholder"/>
        </w:category>
        <w:types>
          <w:type w:val="bbPlcHdr"/>
        </w:types>
        <w:behaviors>
          <w:behavior w:val="content"/>
        </w:behaviors>
        <w:description w:val=""/>
        <w:guid w:val="{8d16d739-0efe-4b93-b215-07ff6991a134}"/>
      </w:docPartPr>
      <w:docPartBody>
        <w:p>
          <w:r>
            <w:rPr>
              <w:color w:val="808080"/>
            </w:rPr>
            <w:t>单击此处输入文字。</w:t>
          </w:r>
        </w:p>
      </w:docPartBody>
    </w:docPart>
    <w:docPart>
      <w:docPartPr>
        <w:name w:val="{8e28782b-af9c-4b67-bbb6-be7711a3e40a}"/>
        <w:style w:val=""/>
        <w:category>
          <w:name w:val="常规"/>
          <w:gallery w:val="placeholder"/>
        </w:category>
        <w:types>
          <w:type w:val="bbPlcHdr"/>
        </w:types>
        <w:behaviors>
          <w:behavior w:val="content"/>
        </w:behaviors>
        <w:description w:val=""/>
        <w:guid w:val="{8e28782b-af9c-4b67-bbb6-be7711a3e40a}"/>
      </w:docPartPr>
      <w:docPartBody>
        <w:p>
          <w:r>
            <w:rPr>
              <w:color w:val="808080"/>
            </w:rPr>
            <w:t>单击此处输入文字。</w:t>
          </w:r>
        </w:p>
      </w:docPartBody>
    </w:docPart>
    <w:docPart>
      <w:docPartPr>
        <w:name w:val="{66858492-abc8-4210-95a1-09e264817aa6}"/>
        <w:style w:val=""/>
        <w:category>
          <w:name w:val="常规"/>
          <w:gallery w:val="placeholder"/>
        </w:category>
        <w:types>
          <w:type w:val="bbPlcHdr"/>
        </w:types>
        <w:behaviors>
          <w:behavior w:val="content"/>
        </w:behaviors>
        <w:description w:val=""/>
        <w:guid w:val="{66858492-abc8-4210-95a1-09e264817aa6}"/>
      </w:docPartPr>
      <w:docPartBody>
        <w:p>
          <w:r>
            <w:rPr>
              <w:color w:val="808080"/>
            </w:rPr>
            <w:t>单击此处输入文字。</w:t>
          </w:r>
        </w:p>
      </w:docPartBody>
    </w:docPart>
    <w:docPart>
      <w:docPartPr>
        <w:name w:val="{3c898d85-1f90-490e-b6ad-8f7d5a498334}"/>
        <w:style w:val=""/>
        <w:category>
          <w:name w:val="常规"/>
          <w:gallery w:val="placeholder"/>
        </w:category>
        <w:types>
          <w:type w:val="bbPlcHdr"/>
        </w:types>
        <w:behaviors>
          <w:behavior w:val="content"/>
        </w:behaviors>
        <w:description w:val=""/>
        <w:guid w:val="{3c898d85-1f90-490e-b6ad-8f7d5a498334}"/>
      </w:docPartPr>
      <w:docPartBody>
        <w:p>
          <w:r>
            <w:rPr>
              <w:color w:val="808080"/>
            </w:rPr>
            <w:t>单击此处输入文字。</w:t>
          </w:r>
        </w:p>
      </w:docPartBody>
    </w:docPart>
    <w:docPart>
      <w:docPartPr>
        <w:name w:val="{c29fdbef-b433-40e0-91b3-e18dc6e171f8}"/>
        <w:style w:val=""/>
        <w:category>
          <w:name w:val="常规"/>
          <w:gallery w:val="placeholder"/>
        </w:category>
        <w:types>
          <w:type w:val="bbPlcHdr"/>
        </w:types>
        <w:behaviors>
          <w:behavior w:val="content"/>
        </w:behaviors>
        <w:description w:val=""/>
        <w:guid w:val="{c29fdbef-b433-40e0-91b3-e18dc6e171f8}"/>
      </w:docPartPr>
      <w:docPartBody>
        <w:p>
          <w:r>
            <w:rPr>
              <w:color w:val="808080"/>
            </w:rPr>
            <w:t>单击此处输入文字。</w:t>
          </w:r>
        </w:p>
      </w:docPartBody>
    </w:docPart>
    <w:docPart>
      <w:docPartPr>
        <w:name w:val="{63f15de5-b6cc-4979-849e-3ba1e0a57d0f}"/>
        <w:style w:val=""/>
        <w:category>
          <w:name w:val="常规"/>
          <w:gallery w:val="placeholder"/>
        </w:category>
        <w:types>
          <w:type w:val="bbPlcHdr"/>
        </w:types>
        <w:behaviors>
          <w:behavior w:val="content"/>
        </w:behaviors>
        <w:description w:val=""/>
        <w:guid w:val="{63f15de5-b6cc-4979-849e-3ba1e0a57d0f}"/>
      </w:docPartPr>
      <w:docPartBody>
        <w:p>
          <w:r>
            <w:rPr>
              <w:color w:val="808080"/>
            </w:rPr>
            <w:t>单击此处输入文字。</w:t>
          </w:r>
        </w:p>
      </w:docPartBody>
    </w:docPart>
    <w:docPart>
      <w:docPartPr>
        <w:name w:val="{bb40b8b1-7c93-43a8-9a8f-d18d69979b8d}"/>
        <w:style w:val=""/>
        <w:category>
          <w:name w:val="常规"/>
          <w:gallery w:val="placeholder"/>
        </w:category>
        <w:types>
          <w:type w:val="bbPlcHdr"/>
        </w:types>
        <w:behaviors>
          <w:behavior w:val="content"/>
        </w:behaviors>
        <w:description w:val=""/>
        <w:guid w:val="{bb40b8b1-7c93-43a8-9a8f-d18d69979b8d}"/>
      </w:docPartPr>
      <w:docPartBody>
        <w:p>
          <w:r>
            <w:rPr>
              <w:color w:val="808080"/>
            </w:rPr>
            <w:t>单击此处输入文字。</w:t>
          </w:r>
        </w:p>
      </w:docPartBody>
    </w:docPart>
    <w:docPart>
      <w:docPartPr>
        <w:name w:val="{e9770397-a0b4-41bf-b8a6-ea936c245e09}"/>
        <w:style w:val=""/>
        <w:category>
          <w:name w:val="常规"/>
          <w:gallery w:val="placeholder"/>
        </w:category>
        <w:types>
          <w:type w:val="bbPlcHdr"/>
        </w:types>
        <w:behaviors>
          <w:behavior w:val="content"/>
        </w:behaviors>
        <w:description w:val=""/>
        <w:guid w:val="{e9770397-a0b4-41bf-b8a6-ea936c245e09}"/>
      </w:docPartPr>
      <w:docPartBody>
        <w:p>
          <w:r>
            <w:rPr>
              <w:color w:val="808080"/>
            </w:rPr>
            <w:t>单击此处输入文字。</w:t>
          </w:r>
        </w:p>
      </w:docPartBody>
    </w:docPart>
    <w:docPart>
      <w:docPartPr>
        <w:name w:val="{e008c4fc-3a7c-41b4-9e57-37fd858c89e6}"/>
        <w:style w:val=""/>
        <w:category>
          <w:name w:val="常规"/>
          <w:gallery w:val="placeholder"/>
        </w:category>
        <w:types>
          <w:type w:val="bbPlcHdr"/>
        </w:types>
        <w:behaviors>
          <w:behavior w:val="content"/>
        </w:behaviors>
        <w:description w:val=""/>
        <w:guid w:val="{e008c4fc-3a7c-41b4-9e57-37fd858c89e6}"/>
      </w:docPartPr>
      <w:docPartBody>
        <w:p>
          <w:r>
            <w:rPr>
              <w:color w:val="808080"/>
            </w:rPr>
            <w:t>单击此处输入文字。</w:t>
          </w:r>
        </w:p>
      </w:docPartBody>
    </w:docPart>
    <w:docPart>
      <w:docPartPr>
        <w:name w:val="{7968767a-fb78-49c5-a50b-7984dcde4ef8}"/>
        <w:style w:val=""/>
        <w:category>
          <w:name w:val="常规"/>
          <w:gallery w:val="placeholder"/>
        </w:category>
        <w:types>
          <w:type w:val="bbPlcHdr"/>
        </w:types>
        <w:behaviors>
          <w:behavior w:val="content"/>
        </w:behaviors>
        <w:description w:val=""/>
        <w:guid w:val="{7968767a-fb78-49c5-a50b-7984dcde4ef8}"/>
      </w:docPartPr>
      <w:docPartBody>
        <w:p>
          <w:r>
            <w:rPr>
              <w:color w:val="808080"/>
            </w:rPr>
            <w:t>单击此处输入文字。</w:t>
          </w:r>
        </w:p>
      </w:docPartBody>
    </w:docPart>
    <w:docPart>
      <w:docPartPr>
        <w:name w:val="{5e35d557-9bcb-44ab-921a-efdb5e81d383}"/>
        <w:style w:val=""/>
        <w:category>
          <w:name w:val="常规"/>
          <w:gallery w:val="placeholder"/>
        </w:category>
        <w:types>
          <w:type w:val="bbPlcHdr"/>
        </w:types>
        <w:behaviors>
          <w:behavior w:val="content"/>
        </w:behaviors>
        <w:description w:val=""/>
        <w:guid w:val="{5e35d557-9bcb-44ab-921a-efdb5e81d383}"/>
      </w:docPartPr>
      <w:docPartBody>
        <w:p>
          <w:r>
            <w:rPr>
              <w:color w:val="808080"/>
            </w:rPr>
            <w:t>单击此处输入文字。</w:t>
          </w:r>
        </w:p>
      </w:docPartBody>
    </w:docPart>
    <w:docPart>
      <w:docPartPr>
        <w:name w:val="{58501cb4-3ee3-4668-a76f-4b2b9524cf21}"/>
        <w:style w:val=""/>
        <w:category>
          <w:name w:val="常规"/>
          <w:gallery w:val="placeholder"/>
        </w:category>
        <w:types>
          <w:type w:val="bbPlcHdr"/>
        </w:types>
        <w:behaviors>
          <w:behavior w:val="content"/>
        </w:behaviors>
        <w:description w:val=""/>
        <w:guid w:val="{58501cb4-3ee3-4668-a76f-4b2b9524cf21}"/>
      </w:docPartPr>
      <w:docPartBody>
        <w:p>
          <w:r>
            <w:rPr>
              <w:color w:val="808080"/>
            </w:rPr>
            <w:t>单击此处输入文字。</w:t>
          </w:r>
        </w:p>
      </w:docPartBody>
    </w:docPart>
    <w:docPart>
      <w:docPartPr>
        <w:name w:val="{3f74c9a5-fd82-41c7-a03a-0ab5e122ac50}"/>
        <w:style w:val=""/>
        <w:category>
          <w:name w:val="常规"/>
          <w:gallery w:val="placeholder"/>
        </w:category>
        <w:types>
          <w:type w:val="bbPlcHdr"/>
        </w:types>
        <w:behaviors>
          <w:behavior w:val="content"/>
        </w:behaviors>
        <w:description w:val=""/>
        <w:guid w:val="{3f74c9a5-fd82-41c7-a03a-0ab5e122ac5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5439</Words>
  <Characters>31005</Characters>
  <Lines>258</Lines>
  <Paragraphs>72</Paragraphs>
  <TotalTime>20</TotalTime>
  <ScaleCrop>false</ScaleCrop>
  <LinksUpToDate>false</LinksUpToDate>
  <CharactersWithSpaces>36372</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2020-04-23T03:36:00Z</dcterms:created>
  <dc:creator>牟敬锋</dc:creator>
  <cp:lastModifiedBy>joanne</cp:lastModifiedBy>
  <cp:lastPrinted>2022-02-02T03:35:00Z</cp:lastPrinted>
  <dcterms:modified xsi:type="dcterms:W3CDTF">2024-12-30T11:44:34Z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2CF038DE3BA8EDEE22177267074998A9</vt:lpwstr>
  </property>
</Properties>
</file>