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shd w:val="clear"/>
        <w:kinsoku/>
        <w:wordWrap/>
        <w:overflowPunct/>
        <w:topLinePunct w:val="0"/>
        <w:autoSpaceDE/>
        <w:autoSpaceDN/>
        <w:bidi w:val="0"/>
        <w:adjustRightInd/>
        <w:snapToGrid/>
        <w:spacing w:before="0" w:after="0" w:line="560" w:lineRule="exact"/>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0" w:name="_Hlk80315015"/>
      <w:bookmarkEnd w:id="0"/>
      <w:bookmarkStart w:id="1" w:name="_Toc1476844678_WPSOffice_Level1"/>
      <w:bookmarkStart w:id="2" w:name="_Toc65068719"/>
      <w:bookmarkStart w:id="3" w:name="_Toc1316971512"/>
      <w:bookmarkStart w:id="4" w:name="_Toc546983456"/>
      <w:r>
        <w:rPr>
          <w:rFonts w:hint="eastAsia" w:ascii="楷体_GB2312" w:hAnsi="楷体_GB2312" w:eastAsia="楷体_GB2312" w:cs="楷体_GB2312"/>
          <w:b w:val="0"/>
          <w:bCs w:val="0"/>
          <w:color w:val="auto"/>
          <w:sz w:val="32"/>
          <w:szCs w:val="32"/>
          <w:highlight w:val="none"/>
          <w:lang w:eastAsia="zh-CN"/>
        </w:rPr>
        <w:t>附件</w:t>
      </w:r>
      <w:r>
        <w:rPr>
          <w:rFonts w:hint="eastAsia" w:ascii="楷体_GB2312" w:hAnsi="楷体_GB2312" w:eastAsia="楷体_GB2312" w:cs="楷体_GB2312"/>
          <w:b w:val="0"/>
          <w:bCs w:val="0"/>
          <w:color w:val="auto"/>
          <w:sz w:val="32"/>
          <w:szCs w:val="32"/>
          <w:highlight w:val="none"/>
          <w:lang w:val="en-US" w:eastAsia="zh-CN"/>
        </w:rPr>
        <w:t>2：</w:t>
      </w:r>
    </w:p>
    <w:p>
      <w:pPr>
        <w:pStyle w:val="6"/>
        <w:shd w:val="clear"/>
        <w:rPr>
          <w:rFonts w:ascii="方正小标宋_GBK" w:eastAsia="方正小标宋_GBK"/>
          <w:color w:val="auto"/>
          <w:sz w:val="44"/>
          <w:szCs w:val="44"/>
          <w:highlight w:val="none"/>
        </w:rPr>
      </w:pPr>
    </w:p>
    <w:p>
      <w:pPr>
        <w:pStyle w:val="3"/>
        <w:shd w:val="clear"/>
        <w:outlineLvl w:val="9"/>
        <w:rPr>
          <w:color w:val="auto"/>
          <w:highlight w:val="none"/>
        </w:rPr>
      </w:pPr>
    </w:p>
    <w:p>
      <w:pPr>
        <w:shd w:val="clear"/>
        <w:spacing w:line="56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深圳市</w:t>
      </w:r>
      <w:r>
        <w:rPr>
          <w:rFonts w:hint="eastAsia" w:ascii="方正小标宋_GBK" w:eastAsia="方正小标宋_GBK"/>
          <w:color w:val="auto"/>
          <w:sz w:val="44"/>
          <w:szCs w:val="44"/>
          <w:highlight w:val="none"/>
          <w:lang w:eastAsia="zh-CN"/>
        </w:rPr>
        <w:t>光明区</w:t>
      </w:r>
      <w:r>
        <w:rPr>
          <w:rFonts w:hint="eastAsia" w:ascii="方正小标宋_GBK" w:eastAsia="方正小标宋_GBK"/>
          <w:color w:val="auto"/>
          <w:sz w:val="44"/>
          <w:szCs w:val="44"/>
          <w:highlight w:val="none"/>
        </w:rPr>
        <w:t>卫生健康事业发展</w:t>
      </w:r>
    </w:p>
    <w:p>
      <w:pPr>
        <w:shd w:val="clear"/>
        <w:spacing w:line="56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“十四五”规划编制说明</w:t>
      </w: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widowControl/>
        <w:shd w:val="clear"/>
        <w:spacing w:line="578" w:lineRule="exact"/>
        <w:jc w:val="center"/>
        <w:rPr>
          <w:rFonts w:ascii="方正小标宋_GBK" w:eastAsia="方正小标宋_GBK"/>
          <w:color w:val="auto"/>
          <w:sz w:val="36"/>
          <w:szCs w:val="36"/>
          <w:highlight w:val="none"/>
        </w:rPr>
      </w:pPr>
    </w:p>
    <w:p>
      <w:pPr>
        <w:pStyle w:val="6"/>
        <w:shd w:val="clear"/>
        <w:rPr>
          <w:rFonts w:ascii="方正小标宋_GBK" w:eastAsia="方正小标宋_GBK"/>
          <w:color w:val="auto"/>
          <w:sz w:val="36"/>
          <w:szCs w:val="36"/>
          <w:highlight w:val="none"/>
        </w:rPr>
      </w:pPr>
    </w:p>
    <w:p>
      <w:pPr>
        <w:pStyle w:val="3"/>
        <w:shd w:val="clear"/>
        <w:outlineLvl w:val="9"/>
        <w:rPr>
          <w:rFonts w:ascii="方正小标宋_GBK" w:eastAsia="方正小标宋_GBK"/>
          <w:color w:val="auto"/>
          <w:sz w:val="36"/>
          <w:szCs w:val="36"/>
          <w:highlight w:val="none"/>
        </w:rPr>
      </w:pPr>
    </w:p>
    <w:p>
      <w:pPr>
        <w:pStyle w:val="3"/>
        <w:shd w:val="clear"/>
        <w:jc w:val="both"/>
        <w:outlineLvl w:val="9"/>
        <w:rPr>
          <w:color w:val="auto"/>
          <w:highlight w:val="none"/>
        </w:rPr>
      </w:pPr>
    </w:p>
    <w:p>
      <w:pPr>
        <w:shd w:val="clear"/>
        <w:adjustRightInd w:val="0"/>
        <w:snapToGrid w:val="0"/>
        <w:spacing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深圳市</w:t>
      </w:r>
      <w:r>
        <w:rPr>
          <w:rFonts w:hint="eastAsia" w:ascii="楷体_GB2312" w:hAnsi="楷体_GB2312" w:eastAsia="楷体_GB2312" w:cs="楷体_GB2312"/>
          <w:color w:val="auto"/>
          <w:sz w:val="32"/>
          <w:szCs w:val="32"/>
          <w:highlight w:val="none"/>
          <w:lang w:eastAsia="zh-CN"/>
        </w:rPr>
        <w:t>光明区卫生健康局</w:t>
      </w:r>
    </w:p>
    <w:p>
      <w:pPr>
        <w:pStyle w:val="6"/>
        <w:shd w:val="clear"/>
        <w:spacing w:after="0" w:line="560" w:lineRule="exact"/>
        <w:jc w:val="center"/>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2022年</w:t>
      </w: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lang w:eastAsia="zh-CN"/>
        </w:rPr>
        <w:t>月</w:t>
      </w:r>
    </w:p>
    <w:bookmarkEnd w:id="1"/>
    <w:bookmarkEnd w:id="2"/>
    <w:bookmarkEnd w:id="3"/>
    <w:bookmarkEnd w:id="4"/>
    <w:p>
      <w:pPr>
        <w:widowControl w:val="0"/>
        <w:shd w:val="clear"/>
        <w:spacing w:line="560" w:lineRule="exact"/>
        <w:jc w:val="center"/>
        <w:rPr>
          <w:rFonts w:hint="eastAsia" w:eastAsia="黑体" w:cs="黑体"/>
          <w:color w:val="auto"/>
          <w:sz w:val="40"/>
          <w:szCs w:val="48"/>
          <w:highlight w:val="none"/>
        </w:rPr>
      </w:pPr>
      <w:bookmarkStart w:id="5" w:name="_Toc25583"/>
      <w:r>
        <w:rPr>
          <w:rFonts w:hint="eastAsia" w:eastAsia="黑体" w:cs="黑体"/>
          <w:color w:val="auto"/>
          <w:sz w:val="40"/>
          <w:szCs w:val="48"/>
          <w:highlight w:val="none"/>
        </w:rPr>
        <w:t>目录</w:t>
      </w:r>
    </w:p>
    <w:p>
      <w:pPr>
        <w:pStyle w:val="18"/>
        <w:shd w:val="clear"/>
        <w:tabs>
          <w:tab w:val="right" w:leader="dot" w:pos="8300"/>
        </w:tabs>
        <w:spacing w:line="560" w:lineRule="exact"/>
        <w:rPr>
          <w:rFonts w:hint="eastAsia" w:eastAsia="黑体" w:cs="黑体"/>
          <w:b/>
          <w:bCs/>
          <w:color w:val="auto"/>
          <w:sz w:val="28"/>
          <w:szCs w:val="28"/>
          <w:highlight w:val="none"/>
        </w:rPr>
      </w:pPr>
      <w:r>
        <w:rPr>
          <w:rFonts w:hint="eastAsia" w:eastAsia="黑体" w:cs="黑体"/>
          <w:b/>
          <w:bCs/>
          <w:color w:val="auto"/>
          <w:sz w:val="28"/>
          <w:szCs w:val="28"/>
          <w:highlight w:val="none"/>
        </w:rPr>
        <w:fldChar w:fldCharType="begin"/>
      </w:r>
      <w:r>
        <w:rPr>
          <w:rFonts w:hint="eastAsia" w:eastAsia="黑体" w:cs="黑体"/>
          <w:b/>
          <w:bCs/>
          <w:color w:val="auto"/>
          <w:sz w:val="28"/>
          <w:szCs w:val="28"/>
          <w:highlight w:val="none"/>
        </w:rPr>
        <w:instrText xml:space="preserve"> HYPERLINK \l _Toc27360_WPSOffice_Level1 </w:instrText>
      </w:r>
      <w:r>
        <w:rPr>
          <w:rFonts w:hint="eastAsia" w:eastAsia="黑体" w:cs="黑体"/>
          <w:b/>
          <w:bCs/>
          <w:color w:val="auto"/>
          <w:sz w:val="28"/>
          <w:szCs w:val="28"/>
          <w:highlight w:val="none"/>
        </w:rPr>
        <w:fldChar w:fldCharType="separate"/>
      </w:r>
      <w:r>
        <w:rPr>
          <w:rFonts w:hint="eastAsia" w:eastAsia="黑体" w:cs="黑体"/>
          <w:b/>
          <w:bCs/>
          <w:color w:val="auto"/>
          <w:sz w:val="28"/>
          <w:szCs w:val="28"/>
          <w:highlight w:val="none"/>
        </w:rPr>
        <w:t>一、编制背景</w:t>
      </w:r>
      <w:r>
        <w:rPr>
          <w:rFonts w:hint="eastAsia" w:eastAsia="黑体" w:cs="黑体"/>
          <w:b/>
          <w:bCs/>
          <w:color w:val="auto"/>
          <w:sz w:val="28"/>
          <w:szCs w:val="28"/>
          <w:highlight w:val="none"/>
        </w:rPr>
        <w:tab/>
      </w:r>
      <w:bookmarkStart w:id="6" w:name="_Toc27360_WPSOffice_Level1Page"/>
      <w:r>
        <w:rPr>
          <w:rFonts w:hint="eastAsia" w:eastAsia="黑体" w:cs="黑体"/>
          <w:b/>
          <w:bCs/>
          <w:color w:val="auto"/>
          <w:sz w:val="28"/>
          <w:szCs w:val="28"/>
          <w:highlight w:val="none"/>
        </w:rPr>
        <w:t>1</w:t>
      </w:r>
      <w:bookmarkEnd w:id="6"/>
      <w:r>
        <w:rPr>
          <w:rFonts w:hint="eastAsia" w:eastAsia="黑体" w:cs="黑体"/>
          <w:b/>
          <w:bCs/>
          <w:color w:val="auto"/>
          <w:sz w:val="28"/>
          <w:szCs w:val="28"/>
          <w:highlight w:val="none"/>
        </w:rPr>
        <w:fldChar w:fldCharType="end"/>
      </w:r>
    </w:p>
    <w:p>
      <w:pPr>
        <w:pStyle w:val="18"/>
        <w:shd w:val="clear"/>
        <w:tabs>
          <w:tab w:val="right" w:leader="dot" w:pos="8300"/>
        </w:tabs>
        <w:spacing w:line="560" w:lineRule="exact"/>
        <w:rPr>
          <w:rFonts w:hint="eastAsia" w:eastAsia="黑体" w:cs="黑体"/>
          <w:b/>
          <w:bCs/>
          <w:color w:val="auto"/>
          <w:sz w:val="28"/>
          <w:szCs w:val="28"/>
          <w:highlight w:val="none"/>
        </w:rPr>
      </w:pPr>
      <w:r>
        <w:rPr>
          <w:rFonts w:hint="eastAsia" w:eastAsia="黑体" w:cs="黑体"/>
          <w:b/>
          <w:bCs/>
          <w:color w:val="auto"/>
          <w:sz w:val="28"/>
          <w:szCs w:val="28"/>
          <w:highlight w:val="none"/>
        </w:rPr>
        <w:fldChar w:fldCharType="begin"/>
      </w:r>
      <w:r>
        <w:rPr>
          <w:rFonts w:hint="eastAsia" w:eastAsia="黑体" w:cs="黑体"/>
          <w:b/>
          <w:bCs/>
          <w:color w:val="auto"/>
          <w:sz w:val="28"/>
          <w:szCs w:val="28"/>
          <w:highlight w:val="none"/>
        </w:rPr>
        <w:instrText xml:space="preserve"> HYPERLINK \l _Toc5365_WPSOffice_Level1 </w:instrText>
      </w:r>
      <w:r>
        <w:rPr>
          <w:rFonts w:hint="eastAsia" w:eastAsia="黑体" w:cs="黑体"/>
          <w:b/>
          <w:bCs/>
          <w:color w:val="auto"/>
          <w:sz w:val="28"/>
          <w:szCs w:val="28"/>
          <w:highlight w:val="none"/>
        </w:rPr>
        <w:fldChar w:fldCharType="separate"/>
      </w:r>
      <w:r>
        <w:rPr>
          <w:rFonts w:hint="eastAsia" w:eastAsia="黑体" w:cs="黑体"/>
          <w:b/>
          <w:bCs/>
          <w:color w:val="auto"/>
          <w:sz w:val="28"/>
          <w:szCs w:val="28"/>
          <w:highlight w:val="none"/>
          <w:lang w:eastAsia="zh-CN"/>
        </w:rPr>
        <w:t>二</w:t>
      </w:r>
      <w:r>
        <w:rPr>
          <w:rFonts w:hint="eastAsia" w:eastAsia="黑体" w:cs="黑体"/>
          <w:b/>
          <w:bCs/>
          <w:color w:val="auto"/>
          <w:sz w:val="28"/>
          <w:szCs w:val="28"/>
          <w:highlight w:val="none"/>
        </w:rPr>
        <w:t>、编制过程</w:t>
      </w:r>
      <w:r>
        <w:rPr>
          <w:rFonts w:hint="eastAsia" w:eastAsia="黑体" w:cs="黑体"/>
          <w:b/>
          <w:bCs/>
          <w:color w:val="auto"/>
          <w:sz w:val="28"/>
          <w:szCs w:val="28"/>
          <w:highlight w:val="none"/>
        </w:rPr>
        <w:tab/>
      </w:r>
      <w:bookmarkStart w:id="7" w:name="_Toc5365_WPSOffice_Level1Page"/>
      <w:r>
        <w:rPr>
          <w:rFonts w:hint="eastAsia" w:eastAsia="黑体" w:cs="黑体"/>
          <w:b/>
          <w:bCs/>
          <w:color w:val="auto"/>
          <w:sz w:val="28"/>
          <w:szCs w:val="28"/>
          <w:highlight w:val="none"/>
        </w:rPr>
        <w:t>3</w:t>
      </w:r>
      <w:bookmarkEnd w:id="7"/>
      <w:r>
        <w:rPr>
          <w:rFonts w:hint="eastAsia" w:eastAsia="黑体" w:cs="黑体"/>
          <w:b/>
          <w:bCs/>
          <w:color w:val="auto"/>
          <w:sz w:val="28"/>
          <w:szCs w:val="28"/>
          <w:highlight w:val="none"/>
        </w:rPr>
        <w:fldChar w:fldCharType="end"/>
      </w:r>
    </w:p>
    <w:p>
      <w:pPr>
        <w:pStyle w:val="16"/>
        <w:shd w:val="clear"/>
        <w:tabs>
          <w:tab w:val="right" w:leader="dot" w:pos="8306"/>
        </w:tabs>
        <w:spacing w:line="560" w:lineRule="exact"/>
        <w:ind w:left="420"/>
        <w:rPr>
          <w:rFonts w:hint="eastAsia" w:eastAsia="楷体_GB2312" w:cs="楷体_GB2312"/>
          <w:color w:val="auto"/>
          <w:sz w:val="28"/>
          <w:szCs w:val="28"/>
          <w:highlight w:val="none"/>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_Toc28143_WPSOffice_Level2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（一）组织规划起草</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2</w:t>
      </w:r>
      <w:r>
        <w:rPr>
          <w:rFonts w:hint="eastAsia" w:eastAsia="楷体_GB2312" w:cs="楷体_GB2312"/>
          <w:color w:val="auto"/>
          <w:sz w:val="28"/>
          <w:szCs w:val="28"/>
          <w:highlight w:val="none"/>
        </w:rPr>
        <w:fldChar w:fldCharType="end"/>
      </w:r>
    </w:p>
    <w:p>
      <w:pPr>
        <w:pStyle w:val="16"/>
        <w:shd w:val="clear"/>
        <w:tabs>
          <w:tab w:val="right" w:leader="dot" w:pos="8306"/>
        </w:tabs>
        <w:spacing w:line="560" w:lineRule="exact"/>
        <w:ind w:left="420"/>
        <w:rPr>
          <w:rFonts w:hint="default" w:eastAsia="楷体_GB2312" w:cs="楷体_GB2312"/>
          <w:color w:val="auto"/>
          <w:sz w:val="28"/>
          <w:szCs w:val="28"/>
          <w:highlight w:val="none"/>
          <w:lang w:val="en-US" w:eastAsia="zh-CN"/>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_Toc23732_WPSOffice_Level2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（二）组织专家论证</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2</w:t>
      </w:r>
      <w:r>
        <w:rPr>
          <w:rFonts w:hint="eastAsia" w:eastAsia="楷体_GB2312" w:cs="楷体_GB2312"/>
          <w:color w:val="auto"/>
          <w:sz w:val="28"/>
          <w:szCs w:val="28"/>
          <w:highlight w:val="none"/>
        </w:rPr>
        <w:fldChar w:fldCharType="end"/>
      </w:r>
    </w:p>
    <w:p>
      <w:pPr>
        <w:pStyle w:val="16"/>
        <w:shd w:val="clear"/>
        <w:tabs>
          <w:tab w:val="right" w:leader="dot" w:pos="8306"/>
        </w:tabs>
        <w:spacing w:line="560" w:lineRule="exact"/>
        <w:ind w:left="420"/>
        <w:rPr>
          <w:rFonts w:hint="eastAsia" w:eastAsia="楷体_GB2312" w:cs="楷体_GB2312"/>
          <w:color w:val="auto"/>
          <w:sz w:val="28"/>
          <w:szCs w:val="28"/>
          <w:highlight w:val="none"/>
          <w:lang w:val="en-US" w:eastAsia="zh-CN"/>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_Toc3387_WPSOffice_Level2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（三）</w:t>
      </w:r>
      <w:r>
        <w:rPr>
          <w:rFonts w:hint="eastAsia" w:eastAsia="楷体_GB2312" w:cs="楷体_GB2312"/>
          <w:color w:val="auto"/>
          <w:sz w:val="28"/>
          <w:szCs w:val="28"/>
          <w:highlight w:val="none"/>
          <w:lang w:eastAsia="zh-CN"/>
        </w:rPr>
        <w:t>广泛征求意见</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3</w:t>
      </w:r>
      <w:r>
        <w:rPr>
          <w:rFonts w:hint="eastAsia" w:eastAsia="楷体_GB2312" w:cs="楷体_GB2312"/>
          <w:color w:val="auto"/>
          <w:sz w:val="28"/>
          <w:szCs w:val="28"/>
          <w:highlight w:val="none"/>
        </w:rPr>
        <w:fldChar w:fldCharType="end"/>
      </w:r>
    </w:p>
    <w:p>
      <w:pPr>
        <w:pStyle w:val="16"/>
        <w:shd w:val="clear"/>
        <w:tabs>
          <w:tab w:val="right" w:leader="dot" w:pos="8306"/>
        </w:tabs>
        <w:spacing w:line="560" w:lineRule="exact"/>
        <w:ind w:left="420"/>
        <w:rPr>
          <w:rFonts w:hint="eastAsia" w:eastAsia="黑体" w:cs="黑体"/>
          <w:b/>
          <w:bCs/>
          <w:color w:val="auto"/>
          <w:sz w:val="28"/>
          <w:szCs w:val="28"/>
          <w:highlight w:val="none"/>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_Toc20499_WPSOffice_Level2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（四）积极推动落地</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3</w:t>
      </w:r>
      <w:r>
        <w:rPr>
          <w:rFonts w:hint="eastAsia" w:eastAsia="楷体_GB2312" w:cs="楷体_GB2312"/>
          <w:color w:val="auto"/>
          <w:sz w:val="28"/>
          <w:szCs w:val="28"/>
          <w:highlight w:val="none"/>
        </w:rPr>
        <w:fldChar w:fldCharType="end"/>
      </w:r>
    </w:p>
    <w:p>
      <w:pPr>
        <w:pStyle w:val="18"/>
        <w:shd w:val="clear"/>
        <w:tabs>
          <w:tab w:val="right" w:leader="dot" w:pos="8300"/>
        </w:tabs>
        <w:spacing w:line="560" w:lineRule="exact"/>
        <w:rPr>
          <w:rFonts w:hint="eastAsia" w:eastAsia="黑体" w:cs="黑体"/>
          <w:b/>
          <w:bCs/>
          <w:color w:val="auto"/>
          <w:sz w:val="28"/>
          <w:szCs w:val="28"/>
          <w:highlight w:val="none"/>
        </w:rPr>
      </w:pPr>
      <w:r>
        <w:rPr>
          <w:rFonts w:hint="eastAsia" w:eastAsia="黑体" w:cs="黑体"/>
          <w:b/>
          <w:bCs/>
          <w:color w:val="auto"/>
          <w:sz w:val="28"/>
          <w:szCs w:val="28"/>
          <w:highlight w:val="none"/>
        </w:rPr>
        <w:fldChar w:fldCharType="begin"/>
      </w:r>
      <w:r>
        <w:rPr>
          <w:rFonts w:hint="eastAsia" w:eastAsia="黑体" w:cs="黑体"/>
          <w:b/>
          <w:bCs/>
          <w:color w:val="auto"/>
          <w:sz w:val="28"/>
          <w:szCs w:val="28"/>
          <w:highlight w:val="none"/>
        </w:rPr>
        <w:instrText xml:space="preserve"> HYPERLINK \l _Toc31380_WPSOffice_Level1 </w:instrText>
      </w:r>
      <w:r>
        <w:rPr>
          <w:rFonts w:hint="eastAsia" w:eastAsia="黑体" w:cs="黑体"/>
          <w:b/>
          <w:bCs/>
          <w:color w:val="auto"/>
          <w:sz w:val="28"/>
          <w:szCs w:val="28"/>
          <w:highlight w:val="none"/>
        </w:rPr>
        <w:fldChar w:fldCharType="separate"/>
      </w:r>
      <w:r>
        <w:rPr>
          <w:rFonts w:hint="eastAsia" w:eastAsia="黑体" w:cs="黑体"/>
          <w:b/>
          <w:bCs/>
          <w:color w:val="auto"/>
          <w:sz w:val="28"/>
          <w:szCs w:val="28"/>
          <w:highlight w:val="none"/>
          <w:lang w:eastAsia="zh-CN"/>
        </w:rPr>
        <w:t>三</w:t>
      </w:r>
      <w:r>
        <w:rPr>
          <w:rFonts w:hint="eastAsia" w:eastAsia="黑体" w:cs="黑体"/>
          <w:b/>
          <w:bCs/>
          <w:color w:val="auto"/>
          <w:sz w:val="28"/>
          <w:szCs w:val="28"/>
          <w:highlight w:val="none"/>
        </w:rPr>
        <w:t>、规划指标</w:t>
      </w:r>
      <w:r>
        <w:rPr>
          <w:rFonts w:hint="eastAsia" w:eastAsia="黑体" w:cs="黑体"/>
          <w:b/>
          <w:bCs/>
          <w:color w:val="auto"/>
          <w:sz w:val="28"/>
          <w:szCs w:val="28"/>
          <w:highlight w:val="none"/>
        </w:rPr>
        <w:tab/>
      </w:r>
      <w:r>
        <w:rPr>
          <w:rFonts w:hint="eastAsia" w:eastAsia="黑体" w:cs="黑体"/>
          <w:b/>
          <w:bCs/>
          <w:color w:val="auto"/>
          <w:sz w:val="28"/>
          <w:szCs w:val="28"/>
          <w:highlight w:val="none"/>
          <w:lang w:val="en-US" w:eastAsia="zh-CN"/>
        </w:rPr>
        <w:t>3</w:t>
      </w:r>
      <w:r>
        <w:rPr>
          <w:rFonts w:hint="eastAsia" w:eastAsia="黑体" w:cs="黑体"/>
          <w:b/>
          <w:bCs/>
          <w:color w:val="auto"/>
          <w:sz w:val="28"/>
          <w:szCs w:val="28"/>
          <w:highlight w:val="none"/>
        </w:rPr>
        <w:fldChar w:fldCharType="end"/>
      </w:r>
    </w:p>
    <w:p>
      <w:pPr>
        <w:pStyle w:val="18"/>
        <w:shd w:val="clear"/>
        <w:tabs>
          <w:tab w:val="right" w:leader="dot" w:pos="8300"/>
        </w:tabs>
        <w:spacing w:line="560" w:lineRule="exact"/>
        <w:rPr>
          <w:rFonts w:hint="eastAsia" w:eastAsia="黑体" w:cs="黑体"/>
          <w:b/>
          <w:bCs/>
          <w:color w:val="auto"/>
          <w:sz w:val="28"/>
          <w:szCs w:val="28"/>
          <w:highlight w:val="none"/>
        </w:rPr>
      </w:pPr>
      <w:r>
        <w:rPr>
          <w:rFonts w:hint="eastAsia" w:eastAsia="黑体" w:cs="黑体"/>
          <w:b/>
          <w:bCs/>
          <w:color w:val="auto"/>
          <w:sz w:val="28"/>
          <w:szCs w:val="28"/>
          <w:highlight w:val="none"/>
        </w:rPr>
        <w:fldChar w:fldCharType="begin"/>
      </w:r>
      <w:r>
        <w:rPr>
          <w:rFonts w:hint="eastAsia" w:eastAsia="黑体" w:cs="黑体"/>
          <w:b/>
          <w:bCs/>
          <w:color w:val="auto"/>
          <w:sz w:val="28"/>
          <w:szCs w:val="28"/>
          <w:highlight w:val="none"/>
        </w:rPr>
        <w:instrText xml:space="preserve"> HYPERLINK \l _Toc2414_WPSOffice_Level1 </w:instrText>
      </w:r>
      <w:r>
        <w:rPr>
          <w:rFonts w:hint="eastAsia" w:eastAsia="黑体" w:cs="黑体"/>
          <w:b/>
          <w:bCs/>
          <w:color w:val="auto"/>
          <w:sz w:val="28"/>
          <w:szCs w:val="28"/>
          <w:highlight w:val="none"/>
        </w:rPr>
        <w:fldChar w:fldCharType="separate"/>
      </w:r>
      <w:r>
        <w:rPr>
          <w:rFonts w:hint="eastAsia" w:eastAsia="黑体" w:cs="黑体"/>
          <w:b/>
          <w:bCs/>
          <w:color w:val="auto"/>
          <w:sz w:val="28"/>
          <w:szCs w:val="28"/>
          <w:highlight w:val="none"/>
          <w:lang w:eastAsia="zh-CN"/>
        </w:rPr>
        <w:t>四</w:t>
      </w:r>
      <w:r>
        <w:rPr>
          <w:rFonts w:hint="eastAsia" w:eastAsia="黑体" w:cs="黑体"/>
          <w:b/>
          <w:bCs/>
          <w:color w:val="auto"/>
          <w:sz w:val="28"/>
          <w:szCs w:val="28"/>
          <w:highlight w:val="none"/>
        </w:rPr>
        <w:t>、规划主要内容</w:t>
      </w:r>
      <w:r>
        <w:rPr>
          <w:rFonts w:hint="eastAsia" w:eastAsia="黑体" w:cs="黑体"/>
          <w:b/>
          <w:bCs/>
          <w:color w:val="auto"/>
          <w:sz w:val="28"/>
          <w:szCs w:val="28"/>
          <w:highlight w:val="none"/>
        </w:rPr>
        <w:tab/>
      </w:r>
      <w:r>
        <w:rPr>
          <w:rFonts w:hint="eastAsia" w:eastAsia="黑体" w:cs="黑体"/>
          <w:b/>
          <w:bCs/>
          <w:color w:val="auto"/>
          <w:sz w:val="28"/>
          <w:szCs w:val="28"/>
          <w:highlight w:val="none"/>
          <w:lang w:val="en-US" w:eastAsia="zh-CN"/>
        </w:rPr>
        <w:t>5</w:t>
      </w:r>
      <w:r>
        <w:rPr>
          <w:rFonts w:hint="eastAsia" w:eastAsia="黑体" w:cs="黑体"/>
          <w:b/>
          <w:bCs/>
          <w:color w:val="auto"/>
          <w:sz w:val="28"/>
          <w:szCs w:val="28"/>
          <w:highlight w:val="none"/>
        </w:rPr>
        <w:fldChar w:fldCharType="end"/>
      </w:r>
    </w:p>
    <w:p>
      <w:pPr>
        <w:pStyle w:val="16"/>
        <w:shd w:val="clear"/>
        <w:tabs>
          <w:tab w:val="right" w:leader="dot" w:pos="8306"/>
        </w:tabs>
        <w:spacing w:line="560" w:lineRule="exact"/>
        <w:ind w:left="420"/>
        <w:rPr>
          <w:rFonts w:hint="eastAsia" w:eastAsia="楷体_GB2312" w:cs="楷体_GB2312"/>
          <w:color w:val="auto"/>
          <w:sz w:val="28"/>
          <w:szCs w:val="28"/>
          <w:highlight w:val="none"/>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_Toc28143_WPSOffice_Level2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（一）</w:t>
      </w:r>
      <w:r>
        <w:rPr>
          <w:rFonts w:hint="eastAsia" w:eastAsia="楷体_GB2312" w:cs="楷体_GB2312"/>
          <w:color w:val="auto"/>
          <w:sz w:val="28"/>
          <w:szCs w:val="28"/>
          <w:highlight w:val="none"/>
          <w:lang w:eastAsia="zh-CN"/>
        </w:rPr>
        <w:t>推动</w:t>
      </w:r>
      <w:r>
        <w:rPr>
          <w:rFonts w:hint="eastAsia" w:eastAsia="楷体_GB2312" w:cs="楷体_GB2312"/>
          <w:color w:val="auto"/>
          <w:sz w:val="28"/>
          <w:szCs w:val="28"/>
          <w:highlight w:val="none"/>
        </w:rPr>
        <w:t>公共卫生高质量发展</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4</w:t>
      </w:r>
      <w:r>
        <w:rPr>
          <w:rFonts w:hint="eastAsia" w:eastAsia="楷体_GB2312" w:cs="楷体_GB2312"/>
          <w:color w:val="auto"/>
          <w:sz w:val="28"/>
          <w:szCs w:val="28"/>
          <w:highlight w:val="none"/>
        </w:rPr>
        <w:fldChar w:fldCharType="end"/>
      </w:r>
    </w:p>
    <w:p>
      <w:pPr>
        <w:pStyle w:val="16"/>
        <w:shd w:val="clear"/>
        <w:tabs>
          <w:tab w:val="right" w:leader="dot" w:pos="8306"/>
        </w:tabs>
        <w:spacing w:line="560" w:lineRule="exact"/>
        <w:ind w:left="420"/>
        <w:rPr>
          <w:rFonts w:hint="eastAsia" w:eastAsia="楷体_GB2312" w:cs="楷体_GB2312"/>
          <w:color w:val="auto"/>
          <w:sz w:val="28"/>
          <w:szCs w:val="28"/>
          <w:highlight w:val="none"/>
          <w:lang w:val="en-US" w:eastAsia="zh-CN"/>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_Toc23732_WPSOffice_Level2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（二）健全医疗卫生服务体系</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1</w:t>
      </w:r>
      <w:r>
        <w:rPr>
          <w:rFonts w:hint="eastAsia" w:eastAsia="楷体_GB2312" w:cs="楷体_GB2312"/>
          <w:color w:val="auto"/>
          <w:sz w:val="28"/>
          <w:szCs w:val="28"/>
          <w:highlight w:val="none"/>
        </w:rPr>
        <w:fldChar w:fldCharType="end"/>
      </w:r>
      <w:r>
        <w:rPr>
          <w:rFonts w:hint="eastAsia" w:eastAsia="楷体_GB2312" w:cs="楷体_GB2312"/>
          <w:color w:val="auto"/>
          <w:sz w:val="28"/>
          <w:szCs w:val="28"/>
          <w:highlight w:val="none"/>
          <w:lang w:val="en-US" w:eastAsia="zh-CN"/>
        </w:rPr>
        <w:t>1</w:t>
      </w:r>
    </w:p>
    <w:p>
      <w:pPr>
        <w:pStyle w:val="16"/>
        <w:shd w:val="clear"/>
        <w:tabs>
          <w:tab w:val="right" w:leader="dot" w:pos="8306"/>
        </w:tabs>
        <w:spacing w:line="560" w:lineRule="exact"/>
        <w:ind w:left="420"/>
        <w:rPr>
          <w:rFonts w:hint="eastAsia" w:eastAsia="楷体_GB2312" w:cs="楷体_GB2312"/>
          <w:color w:val="auto"/>
          <w:sz w:val="28"/>
          <w:szCs w:val="28"/>
          <w:highlight w:val="none"/>
          <w:lang w:val="en-US" w:eastAsia="zh-CN"/>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_Toc3387_WPSOffice_Level2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（三）激活中医药传承创新动力</w:t>
      </w:r>
      <w:r>
        <w:rPr>
          <w:rFonts w:hint="eastAsia" w:eastAsia="楷体_GB2312" w:cs="楷体_GB2312"/>
          <w:color w:val="auto"/>
          <w:sz w:val="28"/>
          <w:szCs w:val="28"/>
          <w:highlight w:val="none"/>
        </w:rPr>
        <w:tab/>
      </w:r>
      <w:bookmarkStart w:id="8" w:name="_Toc3387_WPSOffice_Level2Page"/>
      <w:r>
        <w:rPr>
          <w:rFonts w:hint="eastAsia" w:eastAsia="楷体_GB2312" w:cs="楷体_GB2312"/>
          <w:color w:val="auto"/>
          <w:sz w:val="28"/>
          <w:szCs w:val="28"/>
          <w:highlight w:val="none"/>
        </w:rPr>
        <w:t>1</w:t>
      </w:r>
      <w:bookmarkEnd w:id="8"/>
      <w:r>
        <w:rPr>
          <w:rFonts w:hint="eastAsia" w:eastAsia="楷体_GB2312" w:cs="楷体_GB2312"/>
          <w:color w:val="auto"/>
          <w:sz w:val="28"/>
          <w:szCs w:val="28"/>
          <w:highlight w:val="none"/>
          <w:lang w:val="en-US" w:eastAsia="zh-CN"/>
        </w:rPr>
        <w:t>5</w:t>
      </w:r>
      <w:r>
        <w:rPr>
          <w:rFonts w:hint="eastAsia" w:eastAsia="楷体_GB2312" w:cs="楷体_GB2312"/>
          <w:color w:val="auto"/>
          <w:sz w:val="28"/>
          <w:szCs w:val="28"/>
          <w:highlight w:val="none"/>
        </w:rPr>
        <w:fldChar w:fldCharType="end"/>
      </w:r>
    </w:p>
    <w:p>
      <w:pPr>
        <w:pStyle w:val="16"/>
        <w:shd w:val="clear"/>
        <w:tabs>
          <w:tab w:val="right" w:leader="dot" w:pos="8306"/>
        </w:tabs>
        <w:spacing w:line="560" w:lineRule="exact"/>
        <w:ind w:left="420"/>
        <w:rPr>
          <w:rFonts w:hint="eastAsia" w:eastAsia="楷体_GB2312" w:cs="楷体_GB2312"/>
          <w:color w:val="auto"/>
          <w:sz w:val="28"/>
          <w:szCs w:val="28"/>
          <w:highlight w:val="none"/>
          <w:lang w:val="en-US" w:eastAsia="zh-CN"/>
        </w:rPr>
      </w:pPr>
      <w:r>
        <w:rPr>
          <w:rFonts w:hint="eastAsia" w:eastAsia="楷体_GB2312" w:cs="楷体_GB2312"/>
          <w:color w:val="auto"/>
          <w:sz w:val="28"/>
          <w:szCs w:val="28"/>
          <w:highlight w:val="none"/>
        </w:rPr>
        <w:fldChar w:fldCharType="begin"/>
      </w:r>
      <w:r>
        <w:rPr>
          <w:rFonts w:hint="eastAsia" w:eastAsia="楷体_GB2312" w:cs="楷体_GB2312"/>
          <w:color w:val="auto"/>
          <w:sz w:val="28"/>
          <w:szCs w:val="28"/>
          <w:highlight w:val="none"/>
        </w:rPr>
        <w:instrText xml:space="preserve"> HYPERLINK \l _Toc20499_WPSOffice_Level2 </w:instrText>
      </w:r>
      <w:r>
        <w:rPr>
          <w:rFonts w:hint="eastAsia" w:eastAsia="楷体_GB2312" w:cs="楷体_GB2312"/>
          <w:color w:val="auto"/>
          <w:sz w:val="28"/>
          <w:szCs w:val="28"/>
          <w:highlight w:val="none"/>
        </w:rPr>
        <w:fldChar w:fldCharType="separate"/>
      </w:r>
      <w:r>
        <w:rPr>
          <w:rFonts w:hint="eastAsia" w:eastAsia="楷体_GB2312" w:cs="楷体_GB2312"/>
          <w:color w:val="auto"/>
          <w:sz w:val="28"/>
          <w:szCs w:val="28"/>
          <w:highlight w:val="none"/>
        </w:rPr>
        <w:t>（四）</w:t>
      </w:r>
      <w:r>
        <w:rPr>
          <w:rFonts w:hint="eastAsia" w:eastAsia="楷体_GB2312" w:cs="楷体_GB2312"/>
          <w:color w:val="auto"/>
          <w:sz w:val="28"/>
          <w:szCs w:val="28"/>
          <w:highlight w:val="none"/>
          <w:lang w:eastAsia="zh-CN"/>
        </w:rPr>
        <w:t>提升卫生健康可持续发展能力</w:t>
      </w:r>
      <w:r>
        <w:rPr>
          <w:rFonts w:hint="eastAsia" w:eastAsia="楷体_GB2312" w:cs="楷体_GB2312"/>
          <w:color w:val="auto"/>
          <w:sz w:val="28"/>
          <w:szCs w:val="28"/>
          <w:highlight w:val="none"/>
        </w:rPr>
        <w:tab/>
      </w:r>
      <w:r>
        <w:rPr>
          <w:rFonts w:hint="eastAsia" w:eastAsia="楷体_GB2312" w:cs="楷体_GB2312"/>
          <w:color w:val="auto"/>
          <w:sz w:val="28"/>
          <w:szCs w:val="28"/>
          <w:highlight w:val="none"/>
          <w:lang w:val="en-US" w:eastAsia="zh-CN"/>
        </w:rPr>
        <w:t>2</w:t>
      </w:r>
      <w:r>
        <w:rPr>
          <w:rFonts w:hint="eastAsia" w:eastAsia="楷体_GB2312" w:cs="楷体_GB2312"/>
          <w:color w:val="auto"/>
          <w:sz w:val="28"/>
          <w:szCs w:val="28"/>
          <w:highlight w:val="none"/>
        </w:rPr>
        <w:fldChar w:fldCharType="end"/>
      </w:r>
      <w:r>
        <w:rPr>
          <w:rFonts w:hint="eastAsia" w:eastAsia="楷体_GB2312" w:cs="楷体_GB2312"/>
          <w:color w:val="auto"/>
          <w:sz w:val="28"/>
          <w:szCs w:val="28"/>
          <w:highlight w:val="none"/>
          <w:lang w:val="en-US" w:eastAsia="zh-CN"/>
        </w:rPr>
        <w:t>0</w:t>
      </w:r>
    </w:p>
    <w:p>
      <w:pPr>
        <w:pStyle w:val="3"/>
        <w:shd w:val="clear"/>
        <w:rPr>
          <w:rFonts w:hint="eastAsia"/>
          <w:color w:val="auto"/>
          <w:highlight w:val="none"/>
        </w:rPr>
      </w:pP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jc w:val="both"/>
        <w:textAlignment w:val="auto"/>
        <w:outlineLvl w:val="1"/>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2098" w:right="1800" w:bottom="1440" w:left="1587" w:header="851" w:footer="992" w:gutter="0"/>
          <w:pgNumType w:fmt="numberInDash" w:start="1"/>
          <w:cols w:space="720" w:num="1"/>
          <w:docGrid w:type="lines" w:linePitch="312" w:charSpace="0"/>
        </w:sectPr>
      </w:pPr>
    </w:p>
    <w:bookmarkEnd w:id="5"/>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val="0"/>
          <w:color w:val="auto"/>
          <w:sz w:val="44"/>
          <w:szCs w:val="44"/>
          <w:highlight w:val="none"/>
          <w:lang w:val="en-US" w:eastAsia="zh-CN"/>
        </w:rPr>
      </w:pPr>
      <w:r>
        <w:rPr>
          <w:rFonts w:hint="eastAsia" w:ascii="仿宋_GB2312" w:hAnsi="仿宋_GB2312" w:eastAsia="仿宋_GB2312" w:cs="仿宋_GB2312"/>
          <w:color w:val="auto"/>
          <w:sz w:val="32"/>
          <w:szCs w:val="32"/>
          <w:highlight w:val="none"/>
        </w:rPr>
        <w:t>为适应经济社会发展新要求，促进</w:t>
      </w: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区卫生健康事业全面、协调、可持续发展，不断提高人民群众健康水平，我局经过前期准备、专题调研、初稿起草、集中修改、专家</w:t>
      </w:r>
      <w:r>
        <w:rPr>
          <w:rFonts w:hint="eastAsia" w:ascii="仿宋_GB2312" w:hAnsi="仿宋_GB2312" w:eastAsia="仿宋_GB2312" w:cs="仿宋_GB2312"/>
          <w:color w:val="auto"/>
          <w:sz w:val="32"/>
          <w:szCs w:val="32"/>
          <w:highlight w:val="none"/>
          <w:lang w:eastAsia="zh-CN"/>
        </w:rPr>
        <w:t>研讨</w:t>
      </w:r>
      <w:r>
        <w:rPr>
          <w:rFonts w:hint="eastAsia" w:ascii="仿宋_GB2312" w:hAnsi="仿宋_GB2312" w:eastAsia="仿宋_GB2312" w:cs="仿宋_GB2312"/>
          <w:color w:val="auto"/>
          <w:sz w:val="32"/>
          <w:szCs w:val="32"/>
          <w:highlight w:val="none"/>
        </w:rPr>
        <w:t>和征求意见等阶段的具体工作，编制完成了《深圳市</w:t>
      </w: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区卫生健康事业发展“十四五”规划（</w:t>
      </w:r>
      <w:r>
        <w:rPr>
          <w:rFonts w:hint="eastAsia" w:ascii="仿宋_GB2312" w:hAnsi="仿宋_GB2312" w:eastAsia="仿宋_GB2312" w:cs="仿宋_GB2312"/>
          <w:color w:val="auto"/>
          <w:sz w:val="32"/>
          <w:szCs w:val="32"/>
          <w:highlight w:val="none"/>
          <w:lang w:eastAsia="zh-CN"/>
        </w:rPr>
        <w:t>送审</w:t>
      </w:r>
      <w:r>
        <w:rPr>
          <w:rFonts w:hint="eastAsia" w:ascii="仿宋_GB2312" w:hAnsi="仿宋_GB2312" w:eastAsia="仿宋_GB2312" w:cs="仿宋_GB2312"/>
          <w:color w:val="auto"/>
          <w:sz w:val="32"/>
          <w:szCs w:val="32"/>
          <w:highlight w:val="none"/>
        </w:rPr>
        <w:t>稿）》（以下简称《规划》）。现就有关情况说明如下：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编制背景</w:t>
      </w: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“十四五”时期，国家全面开启现代化强国建设新征程，深圳市进入建设中国特色社会主义先行示范区、粤港澳大湾区</w:t>
      </w:r>
      <w:r>
        <w:rPr>
          <w:rFonts w:hint="eastAsia" w:ascii="仿宋_GB2312" w:hAnsi="仿宋_GB2312" w:eastAsia="仿宋_GB2312" w:cs="仿宋_GB2312"/>
          <w:color w:val="auto"/>
          <w:sz w:val="32"/>
          <w:szCs w:val="32"/>
          <w:highlight w:val="none"/>
          <w:shd w:val="clear" w:color="auto" w:fill="FFFFFF"/>
        </w:rPr>
        <w:t>攻坚期，打造健康中国“深圳样本”</w:t>
      </w:r>
      <w:r>
        <w:rPr>
          <w:rFonts w:hint="eastAsia" w:ascii="仿宋_GB2312" w:hAnsi="仿宋_GB2312" w:eastAsia="仿宋_GB2312" w:cs="仿宋_GB2312"/>
          <w:color w:val="auto"/>
          <w:sz w:val="32"/>
          <w:szCs w:val="32"/>
          <w:highlight w:val="none"/>
          <w:shd w:val="clear" w:color="auto" w:fill="FFFFFF"/>
          <w:lang w:eastAsia="zh-CN"/>
        </w:rPr>
        <w:t>重要</w:t>
      </w:r>
      <w:r>
        <w:rPr>
          <w:rFonts w:hint="eastAsia" w:ascii="仿宋_GB2312" w:hAnsi="仿宋_GB2312" w:eastAsia="仿宋_GB2312" w:cs="仿宋_GB2312"/>
          <w:color w:val="auto"/>
          <w:sz w:val="32"/>
          <w:szCs w:val="32"/>
          <w:highlight w:val="none"/>
          <w:shd w:val="clear" w:color="auto" w:fill="FFFFFF"/>
        </w:rPr>
        <w:t>时期，</w:t>
      </w:r>
      <w:r>
        <w:rPr>
          <w:rFonts w:hint="eastAsia" w:ascii="仿宋_GB2312" w:hAnsi="仿宋_GB2312" w:eastAsia="仿宋_GB2312" w:cs="仿宋_GB2312"/>
          <w:color w:val="auto"/>
          <w:sz w:val="32"/>
          <w:szCs w:val="32"/>
          <w:highlight w:val="none"/>
        </w:rPr>
        <w:t>光明区迎来打造世界一流科学城、深圳北部中心起步期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光明</w:t>
      </w:r>
      <w:r>
        <w:rPr>
          <w:rFonts w:hint="eastAsia" w:ascii="仿宋_GB2312" w:hAnsi="仿宋_GB2312" w:eastAsia="仿宋_GB2312" w:cs="仿宋_GB2312"/>
          <w:color w:val="auto"/>
          <w:sz w:val="32"/>
          <w:szCs w:val="32"/>
          <w:highlight w:val="none"/>
          <w:shd w:val="clear" w:color="auto" w:fill="FFFFFF"/>
          <w:lang w:eastAsia="zh-CN"/>
        </w:rPr>
        <w:t>建设医疗卫生高地进入关键时期</w:t>
      </w:r>
      <w:r>
        <w:rPr>
          <w:rFonts w:hint="eastAsia" w:ascii="仿宋_GB2312" w:hAnsi="仿宋_GB2312" w:eastAsia="仿宋_GB2312" w:cs="仿宋_GB2312"/>
          <w:color w:val="auto"/>
          <w:kern w:val="2"/>
          <w:sz w:val="32"/>
          <w:szCs w:val="32"/>
          <w:highlight w:val="none"/>
          <w:lang w:val="en-US" w:eastAsia="zh-CN" w:bidi="ar-SA"/>
        </w:rPr>
        <w:t>。</w:t>
      </w: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以习近平新时代中国特色社会主义思想为指导，深入贯彻习近平总书记出席深圳经济特区建立40周年庆祝大会和视察广东、深圳重要讲话、重要指示精神，</w:t>
      </w:r>
      <w:r>
        <w:rPr>
          <w:rFonts w:hint="eastAsia" w:ascii="仿宋_GB2312" w:hAnsi="仿宋_GB2312" w:eastAsia="仿宋_GB2312" w:cs="仿宋_GB2312"/>
          <w:color w:val="auto"/>
          <w:sz w:val="32"/>
          <w:szCs w:val="32"/>
          <w:highlight w:val="none"/>
        </w:rPr>
        <w:t>围绕“以人民健康为中心”发展理念，以实现“健康光明”和“病有良医”为导向，</w:t>
      </w:r>
      <w:r>
        <w:rPr>
          <w:rFonts w:hint="eastAsia" w:ascii="仿宋_GB2312" w:hAnsi="宋体" w:eastAsia="仿宋_GB2312"/>
          <w:color w:val="auto"/>
          <w:kern w:val="0"/>
          <w:sz w:val="32"/>
          <w:szCs w:val="32"/>
          <w:highlight w:val="none"/>
        </w:rPr>
        <w:t>抓住“双区驱动”和世界一流科学城发展机遇，</w:t>
      </w:r>
      <w:r>
        <w:rPr>
          <w:rFonts w:hint="eastAsia" w:ascii="仿宋_GB2312" w:hAnsi="仿宋_GB2312" w:eastAsia="仿宋_GB2312" w:cs="仿宋_GB2312"/>
          <w:color w:val="auto"/>
          <w:sz w:val="32"/>
          <w:szCs w:val="32"/>
          <w:highlight w:val="none"/>
        </w:rPr>
        <w:t>深化光明区卫生健康事业建设和医疗卫生资源供给侧</w:t>
      </w:r>
      <w:r>
        <w:rPr>
          <w:rFonts w:hint="eastAsia" w:ascii="仿宋_GB2312" w:hAnsi="仿宋_GB2312" w:eastAsia="仿宋_GB2312" w:cs="仿宋_GB2312"/>
          <w:color w:val="auto"/>
          <w:sz w:val="32"/>
          <w:szCs w:val="32"/>
          <w:highlight w:val="none"/>
          <w:lang w:eastAsia="zh-CN"/>
        </w:rPr>
        <w:t>结构性</w:t>
      </w:r>
      <w:r>
        <w:rPr>
          <w:rFonts w:hint="eastAsia" w:ascii="仿宋_GB2312" w:hAnsi="仿宋_GB2312" w:eastAsia="仿宋_GB2312" w:cs="仿宋_GB2312"/>
          <w:color w:val="auto"/>
          <w:sz w:val="32"/>
          <w:szCs w:val="32"/>
          <w:highlight w:val="none"/>
        </w:rPr>
        <w:t>改革，补短板，强弱项，推动卫生健康事业</w:t>
      </w:r>
      <w:r>
        <w:rPr>
          <w:rFonts w:hint="eastAsia" w:ascii="仿宋_GB2312" w:hAnsi="仿宋_GB2312" w:eastAsia="仿宋_GB2312" w:cs="仿宋_GB2312"/>
          <w:color w:val="auto"/>
          <w:sz w:val="32"/>
          <w:szCs w:val="32"/>
          <w:highlight w:val="none"/>
          <w:lang w:eastAsia="zh-CN"/>
        </w:rPr>
        <w:t>高品质</w:t>
      </w:r>
      <w:r>
        <w:rPr>
          <w:rFonts w:hint="eastAsia" w:ascii="仿宋_GB2312" w:hAnsi="仿宋_GB2312" w:eastAsia="仿宋_GB2312" w:cs="仿宋_GB2312"/>
          <w:color w:val="auto"/>
          <w:sz w:val="32"/>
          <w:szCs w:val="32"/>
          <w:highlight w:val="none"/>
        </w:rPr>
        <w:t>发展，</w:t>
      </w:r>
      <w:r>
        <w:rPr>
          <w:rFonts w:hint="eastAsia" w:ascii="仿宋_GB2312" w:hAnsi="宋体" w:eastAsia="仿宋_GB2312"/>
          <w:color w:val="auto"/>
          <w:kern w:val="0"/>
          <w:sz w:val="32"/>
          <w:szCs w:val="32"/>
          <w:highlight w:val="none"/>
        </w:rPr>
        <w:t>服务光明区“五位一体”总体布局和“四个全面”战略布局，</w:t>
      </w:r>
      <w:r>
        <w:rPr>
          <w:rFonts w:hint="eastAsia" w:ascii="仿宋_GB2312" w:hAnsi="宋体" w:eastAsia="仿宋_GB2312"/>
          <w:color w:val="auto"/>
          <w:kern w:val="0"/>
          <w:sz w:val="32"/>
          <w:szCs w:val="32"/>
          <w:highlight w:val="none"/>
          <w:lang w:eastAsia="zh-CN"/>
        </w:rPr>
        <w:t>加快“健康光明”高质量高颜值落地，</w:t>
      </w:r>
      <w:r>
        <w:rPr>
          <w:rFonts w:hint="eastAsia" w:ascii="仿宋_GB2312" w:hAnsi="宋体" w:eastAsia="仿宋_GB2312"/>
          <w:color w:val="auto"/>
          <w:kern w:val="0"/>
          <w:sz w:val="32"/>
          <w:szCs w:val="32"/>
          <w:highlight w:val="none"/>
        </w:rPr>
        <w:t>积极探索融入粤港澳大湾区一体建设迈向</w:t>
      </w:r>
      <w:r>
        <w:rPr>
          <w:rFonts w:hint="eastAsia" w:ascii="仿宋_GB2312" w:hAnsi="仿宋_GB2312" w:eastAsia="仿宋_GB2312" w:cs="仿宋_GB2312"/>
          <w:color w:val="auto"/>
          <w:sz w:val="32"/>
          <w:szCs w:val="32"/>
          <w:highlight w:val="none"/>
        </w:rPr>
        <w:t>高端化、国际化，为建设世界一流科学城和深圳北部中心提供良好健康保障基础。</w:t>
      </w: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依据国务院发布《“健康中国2030”规划纲要》、广东省政府印发《健康广东行动》、深圳市政府印发《打造健康中国“深圳样本”实施意见》等国家、省、市关于卫生健康工作的决策部署，按照《中共深圳市光明区委关于制定光明区国民经济和社会发展第十四个五年规划和二〇三五年远景目标的建议》和《深圳市光明区国民经济和社会发展第十四个五年规划和二〇三五年远景目标纲要》对卫生健康工作的新要求，制定此规划，全力打造健康光明，助力世界一流科学城和深圳北部中心建设。</w:t>
      </w:r>
    </w:p>
    <w:p>
      <w:pPr>
        <w:pStyle w:val="12"/>
        <w:keepNext w:val="0"/>
        <w:keepLines w:val="0"/>
        <w:pageBreakBefore w:val="0"/>
        <w:widowControl w:val="0"/>
        <w:shd w:val="clear"/>
        <w:kinsoku/>
        <w:wordWrap/>
        <w:overflowPunct/>
        <w:topLinePunct w:val="0"/>
        <w:autoSpaceDN/>
        <w:bidi w:val="0"/>
        <w:adjustRightInd/>
        <w:snapToGrid/>
        <w:spacing w:line="560" w:lineRule="exact"/>
        <w:rPr>
          <w:rFonts w:hint="eastAsia"/>
          <w:color w:val="auto"/>
          <w:highlight w:val="none"/>
          <w:lang w:val="en-US" w:eastAsia="zh-CN"/>
        </w:rPr>
      </w:pPr>
      <w:bookmarkStart w:id="9" w:name="_Toc14266_WPSOffice_Level1"/>
      <w:bookmarkStart w:id="10" w:name="_Toc5365_WPSOffice_Level1"/>
      <w:bookmarkStart w:id="11" w:name="_Toc25498_WPSOffice_Level1"/>
      <w:r>
        <w:rPr>
          <w:rFonts w:hint="eastAsia" w:ascii="黑体" w:hAnsi="黑体" w:eastAsia="黑体"/>
          <w:color w:val="auto"/>
          <w:sz w:val="32"/>
          <w:szCs w:val="22"/>
          <w:highlight w:val="none"/>
          <w:lang w:eastAsia="zh-CN"/>
        </w:rPr>
        <w:t>二</w:t>
      </w:r>
      <w:r>
        <w:rPr>
          <w:rFonts w:hint="eastAsia" w:ascii="黑体" w:hAnsi="黑体" w:eastAsia="黑体"/>
          <w:color w:val="auto"/>
          <w:sz w:val="32"/>
          <w:szCs w:val="22"/>
          <w:highlight w:val="none"/>
        </w:rPr>
        <w:t>、编制过程</w:t>
      </w:r>
      <w:bookmarkEnd w:id="9"/>
      <w:bookmarkEnd w:id="10"/>
      <w:bookmarkEnd w:id="11"/>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val="0"/>
          <w:color w:val="auto"/>
          <w:sz w:val="32"/>
          <w:szCs w:val="22"/>
          <w:highlight w:val="none"/>
        </w:rPr>
        <w:t>（一）</w:t>
      </w:r>
      <w:r>
        <w:rPr>
          <w:rFonts w:hint="eastAsia" w:ascii="楷体_GB2312" w:hAnsi="楷体_GB2312" w:eastAsia="楷体_GB2312" w:cs="楷体_GB2312"/>
          <w:b/>
          <w:bCs w:val="0"/>
          <w:color w:val="auto"/>
          <w:spacing w:val="-3"/>
          <w:sz w:val="32"/>
          <w:szCs w:val="32"/>
          <w:highlight w:val="none"/>
        </w:rPr>
        <w:t>组织规划起草。</w:t>
      </w:r>
      <w:r>
        <w:rPr>
          <w:rFonts w:hint="eastAsia" w:ascii="仿宋_GB2312" w:hAnsi="仿宋_GB2312" w:eastAsia="仿宋_GB2312" w:cs="仿宋_GB2312"/>
          <w:b w:val="0"/>
          <w:bCs w:val="0"/>
          <w:color w:val="auto"/>
          <w:sz w:val="32"/>
          <w:szCs w:val="32"/>
          <w:highlight w:val="none"/>
          <w:lang w:val="en-US" w:eastAsia="zh-CN"/>
        </w:rPr>
        <w:t>2019年7月，市卫生健康委印发《深圳市卫生与健康“十四五”规划编制工作方案》，同月我局拟订《光明区卫生与健康“十四五”规划编制工作方案》，联合区医学会（广东药科大学课题组）成立项目课题组，启动“十四五”规划前期课题研究与光明区卫生健康专项规划编制工作。调查研究本区医疗保障及公共卫生服务需求，并研究提出纳入“十四五”规划纲要的重要指标、重点工程项目、重大政策、重大改革措施的建议，于2019年12月形成了《光明区卫生健康事业发展“十四五”规划（初稿）》。</w:t>
      </w:r>
    </w:p>
    <w:p>
      <w:pPr>
        <w:keepNext w:val="0"/>
        <w:keepLines w:val="0"/>
        <w:pageBreakBefore w:val="0"/>
        <w:widowControl w:val="0"/>
        <w:shd w:val="clear"/>
        <w:kinsoku/>
        <w:wordWrap/>
        <w:overflowPunct/>
        <w:topLinePunct w:val="0"/>
        <w:autoSpaceDN/>
        <w:bidi w:val="0"/>
        <w:spacing w:line="560" w:lineRule="exact"/>
        <w:ind w:firstLine="630"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b/>
          <w:bCs w:val="0"/>
          <w:color w:val="auto"/>
          <w:spacing w:val="-3"/>
          <w:sz w:val="32"/>
          <w:szCs w:val="32"/>
          <w:highlight w:val="none"/>
        </w:rPr>
        <w:t>（二）组织专家论证。</w:t>
      </w:r>
      <w:r>
        <w:rPr>
          <w:rFonts w:hint="eastAsia" w:ascii="仿宋_GB2312" w:hAnsi="仿宋_GB2312" w:eastAsia="仿宋_GB2312" w:cs="仿宋_GB2312"/>
          <w:b w:val="0"/>
          <w:bCs w:val="0"/>
          <w:color w:val="auto"/>
          <w:kern w:val="2"/>
          <w:sz w:val="32"/>
          <w:szCs w:val="32"/>
          <w:highlight w:val="none"/>
          <w:lang w:val="en-US" w:eastAsia="zh-CN" w:bidi="ar-SA"/>
        </w:rPr>
        <w:t>2020年4月召开“十四五”规划专家研讨会，邀请市卫健委副主任常巨平作为专家组成员作出</w:t>
      </w:r>
      <w:r>
        <w:rPr>
          <w:rFonts w:hint="eastAsia" w:ascii="仿宋_GB2312" w:hAnsi="仿宋_GB2312" w:eastAsia="仿宋_GB2312" w:cs="仿宋_GB2312"/>
          <w:b w:val="0"/>
          <w:bCs w:val="0"/>
          <w:color w:val="auto"/>
          <w:sz w:val="32"/>
          <w:szCs w:val="32"/>
          <w:highlight w:val="none"/>
          <w:lang w:val="en-US" w:eastAsia="zh-CN"/>
        </w:rPr>
        <w:t>指导。2020年11月召开区卫生健康系统专家代表座谈会，当</w:t>
      </w:r>
      <w:r>
        <w:rPr>
          <w:rFonts w:hint="eastAsia" w:ascii="仿宋_GB2312" w:hAnsi="仿宋_GB2312" w:eastAsia="仿宋_GB2312" w:cs="仿宋_GB2312"/>
          <w:color w:val="auto"/>
          <w:kern w:val="0"/>
          <w:sz w:val="32"/>
          <w:szCs w:val="32"/>
          <w:highlight w:val="none"/>
          <w:lang w:val="en-US" w:eastAsia="zh-CN" w:bidi="ar-SA"/>
        </w:rPr>
        <w:t>面听取各医疗卫生单位基层代表对规划的意见和建议。收集专家意见13条。</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ar-SA"/>
        </w:rPr>
        <w:t>（三）广泛征求意见。</w:t>
      </w:r>
      <w:r>
        <w:rPr>
          <w:rFonts w:hint="eastAsia" w:ascii="仿宋_GB2312" w:hAnsi="仿宋_GB2312" w:eastAsia="仿宋_GB2312" w:cs="仿宋_GB2312"/>
          <w:color w:val="auto"/>
          <w:kern w:val="0"/>
          <w:sz w:val="32"/>
          <w:szCs w:val="32"/>
          <w:highlight w:val="none"/>
          <w:lang w:val="en-US" w:eastAsia="zh-CN" w:bidi="ar-SA"/>
        </w:rPr>
        <w:t>组织课题组多次调研区域内医疗卫生单</w:t>
      </w:r>
      <w:r>
        <w:rPr>
          <w:rFonts w:hint="eastAsia" w:ascii="仿宋_GB2312" w:hAnsi="仿宋_GB2312" w:eastAsia="仿宋_GB2312" w:cs="仿宋_GB2312"/>
          <w:b w:val="0"/>
          <w:bCs w:val="0"/>
          <w:color w:val="auto"/>
          <w:sz w:val="32"/>
          <w:szCs w:val="32"/>
          <w:highlight w:val="none"/>
          <w:lang w:val="en-US" w:eastAsia="zh-CN"/>
        </w:rPr>
        <w:t>位（其中包含2020年4月社会办医疗机构专题调研和2020年6月中山大学附属第七医院专题调研），坚持开门问策、集思广益。共召开12次座谈会对专项规划进行研究讨论，两次发函征求相关单位的意见，广泛听取收集建议。对收集到的意见和建议进行逐条分析，做到了能吸收的尽量吸收，反复进行讨论修改，认真做好规划稿起草、完善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（四）积极推动落地。</w:t>
      </w:r>
      <w:r>
        <w:rPr>
          <w:rFonts w:hint="eastAsia" w:ascii="仿宋_GB2312" w:hAnsi="仿宋_GB2312" w:eastAsia="仿宋_GB2312" w:cs="仿宋_GB2312"/>
          <w:b w:val="0"/>
          <w:bCs w:val="0"/>
          <w:color w:val="auto"/>
          <w:sz w:val="32"/>
          <w:szCs w:val="32"/>
          <w:highlight w:val="none"/>
          <w:lang w:val="en-US" w:eastAsia="zh-CN"/>
        </w:rPr>
        <w:t>目前，正在积极做好与市卫生健康委、区发展改革局规划的衔接工作，按照市卫健委、区“十四五”规划工作部署，倒排时间加快推进光明区卫生健康“十四五”专项规划落地出台。对我区卫生健康“十四五”规划进一步修改、完善，定稿后将提请区政府审定后按程序发布实施。</w:t>
      </w:r>
    </w:p>
    <w:p>
      <w:pPr>
        <w:pStyle w:val="12"/>
        <w:keepNext w:val="0"/>
        <w:keepLines w:val="0"/>
        <w:pageBreakBefore w:val="0"/>
        <w:widowControl w:val="0"/>
        <w:shd w:val="clear"/>
        <w:kinsoku/>
        <w:wordWrap/>
        <w:overflowPunct/>
        <w:topLinePunct w:val="0"/>
        <w:autoSpaceDN/>
        <w:bidi w:val="0"/>
        <w:spacing w:line="560" w:lineRule="exact"/>
        <w:rPr>
          <w:rFonts w:hint="eastAsia" w:eastAsia="黑体"/>
          <w:color w:val="auto"/>
          <w:highlight w:val="none"/>
          <w:lang w:val="en-US" w:eastAsia="zh-CN"/>
        </w:rPr>
      </w:pPr>
      <w:r>
        <w:rPr>
          <w:rFonts w:hint="eastAsia" w:ascii="黑体" w:hAnsi="黑体" w:eastAsia="黑体"/>
          <w:color w:val="auto"/>
          <w:sz w:val="32"/>
          <w:szCs w:val="22"/>
          <w:highlight w:val="none"/>
          <w:lang w:eastAsia="zh-CN"/>
        </w:rPr>
        <w:t>三</w:t>
      </w:r>
      <w:r>
        <w:rPr>
          <w:rFonts w:hint="eastAsia" w:ascii="黑体" w:hAnsi="黑体" w:eastAsia="黑体"/>
          <w:color w:val="auto"/>
          <w:sz w:val="32"/>
          <w:szCs w:val="22"/>
          <w:highlight w:val="none"/>
        </w:rPr>
        <w:t>、</w:t>
      </w:r>
      <w:r>
        <w:rPr>
          <w:rFonts w:hint="eastAsia" w:ascii="黑体" w:hAnsi="黑体" w:eastAsia="黑体"/>
          <w:color w:val="auto"/>
          <w:sz w:val="32"/>
          <w:szCs w:val="22"/>
          <w:highlight w:val="none"/>
          <w:lang w:eastAsia="zh-CN"/>
        </w:rPr>
        <w:t>规划指标</w:t>
      </w:r>
    </w:p>
    <w:p>
      <w:pPr>
        <w:keepNext w:val="0"/>
        <w:keepLines w:val="0"/>
        <w:pageBreakBefore w:val="0"/>
        <w:widowControl w:val="0"/>
        <w:shd w:val="clear"/>
        <w:kinsoku/>
        <w:wordWrap/>
        <w:overflowPunct/>
        <w:topLinePunct w:val="0"/>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eastAsia="仿宋_GB2312" w:cs="Times New Roman"/>
          <w:color w:val="auto"/>
          <w:sz w:val="32"/>
          <w:szCs w:val="32"/>
          <w:highlight w:val="none"/>
        </w:rPr>
        <w:t>根据我区“十三五”期间各项健康相关指标完成情况、卫生资源的配置状况、居民卫生需求的发展趋势以及</w:t>
      </w:r>
      <w:r>
        <w:rPr>
          <w:rFonts w:hint="eastAsia" w:ascii="仿宋_GB2312" w:eastAsia="仿宋_GB2312" w:cs="Times New Roman"/>
          <w:color w:val="auto"/>
          <w:sz w:val="32"/>
          <w:szCs w:val="32"/>
          <w:highlight w:val="none"/>
          <w:lang w:eastAsia="zh-CN"/>
        </w:rPr>
        <w:t>相关</w:t>
      </w:r>
      <w:r>
        <w:rPr>
          <w:rFonts w:hint="eastAsia" w:ascii="仿宋_GB2312" w:eastAsia="仿宋_GB2312" w:cs="Times New Roman"/>
          <w:color w:val="auto"/>
          <w:sz w:val="32"/>
          <w:szCs w:val="32"/>
          <w:highlight w:val="none"/>
        </w:rPr>
        <w:t>卫生健康政策等，选取了</w:t>
      </w:r>
      <w:r>
        <w:rPr>
          <w:rFonts w:hint="eastAsia" w:ascii="仿宋_GB2312" w:eastAsia="仿宋_GB2312" w:cs="Times New Roman"/>
          <w:color w:val="auto"/>
          <w:sz w:val="32"/>
          <w:szCs w:val="32"/>
          <w:highlight w:val="none"/>
          <w:lang w:val="en-US" w:eastAsia="zh-CN"/>
        </w:rPr>
        <w:t>16</w:t>
      </w:r>
      <w:r>
        <w:rPr>
          <w:rFonts w:hint="eastAsia" w:ascii="仿宋_GB2312" w:eastAsia="仿宋_GB2312" w:cs="Times New Roman"/>
          <w:color w:val="auto"/>
          <w:sz w:val="32"/>
          <w:szCs w:val="32"/>
          <w:highlight w:val="none"/>
        </w:rPr>
        <w:t>项指标</w:t>
      </w:r>
      <w:r>
        <w:rPr>
          <w:rFonts w:hint="eastAsia" w:ascii="仿宋_GB2312" w:eastAsia="仿宋_GB2312" w:cs="Times New Roman"/>
          <w:color w:val="auto"/>
          <w:sz w:val="32"/>
          <w:szCs w:val="32"/>
          <w:highlight w:val="none"/>
          <w:lang w:eastAsia="zh-CN"/>
        </w:rPr>
        <w:t>，与《深圳市卫生健康事业发展“十四五”规划》的指标体系要求保持一致</w:t>
      </w:r>
      <w:r>
        <w:rPr>
          <w:rFonts w:hint="eastAsia" w:ascii="仿宋_GB2312"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目前，规划指标体系共包含</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类1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项指标：</w:t>
      </w:r>
    </w:p>
    <w:p>
      <w:pPr>
        <w:widowControl w:val="0"/>
        <w:shd w:val="clear"/>
        <w:adjustRightInd w:val="0"/>
        <w:snapToGrid w:val="0"/>
        <w:spacing w:line="560" w:lineRule="exact"/>
        <w:ind w:firstLine="642" w:firstLineChars="200"/>
        <w:rPr>
          <w:rFonts w:hint="eastAsia" w:ascii="仿宋_GB2312" w:hAnsi="仿宋_GB2312" w:eastAsia="仿宋_GB2312" w:cs="仿宋_GB2312"/>
          <w:sz w:val="32"/>
          <w:szCs w:val="32"/>
          <w:highlight w:val="none"/>
        </w:rPr>
      </w:pPr>
      <w:bookmarkStart w:id="12" w:name="_Toc581116965_WPSOffice_Level2"/>
      <w:bookmarkStart w:id="13" w:name="_Toc2414_WPSOffice_Level1"/>
      <w:bookmarkStart w:id="14" w:name="_Toc16769_WPSOffice_Level1"/>
      <w:bookmarkStart w:id="15" w:name="_Toc17281_WPSOffice_Level1"/>
      <w:r>
        <w:rPr>
          <w:rFonts w:hint="eastAsia" w:ascii="仿宋_GB2312" w:hAnsi="仿宋_GB2312" w:eastAsia="仿宋_GB2312" w:cs="仿宋_GB2312"/>
          <w:b/>
          <w:bCs/>
          <w:sz w:val="32"/>
          <w:szCs w:val="32"/>
          <w:highlight w:val="none"/>
        </w:rPr>
        <w:t>（一）健康水平（5项）：</w:t>
      </w:r>
      <w:r>
        <w:rPr>
          <w:rFonts w:hint="eastAsia" w:ascii="仿宋_GB2312" w:hAnsi="仿宋_GB2312" w:eastAsia="仿宋_GB2312" w:cs="仿宋_GB2312"/>
          <w:sz w:val="32"/>
          <w:szCs w:val="32"/>
          <w:highlight w:val="none"/>
        </w:rPr>
        <w:t>人均期望寿命、人均健康期望寿命、居民健康素养水平、婴儿死亡率、孕产妇死亡率。</w:t>
      </w:r>
    </w:p>
    <w:p>
      <w:pPr>
        <w:widowControl w:val="0"/>
        <w:shd w:val="clear"/>
        <w:adjustRightInd w:val="0"/>
        <w:snapToGrid w:val="0"/>
        <w:spacing w:line="560" w:lineRule="exact"/>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（二）健康管理（2项）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rPr>
        <w:t>重</w:t>
      </w:r>
      <w:r>
        <w:rPr>
          <w:rFonts w:hint="eastAsia" w:ascii="仿宋_GB2312" w:hAnsi="仿宋_GB2312" w:eastAsia="仿宋_GB2312" w:cs="仿宋_GB2312"/>
          <w:sz w:val="32"/>
          <w:szCs w:val="32"/>
          <w:highlight w:val="none"/>
        </w:rPr>
        <w:t>点癌症早诊率、重大慢性病过早死亡率。</w:t>
      </w:r>
    </w:p>
    <w:p>
      <w:pPr>
        <w:widowControl w:val="0"/>
        <w:shd w:val="clear"/>
        <w:adjustRightInd w:val="0"/>
        <w:snapToGrid w:val="0"/>
        <w:spacing w:line="560" w:lineRule="exact"/>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（三）医疗资源（7项）：</w:t>
      </w:r>
      <w:r>
        <w:rPr>
          <w:rFonts w:hint="eastAsia" w:ascii="仿宋_GB2312" w:hAnsi="仿宋_GB2312" w:eastAsia="仿宋_GB2312" w:cs="仿宋_GB2312"/>
          <w:sz w:val="32"/>
          <w:szCs w:val="32"/>
          <w:highlight w:val="none"/>
        </w:rPr>
        <w:t>每千人口拥有病床数、每千人口拥有执业（助理）医师数、每千人口拥有注册护士数、每万人口拥有公共卫生执业（助理）医师数、每万人口拥有全科医生数、每千人口拥有3岁以下婴幼儿托位数、每10万人口拥有精神科执业（助理）医师数。</w:t>
      </w:r>
    </w:p>
    <w:p>
      <w:pPr>
        <w:shd w:val="clear"/>
        <w:adjustRightInd w:val="0"/>
        <w:snapToGrid w:val="0"/>
        <w:spacing w:line="560" w:lineRule="exact"/>
        <w:ind w:firstLine="64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（四）健康保障（2项）：</w:t>
      </w:r>
      <w:r>
        <w:rPr>
          <w:rFonts w:hint="eastAsia" w:ascii="仿宋_GB2312" w:hAnsi="仿宋_GB2312" w:eastAsia="仿宋_GB2312" w:cs="仿宋_GB2312"/>
          <w:sz w:val="32"/>
          <w:szCs w:val="32"/>
          <w:highlight w:val="none"/>
        </w:rPr>
        <w:t>个人现金支出占卫生总费用比重、千人口献血量。</w:t>
      </w:r>
    </w:p>
    <w:bookmarkEnd w:id="12"/>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olor w:val="auto"/>
          <w:sz w:val="32"/>
          <w:szCs w:val="22"/>
          <w:highlight w:val="none"/>
          <w:lang w:eastAsia="zh-CN"/>
        </w:rPr>
        <w:t>四</w:t>
      </w:r>
      <w:r>
        <w:rPr>
          <w:rFonts w:hint="eastAsia" w:ascii="黑体" w:hAnsi="黑体" w:eastAsia="黑体"/>
          <w:color w:val="auto"/>
          <w:sz w:val="32"/>
          <w:szCs w:val="22"/>
          <w:highlight w:val="none"/>
        </w:rPr>
        <w:t>、规划主要内容</w:t>
      </w:r>
      <w:bookmarkEnd w:id="13"/>
      <w:bookmarkEnd w:id="14"/>
      <w:bookmarkEnd w:id="15"/>
    </w:p>
    <w:p>
      <w:pPr>
        <w:keepNext w:val="0"/>
        <w:keepLines w:val="0"/>
        <w:pageBreakBefore w:val="0"/>
        <w:shd w:val="clear"/>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（一）推动公共卫生高质量发展</w:t>
      </w:r>
    </w:p>
    <w:p>
      <w:pPr>
        <w:pStyle w:val="7"/>
        <w:keepNext w:val="0"/>
        <w:keepLines w:val="0"/>
        <w:pageBreakBefore w:val="0"/>
        <w:shd w:val="clear" w:color="auto"/>
        <w:kinsoku/>
        <w:wordWrap/>
        <w:overflowPunct/>
        <w:topLinePunct w:val="0"/>
        <w:autoSpaceDN/>
        <w:bidi w:val="0"/>
        <w:snapToGrid w:val="0"/>
        <w:spacing w:before="0" w:after="0"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16" w:name="_Toc10074"/>
      <w:bookmarkStart w:id="17" w:name="_Toc6269"/>
      <w:bookmarkStart w:id="18" w:name="_Toc15573"/>
      <w:bookmarkStart w:id="19" w:name="_Toc18728"/>
      <w:bookmarkStart w:id="20" w:name="_Toc4270"/>
      <w:bookmarkStart w:id="21" w:name="_Toc12688"/>
      <w:bookmarkStart w:id="22" w:name="_Toc24332"/>
      <w:bookmarkStart w:id="23" w:name="_Toc27530_WPSOffice_Level3"/>
      <w:bookmarkStart w:id="24" w:name="_Toc6085"/>
      <w:bookmarkStart w:id="25" w:name="_Toc23804"/>
      <w:bookmarkStart w:id="26" w:name="_Toc21151"/>
      <w:bookmarkStart w:id="27" w:name="_Toc20238"/>
      <w:bookmarkStart w:id="28" w:name="_Toc4898"/>
      <w:bookmarkStart w:id="29" w:name="_Toc8669"/>
      <w:bookmarkStart w:id="30" w:name="_Toc32058"/>
      <w:bookmarkStart w:id="31" w:name="_Toc21319"/>
      <w:bookmarkStart w:id="32" w:name="_Toc22245"/>
      <w:bookmarkStart w:id="33" w:name="_Toc31548"/>
      <w:bookmarkStart w:id="34" w:name="_Toc29893"/>
      <w:bookmarkStart w:id="35" w:name="_Toc22739"/>
      <w:bookmarkStart w:id="36" w:name="_Toc19742"/>
      <w:bookmarkStart w:id="37" w:name="_Toc10687"/>
      <w:bookmarkStart w:id="38" w:name="_Toc25016"/>
      <w:bookmarkStart w:id="39" w:name="_Toc25449"/>
      <w:bookmarkStart w:id="40" w:name="_Toc12844"/>
      <w:bookmarkStart w:id="41" w:name="_Toc16256"/>
      <w:bookmarkStart w:id="42" w:name="_Toc11619"/>
      <w:bookmarkStart w:id="43" w:name="_Toc14951"/>
      <w:bookmarkStart w:id="44" w:name="_Toc5188"/>
      <w:bookmarkStart w:id="45" w:name="_Toc26500"/>
      <w:bookmarkStart w:id="46" w:name="_Toc656"/>
      <w:bookmarkStart w:id="47" w:name="_Toc1959"/>
      <w:bookmarkStart w:id="48" w:name="_Toc7931"/>
      <w:bookmarkStart w:id="49" w:name="_Toc17160"/>
      <w:bookmarkStart w:id="50" w:name="_Toc6509"/>
      <w:bookmarkStart w:id="51" w:name="_Toc1311"/>
      <w:bookmarkStart w:id="52" w:name="_Toc1738"/>
      <w:bookmarkStart w:id="53" w:name="_Toc8143"/>
      <w:bookmarkStart w:id="54" w:name="_Toc19492"/>
      <w:bookmarkStart w:id="55" w:name="_Toc23945"/>
      <w:bookmarkStart w:id="56" w:name="_Toc29747"/>
      <w:bookmarkStart w:id="57" w:name="_Toc24418"/>
      <w:bookmarkStart w:id="58" w:name="_Toc23347"/>
      <w:bookmarkStart w:id="59" w:name="_Toc26844"/>
      <w:bookmarkStart w:id="60" w:name="_Toc7674"/>
      <w:bookmarkStart w:id="61" w:name="_Toc27666"/>
      <w:bookmarkStart w:id="62" w:name="_Toc4505"/>
      <w:bookmarkStart w:id="63" w:name="_Toc30428"/>
      <w:bookmarkStart w:id="64" w:name="_Toc20656"/>
      <w:bookmarkStart w:id="65" w:name="_Toc12915"/>
      <w:bookmarkStart w:id="66" w:name="_Toc14198"/>
      <w:bookmarkStart w:id="67" w:name="_Toc10870"/>
      <w:bookmarkStart w:id="68" w:name="_Toc30502"/>
      <w:bookmarkStart w:id="69" w:name="_Toc17288"/>
      <w:bookmarkStart w:id="70" w:name="_Toc13665"/>
      <w:bookmarkStart w:id="71" w:name="_Toc14047"/>
      <w:bookmarkStart w:id="72" w:name="_Toc18843"/>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kern w:val="44"/>
          <w:sz w:val="32"/>
          <w:szCs w:val="32"/>
          <w:highlight w:val="none"/>
          <w:lang w:val="en-US" w:eastAsia="zh-CN" w:bidi="ar-SA"/>
        </w:rPr>
        <w:t>加强公共卫生体系建设</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Toc30963"/>
      <w:bookmarkStart w:id="74" w:name="_Toc14508"/>
      <w:bookmarkStart w:id="75" w:name="_Toc3962"/>
      <w:bookmarkStart w:id="76" w:name="_Toc3860"/>
      <w:bookmarkStart w:id="77" w:name="_Toc18130"/>
      <w:bookmarkStart w:id="78" w:name="_Toc952"/>
      <w:bookmarkStart w:id="79" w:name="_Toc11520"/>
      <w:bookmarkStart w:id="80" w:name="_Toc30368"/>
      <w:bookmarkStart w:id="81" w:name="_Toc4849"/>
      <w:bookmarkStart w:id="82" w:name="_Toc1165"/>
      <w:bookmarkStart w:id="83" w:name="_Toc6071"/>
      <w:bookmarkStart w:id="84" w:name="_Toc30398"/>
      <w:bookmarkStart w:id="85" w:name="_Toc24497"/>
      <w:bookmarkStart w:id="86" w:name="_Toc24270"/>
      <w:bookmarkStart w:id="87" w:name="_Toc32222"/>
      <w:bookmarkStart w:id="88" w:name="_Toc8295"/>
      <w:bookmarkStart w:id="89" w:name="_Toc11009"/>
      <w:bookmarkStart w:id="90" w:name="_Toc16272"/>
      <w:bookmarkStart w:id="91" w:name="_Toc3207"/>
      <w:bookmarkStart w:id="92" w:name="_Toc755"/>
      <w:bookmarkStart w:id="93" w:name="_Toc3659"/>
      <w:bookmarkStart w:id="94" w:name="_Toc26081"/>
      <w:bookmarkStart w:id="95" w:name="_Toc10636"/>
      <w:bookmarkStart w:id="96" w:name="_Toc15556"/>
      <w:bookmarkStart w:id="97" w:name="_Toc9659"/>
      <w:bookmarkStart w:id="98" w:name="_Toc581"/>
      <w:bookmarkStart w:id="99" w:name="_Toc4437"/>
      <w:bookmarkStart w:id="100" w:name="_Toc30511"/>
      <w:bookmarkStart w:id="101" w:name="_Toc22469"/>
      <w:bookmarkStart w:id="102" w:name="_Toc7198"/>
      <w:bookmarkStart w:id="103" w:name="_Toc11961"/>
      <w:bookmarkStart w:id="104" w:name="_Toc5257"/>
      <w:bookmarkStart w:id="105" w:name="_Toc19944"/>
      <w:bookmarkStart w:id="106" w:name="_Toc15348"/>
      <w:bookmarkStart w:id="107" w:name="_Toc28660"/>
      <w:bookmarkStart w:id="108" w:name="_Toc22868"/>
      <w:bookmarkStart w:id="109" w:name="_Toc11866"/>
      <w:bookmarkStart w:id="110" w:name="_Toc4793"/>
      <w:bookmarkStart w:id="111" w:name="_Toc15811"/>
      <w:bookmarkStart w:id="112" w:name="_Toc23960"/>
      <w:bookmarkStart w:id="113" w:name="_Toc19368"/>
      <w:bookmarkStart w:id="114" w:name="_Toc18769"/>
      <w:bookmarkStart w:id="115" w:name="_Toc3232"/>
      <w:bookmarkStart w:id="116" w:name="_Toc19053"/>
      <w:bookmarkStart w:id="117" w:name="_Toc31769"/>
      <w:bookmarkStart w:id="118" w:name="_Toc8310"/>
      <w:bookmarkStart w:id="119" w:name="_Toc24081"/>
      <w:bookmarkStart w:id="120" w:name="_Toc2462"/>
      <w:bookmarkStart w:id="121" w:name="_Toc9333"/>
      <w:bookmarkStart w:id="122" w:name="_Toc957"/>
      <w:bookmarkStart w:id="123" w:name="_Toc7579"/>
      <w:bookmarkStart w:id="124" w:name="_Toc27003"/>
      <w:bookmarkStart w:id="125" w:name="_Toc5556"/>
      <w:bookmarkStart w:id="126" w:name="_Toc23411"/>
      <w:bookmarkStart w:id="127" w:name="_Toc24384"/>
      <w:bookmarkStart w:id="128" w:name="_Toc17760"/>
      <w:r>
        <w:rPr>
          <w:rFonts w:hint="eastAsia" w:ascii="仿宋_GB2312" w:hAnsi="仿宋_GB2312" w:eastAsia="仿宋_GB2312" w:cs="仿宋_GB2312"/>
          <w:b/>
          <w:bCs/>
          <w:color w:val="auto"/>
          <w:kern w:val="44"/>
          <w:sz w:val="32"/>
          <w:szCs w:val="32"/>
          <w:highlight w:val="none"/>
          <w:lang w:val="en-US" w:eastAsia="zh-CN" w:bidi="ar-SA"/>
        </w:rPr>
        <w:t>。</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完善</w:t>
      </w:r>
      <w:r>
        <w:rPr>
          <w:rFonts w:hint="eastAsia" w:ascii="Times New Roman" w:hAnsi="Times New Roman" w:eastAsia="仿宋_GB2312" w:cs="Times New Roman"/>
          <w:b/>
          <w:color w:val="auto"/>
          <w:sz w:val="32"/>
          <w:szCs w:val="32"/>
          <w:highlight w:val="none"/>
        </w:rPr>
        <w:t>疾病预防控制体系</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eastAsia="仿宋_GB2312" w:cs="Times New Roman"/>
          <w:b/>
          <w:color w:val="auto"/>
          <w:sz w:val="32"/>
          <w:szCs w:val="32"/>
          <w:highlight w:val="none"/>
          <w:lang w:eastAsia="zh-CN"/>
        </w:rPr>
        <w: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Toc24212"/>
      <w:bookmarkStart w:id="130" w:name="_Toc1666"/>
      <w:bookmarkStart w:id="131" w:name="_Toc9929"/>
      <w:bookmarkStart w:id="132" w:name="_Toc32476"/>
      <w:bookmarkStart w:id="133" w:name="_Toc5400"/>
      <w:bookmarkStart w:id="134" w:name="_Toc30021"/>
      <w:bookmarkStart w:id="135" w:name="_Toc2142"/>
      <w:bookmarkStart w:id="136" w:name="_Toc22767"/>
      <w:bookmarkStart w:id="137" w:name="_Toc30322"/>
      <w:bookmarkStart w:id="138" w:name="_Toc23797"/>
      <w:bookmarkStart w:id="139" w:name="_Toc22756"/>
      <w:bookmarkStart w:id="140" w:name="_Toc16685"/>
      <w:bookmarkStart w:id="141" w:name="_Toc673"/>
      <w:bookmarkStart w:id="142" w:name="_Toc9890"/>
      <w:bookmarkStart w:id="143" w:name="_Toc15223"/>
      <w:bookmarkStart w:id="144" w:name="_Toc14616"/>
      <w:bookmarkStart w:id="145" w:name="_Toc7293"/>
      <w:bookmarkStart w:id="146" w:name="_Toc4679"/>
      <w:bookmarkStart w:id="147" w:name="_Toc13355"/>
      <w:bookmarkStart w:id="148" w:name="_Toc3365"/>
      <w:bookmarkStart w:id="149" w:name="_Toc4684"/>
      <w:bookmarkStart w:id="150" w:name="_Toc21441"/>
      <w:bookmarkStart w:id="151" w:name="_Toc5939"/>
      <w:bookmarkStart w:id="152" w:name="_Toc17007"/>
      <w:bookmarkStart w:id="153" w:name="_Toc14588"/>
      <w:bookmarkStart w:id="154" w:name="_Toc31125"/>
      <w:bookmarkStart w:id="155" w:name="_Toc11678"/>
      <w:bookmarkStart w:id="156" w:name="_Toc6897"/>
      <w:bookmarkStart w:id="157" w:name="_Toc8877"/>
      <w:bookmarkStart w:id="158" w:name="_Toc2479"/>
      <w:bookmarkStart w:id="159" w:name="_Toc21581"/>
      <w:bookmarkStart w:id="160" w:name="_Toc17599"/>
      <w:bookmarkStart w:id="161" w:name="_Toc16651"/>
      <w:bookmarkStart w:id="162" w:name="_Toc10657"/>
      <w:bookmarkStart w:id="163" w:name="_Toc25215"/>
      <w:bookmarkStart w:id="164" w:name="_Toc25518"/>
      <w:bookmarkStart w:id="165" w:name="_Toc6987"/>
      <w:bookmarkStart w:id="166" w:name="_Toc25997"/>
      <w:bookmarkStart w:id="167" w:name="_Toc13900"/>
      <w:bookmarkStart w:id="168" w:name="_Toc15558"/>
      <w:bookmarkStart w:id="169" w:name="_Toc9771"/>
      <w:bookmarkStart w:id="170" w:name="_Toc7298"/>
      <w:bookmarkStart w:id="171" w:name="_Toc2318"/>
      <w:bookmarkStart w:id="172" w:name="_Toc27603"/>
      <w:bookmarkStart w:id="173" w:name="_Toc28986"/>
      <w:bookmarkStart w:id="174" w:name="_Toc26150"/>
      <w:bookmarkStart w:id="175" w:name="_Toc17270"/>
      <w:bookmarkStart w:id="176" w:name="_Toc7707"/>
      <w:bookmarkStart w:id="177" w:name="_Toc3612"/>
      <w:bookmarkStart w:id="178" w:name="_Toc23489"/>
      <w:bookmarkStart w:id="179" w:name="_Toc18735"/>
      <w:bookmarkStart w:id="180" w:name="_Toc3553"/>
      <w:bookmarkStart w:id="181" w:name="_Toc3226"/>
      <w:bookmarkStart w:id="182" w:name="_Toc16003"/>
      <w:bookmarkStart w:id="183" w:name="_Toc7131"/>
      <w:bookmarkStart w:id="184" w:name="_Toc12259"/>
      <w:bookmarkStart w:id="185" w:name="_Toc25898"/>
      <w:r>
        <w:rPr>
          <w:rFonts w:hint="eastAsia" w:ascii="仿宋_GB2312" w:hAnsi="仿宋_GB2312" w:eastAsia="仿宋_GB2312" w:cs="仿宋_GB2312"/>
          <w:b w:val="0"/>
          <w:bCs w:val="0"/>
          <w:color w:val="auto"/>
          <w:kern w:val="2"/>
          <w:sz w:val="32"/>
          <w:szCs w:val="32"/>
          <w:highlight w:val="none"/>
          <w:lang w:val="en-US" w:eastAsia="zh-CN" w:bidi="ar-SA"/>
        </w:rPr>
        <w:t>建立健全预防为主的大卫生大健康体制机制，依托光明区重大疾病防控联席会议制度，建立传染病、慢性病、精神疾病和职业病四类病重点防控联络机制。抓好各类传染病日常监测，完善慢性病、重点癌症、青少年和脊椎侧弯等重点疾病防治模式。推进职业健康监管体系建设，优化职业健康体检流程。推动区属综合医院设置精神科床位。根据</w:t>
      </w:r>
      <w:r>
        <w:rPr>
          <w:rFonts w:hint="eastAsia" w:ascii="仿宋_GB2312" w:hAnsi="仿宋_GB2312" w:eastAsia="仿宋_GB2312" w:cs="仿宋_GB2312"/>
          <w:b w:val="0"/>
          <w:bCs w:val="0"/>
          <w:color w:val="auto"/>
          <w:sz w:val="32"/>
          <w:szCs w:val="32"/>
          <w:highlight w:val="none"/>
          <w:lang w:val="en-US" w:eastAsia="zh-CN"/>
        </w:rPr>
        <w:t>《健康深圳推进委员会关于印发健康深圳行动（2021-2030年）的通知》（</w:t>
      </w:r>
      <w:r>
        <w:rPr>
          <w:rFonts w:hint="eastAsia" w:ascii="仿宋_GB2312" w:hAnsi="仿宋_GB2312" w:eastAsia="仿宋_GB2312" w:cs="仿宋_GB2312"/>
          <w:b w:val="0"/>
          <w:bCs w:val="0"/>
          <w:color w:val="auto"/>
          <w:sz w:val="32"/>
          <w:szCs w:val="32"/>
          <w:highlight w:val="none"/>
        </w:rPr>
        <w:t>健康深圳〔2021〕2号</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kern w:val="2"/>
          <w:sz w:val="32"/>
          <w:szCs w:val="32"/>
          <w:highlight w:val="none"/>
          <w:lang w:val="en-US" w:eastAsia="zh-CN" w:bidi="ar-SA"/>
        </w:rPr>
        <w:t>联合教育等部门推进中小学健康促进、老年健康促进、癌症防治等健康行动计划，多方位干预健康影响因素。固化企业、校园健康管理团队工作专班机制，打造健康信息互通共享平台。到2023年，力争实现全市儿童青少年总体近视率在2019年的基础上每年降低1个百分点以上；</w:t>
      </w:r>
      <w:r>
        <w:rPr>
          <w:rFonts w:hint="eastAsia" w:ascii="仿宋_GB2312" w:hAnsi="仿宋_GB2312" w:eastAsia="仿宋_GB2312" w:cs="仿宋_GB2312"/>
          <w:b w:val="0"/>
          <w:bCs w:val="0"/>
          <w:color w:val="auto"/>
          <w:sz w:val="32"/>
          <w:szCs w:val="32"/>
          <w:highlight w:val="none"/>
          <w:lang w:eastAsia="zh-CN"/>
        </w:rPr>
        <w:t>到</w:t>
      </w:r>
      <w:r>
        <w:rPr>
          <w:rFonts w:hint="eastAsia" w:ascii="仿宋_GB2312" w:hAnsi="仿宋_GB2312" w:eastAsia="仿宋_GB2312" w:cs="仿宋_GB2312"/>
          <w:b w:val="0"/>
          <w:bCs w:val="0"/>
          <w:color w:val="auto"/>
          <w:sz w:val="32"/>
          <w:szCs w:val="32"/>
          <w:highlight w:val="none"/>
          <w:lang w:val="en-US" w:eastAsia="zh-CN"/>
        </w:rPr>
        <w:t>2025年，辖区高血压、糖尿病规范管理率均达65%以上，</w:t>
      </w:r>
      <w:r>
        <w:rPr>
          <w:rFonts w:hint="eastAsia" w:ascii="仿宋_GB2312" w:hAnsi="仿宋_GB2312" w:eastAsia="仿宋_GB2312" w:cs="仿宋_GB2312"/>
          <w:b w:val="0"/>
          <w:bCs w:val="0"/>
          <w:color w:val="auto"/>
          <w:kern w:val="2"/>
          <w:sz w:val="32"/>
          <w:szCs w:val="32"/>
          <w:highlight w:val="none"/>
          <w:lang w:val="en-US" w:eastAsia="zh-CN" w:bidi="ar-SA"/>
        </w:rPr>
        <w:t>尘肺病新增5例以下，职业性化学中毒新增5例以下，实现健康学校覆盖率33%。</w:t>
      </w:r>
      <w:bookmarkEnd w:id="129"/>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Times New Roman" w:hAnsi="Times New Roman" w:eastAsia="仿宋_GB2312" w:cs="Times New Roman"/>
          <w:b/>
          <w:bCs/>
          <w:color w:val="auto"/>
          <w:sz w:val="32"/>
          <w:szCs w:val="32"/>
          <w:highlight w:val="none"/>
          <w:lang w:eastAsia="zh-CN"/>
        </w:rPr>
        <w:t>增</w:t>
      </w:r>
      <w:r>
        <w:rPr>
          <w:rFonts w:hint="eastAsia" w:ascii="Times New Roman" w:hAnsi="Times New Roman" w:eastAsia="仿宋_GB2312" w:cs="Times New Roman"/>
          <w:b/>
          <w:color w:val="auto"/>
          <w:sz w:val="32"/>
          <w:szCs w:val="32"/>
          <w:highlight w:val="none"/>
          <w:lang w:eastAsia="zh-CN"/>
        </w:rPr>
        <w:t>强早期监测预警能力</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eastAsia="仿宋_GB2312" w:cs="Times New Roman"/>
          <w:b/>
          <w:color w:val="auto"/>
          <w:sz w:val="32"/>
          <w:szCs w:val="32"/>
          <w:highlight w:val="none"/>
          <w:lang w:eastAsia="zh-CN"/>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186" w:name="_Toc28505"/>
      <w:bookmarkStart w:id="187" w:name="_Toc32661"/>
      <w:bookmarkStart w:id="188" w:name="_Toc22192"/>
      <w:bookmarkStart w:id="189" w:name="_Toc6197"/>
      <w:bookmarkStart w:id="190" w:name="_Toc29229"/>
      <w:bookmarkStart w:id="191" w:name="_Toc9552"/>
      <w:bookmarkStart w:id="192" w:name="_Toc5628"/>
      <w:bookmarkStart w:id="193" w:name="_Toc14680"/>
      <w:bookmarkStart w:id="194" w:name="_Toc30788"/>
      <w:bookmarkStart w:id="195" w:name="_Toc22985"/>
      <w:bookmarkStart w:id="196" w:name="_Toc8446"/>
      <w:bookmarkStart w:id="197" w:name="_Toc26676"/>
      <w:bookmarkStart w:id="198" w:name="_Toc24769"/>
      <w:bookmarkStart w:id="199" w:name="_Toc1040"/>
      <w:bookmarkStart w:id="200" w:name="_Toc17681"/>
      <w:bookmarkStart w:id="201" w:name="_Toc24518"/>
      <w:bookmarkStart w:id="202" w:name="_Toc15050"/>
      <w:bookmarkStart w:id="203" w:name="_Toc15282"/>
      <w:bookmarkStart w:id="204" w:name="_Toc8699"/>
      <w:bookmarkStart w:id="205" w:name="_Toc30648"/>
      <w:bookmarkStart w:id="206" w:name="_Toc20715"/>
      <w:bookmarkStart w:id="207" w:name="_Toc1726"/>
      <w:bookmarkStart w:id="208" w:name="_Toc17163"/>
      <w:bookmarkStart w:id="209" w:name="_Toc14375"/>
      <w:bookmarkStart w:id="210" w:name="_Toc9030"/>
      <w:bookmarkStart w:id="211" w:name="_Toc20181"/>
      <w:bookmarkStart w:id="212" w:name="_Toc12649"/>
      <w:bookmarkStart w:id="213" w:name="_Toc7891"/>
      <w:bookmarkStart w:id="214" w:name="_Toc11173"/>
      <w:bookmarkStart w:id="215" w:name="_Toc9364"/>
      <w:bookmarkStart w:id="216" w:name="_Toc339"/>
      <w:bookmarkStart w:id="217" w:name="_Toc23320"/>
      <w:bookmarkStart w:id="218" w:name="_Toc28797"/>
      <w:bookmarkStart w:id="219" w:name="_Toc16850"/>
      <w:bookmarkStart w:id="220" w:name="_Toc17292"/>
      <w:bookmarkStart w:id="221" w:name="_Toc32415"/>
      <w:bookmarkStart w:id="222" w:name="_Toc14181"/>
      <w:bookmarkStart w:id="223" w:name="_Toc7673"/>
      <w:bookmarkStart w:id="224" w:name="_Toc11824"/>
      <w:bookmarkStart w:id="225" w:name="_Toc11368"/>
      <w:bookmarkStart w:id="226" w:name="_Toc4869"/>
      <w:bookmarkStart w:id="227" w:name="_Toc19638"/>
      <w:bookmarkStart w:id="228" w:name="_Toc626"/>
      <w:bookmarkStart w:id="229" w:name="_Toc20366"/>
      <w:bookmarkStart w:id="230" w:name="_Toc6574"/>
      <w:bookmarkStart w:id="231" w:name="_Toc8616"/>
      <w:bookmarkStart w:id="232" w:name="_Toc24797"/>
      <w:bookmarkStart w:id="233" w:name="_Toc8905"/>
      <w:bookmarkStart w:id="234" w:name="_Toc15562"/>
      <w:bookmarkStart w:id="235" w:name="_Toc30510"/>
      <w:bookmarkStart w:id="236" w:name="_Toc15960"/>
      <w:bookmarkStart w:id="237" w:name="_Toc32676"/>
      <w:bookmarkStart w:id="238" w:name="_Toc712"/>
      <w:bookmarkStart w:id="239" w:name="_Toc6722"/>
      <w:bookmarkStart w:id="240" w:name="_Toc6716"/>
      <w:bookmarkStart w:id="241" w:name="_Toc8972"/>
      <w:bookmarkStart w:id="242" w:name="_Toc10435"/>
      <w:bookmarkStart w:id="243" w:name="_Toc9934"/>
      <w:bookmarkStart w:id="244" w:name="_Toc1871"/>
      <w:bookmarkStart w:id="245" w:name="_Toc1480"/>
      <w:bookmarkStart w:id="246" w:name="_Toc131"/>
      <w:bookmarkStart w:id="247" w:name="_Toc9009"/>
      <w:bookmarkStart w:id="248" w:name="_Toc5630"/>
      <w:bookmarkStart w:id="249" w:name="_Toc16364"/>
      <w:bookmarkStart w:id="250" w:name="_Toc15599"/>
      <w:bookmarkStart w:id="251" w:name="_Toc2274"/>
      <w:bookmarkStart w:id="252" w:name="_Toc3179"/>
      <w:r>
        <w:rPr>
          <w:rFonts w:hint="eastAsia" w:ascii="仿宋_GB2312" w:hAnsi="仿宋_GB2312" w:eastAsia="仿宋_GB2312" w:cs="仿宋_GB2312"/>
          <w:b w:val="0"/>
          <w:bCs w:val="0"/>
          <w:color w:val="auto"/>
          <w:sz w:val="32"/>
          <w:szCs w:val="32"/>
          <w:highlight w:val="none"/>
        </w:rPr>
        <w:t>完善协同作战的体制机制，</w:t>
      </w:r>
      <w:r>
        <w:rPr>
          <w:rFonts w:hint="eastAsia" w:ascii="仿宋_GB2312" w:hAnsi="Calibri" w:eastAsia="仿宋_GB2312" w:cs="Times New Roman"/>
          <w:b w:val="0"/>
          <w:bCs w:val="0"/>
          <w:color w:val="auto"/>
          <w:sz w:val="32"/>
          <w:szCs w:val="32"/>
          <w:highlight w:val="none"/>
        </w:rPr>
        <w:t>通过三级预防保健服务网络体系，协同开展区域内传染病监测预警与突发公共卫生事件处置、传染病防制与免疫规划</w:t>
      </w:r>
      <w:r>
        <w:rPr>
          <w:rFonts w:hint="eastAsia" w:ascii="仿宋_GB2312" w:hAnsi="Calibri" w:eastAsia="仿宋_GB2312" w:cs="Times New Roman"/>
          <w:b w:val="0"/>
          <w:bCs w:val="0"/>
          <w:color w:val="auto"/>
          <w:sz w:val="32"/>
          <w:szCs w:val="32"/>
          <w:highlight w:val="none"/>
          <w:lang w:eastAsia="zh-CN"/>
        </w:rPr>
        <w:t>等</w:t>
      </w:r>
      <w:r>
        <w:rPr>
          <w:rFonts w:hint="eastAsia" w:ascii="仿宋_GB2312" w:hAnsi="Calibri" w:eastAsia="仿宋_GB2312" w:cs="Times New Roman"/>
          <w:b w:val="0"/>
          <w:bCs w:val="0"/>
          <w:color w:val="auto"/>
          <w:sz w:val="32"/>
          <w:szCs w:val="32"/>
          <w:highlight w:val="none"/>
        </w:rPr>
        <w:t>各项公共卫生工作，实现公共卫生“上下贯通、资源共享、预防为主、防治结合”的全流程闭环管理。</w:t>
      </w:r>
      <w:r>
        <w:rPr>
          <w:rFonts w:hint="eastAsia" w:ascii="仿宋_GB2312" w:hAnsi="仿宋_GB2312" w:eastAsia="仿宋_GB2312" w:cs="仿宋_GB2312"/>
          <w:b w:val="0"/>
          <w:bCs w:val="0"/>
          <w:color w:val="auto"/>
          <w:sz w:val="32"/>
          <w:szCs w:val="32"/>
          <w:highlight w:val="none"/>
        </w:rPr>
        <w:t>充分利用传染病直报网络系统，加强公共卫生与诊疗系统联通互享，利用大数据云计算平台及时监测事件产生的苗头及预判其发展趋势，支撑突发公共卫生事件的预警、监测、溯源、防控、救治以及资源调配。加强对突发公共卫生事件追踪分析，及时对可能出现的问题并根据发展趋势，制定相应切实可行的处置指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bCs/>
          <w:color w:val="auto"/>
          <w:sz w:val="32"/>
          <w:szCs w:val="32"/>
          <w:highlight w:val="none"/>
          <w:lang w:eastAsia="zh-CN"/>
        </w:rPr>
        <w:t>健全公共卫生应急管理体系</w:t>
      </w:r>
      <w:bookmarkEnd w:id="205"/>
      <w:bookmarkEnd w:id="206"/>
      <w:bookmarkEnd w:id="207"/>
      <w:bookmarkEnd w:id="208"/>
      <w:bookmarkEnd w:id="209"/>
      <w:r>
        <w:rPr>
          <w:rFonts w:hint="eastAsia" w:ascii="仿宋_GB2312" w:hAnsi="仿宋_GB2312" w:eastAsia="仿宋_GB2312" w:cs="仿宋_GB2312"/>
          <w:b/>
          <w:bCs/>
          <w:color w:val="auto"/>
          <w:sz w:val="32"/>
          <w:szCs w:val="32"/>
          <w:highlight w:val="none"/>
          <w:lang w:eastAsia="zh-CN"/>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Start w:id="253" w:name="_Toc13141"/>
      <w:r>
        <w:rPr>
          <w:rFonts w:hint="eastAsia" w:ascii="仿宋_GB2312" w:hAnsi="仿宋_GB2312" w:eastAsia="仿宋_GB2312" w:cs="仿宋_GB2312"/>
          <w:b w:val="0"/>
          <w:bCs w:val="0"/>
          <w:color w:val="auto"/>
          <w:sz w:val="32"/>
          <w:szCs w:val="32"/>
          <w:highlight w:val="none"/>
          <w:lang w:eastAsia="zh-CN"/>
        </w:rPr>
        <w:t>参照《深圳市新型冠状病毒肺炎疫情防控指挥部办公室关于印发深圳市新型冠状病毒肺炎疫情防控指挥部办公室工作方案（</w:t>
      </w:r>
      <w:r>
        <w:rPr>
          <w:rFonts w:hint="eastAsia" w:ascii="仿宋_GB2312" w:hAnsi="仿宋_GB2312" w:eastAsia="仿宋_GB2312" w:cs="仿宋_GB2312"/>
          <w:b w:val="0"/>
          <w:bCs w:val="0"/>
          <w:color w:val="auto"/>
          <w:sz w:val="32"/>
          <w:szCs w:val="32"/>
          <w:highlight w:val="none"/>
          <w:lang w:val="en-US" w:eastAsia="zh-CN"/>
        </w:rPr>
        <w:t>2021年版第2版</w:t>
      </w:r>
      <w:r>
        <w:rPr>
          <w:rFonts w:hint="eastAsia" w:ascii="仿宋_GB2312" w:hAnsi="仿宋_GB2312" w:eastAsia="仿宋_GB2312" w:cs="仿宋_GB2312"/>
          <w:b w:val="0"/>
          <w:bCs w:val="0"/>
          <w:color w:val="auto"/>
          <w:sz w:val="32"/>
          <w:szCs w:val="32"/>
          <w:highlight w:val="none"/>
          <w:lang w:eastAsia="zh-CN"/>
        </w:rPr>
        <w:t>）的通知》（深防疫指办</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23号）及《关于成立光明区公共卫生与重大疾病防治工作领导小组的通知》，</w:t>
      </w:r>
      <w:r>
        <w:rPr>
          <w:rFonts w:hint="eastAsia" w:ascii="仿宋_GB2312" w:hAnsi="仿宋_GB2312" w:eastAsia="仿宋_GB2312" w:cs="仿宋_GB2312"/>
          <w:b w:val="0"/>
          <w:bCs w:val="0"/>
          <w:color w:val="auto"/>
          <w:sz w:val="32"/>
          <w:szCs w:val="32"/>
          <w:highlight w:val="none"/>
        </w:rPr>
        <w:t>建立公共卫生应急管理</w:t>
      </w:r>
      <w:r>
        <w:rPr>
          <w:rFonts w:hint="eastAsia" w:ascii="仿宋_GB2312" w:hAnsi="仿宋_GB2312" w:eastAsia="仿宋_GB2312" w:cs="仿宋_GB2312"/>
          <w:b w:val="0"/>
          <w:bCs w:val="0"/>
          <w:color w:val="auto"/>
          <w:sz w:val="32"/>
          <w:szCs w:val="32"/>
          <w:highlight w:val="none"/>
          <w:lang w:eastAsia="zh-CN"/>
        </w:rPr>
        <w:t>联席</w:t>
      </w:r>
      <w:r>
        <w:rPr>
          <w:rFonts w:hint="eastAsia" w:ascii="仿宋_GB2312" w:hAnsi="仿宋_GB2312" w:eastAsia="仿宋_GB2312" w:cs="仿宋_GB2312"/>
          <w:b w:val="0"/>
          <w:bCs w:val="0"/>
          <w:color w:val="auto"/>
          <w:sz w:val="32"/>
          <w:szCs w:val="32"/>
          <w:highlight w:val="none"/>
        </w:rPr>
        <w:t>会议制度，优化流行病学调查机制，形成卫生部门牵头、其它部门协同的联动调查机制。</w:t>
      </w:r>
      <w:r>
        <w:rPr>
          <w:rFonts w:hint="eastAsia" w:ascii="仿宋_GB2312" w:hAnsi="仿宋_GB2312" w:eastAsia="仿宋_GB2312" w:cs="仿宋_GB2312"/>
          <w:b w:val="0"/>
          <w:bCs w:val="0"/>
          <w:color w:val="auto"/>
          <w:sz w:val="32"/>
          <w:szCs w:val="32"/>
          <w:highlight w:val="none"/>
          <w:lang w:eastAsia="zh-CN"/>
        </w:rPr>
        <w:t>在《</w:t>
      </w:r>
      <w:r>
        <w:rPr>
          <w:rFonts w:hint="eastAsia" w:ascii="仿宋_GB2312" w:hAnsi="仿宋" w:eastAsia="仿宋_GB2312"/>
          <w:b w:val="0"/>
          <w:bCs w:val="0"/>
          <w:color w:val="auto"/>
          <w:sz w:val="32"/>
          <w:szCs w:val="32"/>
          <w:highlight w:val="none"/>
        </w:rPr>
        <w:t>深圳市光明区突发公共卫生事件应急预案</w:t>
      </w:r>
      <w:r>
        <w:rPr>
          <w:rFonts w:hint="eastAsia" w:ascii="仿宋_GB2312" w:hAnsi="仿宋_GB2312" w:eastAsia="仿宋_GB2312" w:cs="仿宋_GB2312"/>
          <w:b w:val="0"/>
          <w:bCs w:val="0"/>
          <w:color w:val="auto"/>
          <w:sz w:val="32"/>
          <w:szCs w:val="32"/>
          <w:highlight w:val="none"/>
          <w:lang w:eastAsia="zh-CN"/>
        </w:rPr>
        <w:t>》的基础上，</w:t>
      </w:r>
      <w:r>
        <w:rPr>
          <w:rFonts w:hint="eastAsia" w:ascii="仿宋_GB2312" w:hAnsi="仿宋_GB2312" w:eastAsia="仿宋_GB2312" w:cs="仿宋_GB2312"/>
          <w:b w:val="0"/>
          <w:bCs w:val="0"/>
          <w:color w:val="auto"/>
          <w:sz w:val="32"/>
          <w:szCs w:val="32"/>
          <w:highlight w:val="none"/>
        </w:rPr>
        <w:t>健全突发公共卫生应急预案，定期组织开展公共卫生应急管理技能培训和演练，完善公共卫生风险研判、评估、决策、防控协同机制，推动健全统一的应急物资保障体系。强化社区“三位一体”联防联控机制，推进“健康细胞”工程，</w:t>
      </w:r>
      <w:bookmarkEnd w:id="253"/>
      <w:bookmarkStart w:id="254" w:name="_Toc7109"/>
      <w:bookmarkStart w:id="255" w:name="_Toc2084"/>
      <w:bookmarkStart w:id="256" w:name="_Toc3634"/>
      <w:bookmarkStart w:id="257" w:name="_Toc30979"/>
      <w:bookmarkStart w:id="258" w:name="_Toc9314"/>
      <w:bookmarkStart w:id="259" w:name="_Toc26962"/>
      <w:bookmarkStart w:id="260" w:name="_Toc4125"/>
      <w:bookmarkStart w:id="261" w:name="_Toc2174"/>
      <w:r>
        <w:rPr>
          <w:rFonts w:hint="eastAsia" w:ascii="仿宋_GB2312" w:hAnsi="仿宋_GB2312" w:eastAsia="仿宋_GB2312" w:cs="仿宋_GB2312"/>
          <w:b w:val="0"/>
          <w:bCs w:val="0"/>
          <w:color w:val="auto"/>
          <w:sz w:val="32"/>
          <w:szCs w:val="32"/>
          <w:highlight w:val="none"/>
          <w:lang w:eastAsia="zh-CN"/>
        </w:rPr>
        <w:t>到</w:t>
      </w:r>
      <w:r>
        <w:rPr>
          <w:rFonts w:hint="eastAsia" w:ascii="仿宋_GB2312" w:hAnsi="仿宋_GB2312" w:eastAsia="仿宋_GB2312" w:cs="仿宋_GB2312"/>
          <w:b w:val="0"/>
          <w:bCs w:val="0"/>
          <w:color w:val="auto"/>
          <w:sz w:val="32"/>
          <w:szCs w:val="32"/>
          <w:highlight w:val="none"/>
          <w:lang w:val="en-US" w:eastAsia="zh-CN"/>
        </w:rPr>
        <w:t>2025年，按照</w:t>
      </w:r>
      <w:r>
        <w:rPr>
          <w:rFonts w:hint="eastAsia" w:ascii="仿宋_GB2312" w:eastAsia="仿宋_GB2312"/>
          <w:b w:val="0"/>
          <w:bCs w:val="0"/>
          <w:color w:val="auto"/>
          <w:sz w:val="32"/>
          <w:szCs w:val="32"/>
          <w:highlight w:val="none"/>
        </w:rPr>
        <w:t>“1+6+31+N”模式向工地、企业、园区、学校、医院等多个行业渗透，建立200余个心理服务室</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心理服务网络100%全域覆盖</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四是提升基层公共卫生治理水平。</w:t>
      </w:r>
      <w:r>
        <w:rPr>
          <w:rFonts w:hint="eastAsia" w:ascii="仿宋_GB2312" w:hAnsi="仿宋_GB2312" w:eastAsia="仿宋_GB2312" w:cs="仿宋_GB2312"/>
          <w:b w:val="0"/>
          <w:bCs w:val="0"/>
          <w:color w:val="auto"/>
          <w:sz w:val="32"/>
          <w:szCs w:val="32"/>
          <w:highlight w:val="none"/>
          <w:lang w:val="en-US" w:eastAsia="zh-CN"/>
        </w:rPr>
        <w:t>根据《深圳市人民政府办公厅关于印发深圳市深化医药卫生体制改革近期工作要点的通知》（深府办函〔2021〕104号），</w:t>
      </w:r>
      <w:r>
        <w:rPr>
          <w:rFonts w:hint="eastAsia" w:ascii="仿宋_GB2312" w:hAnsi="仿宋_GB2312" w:eastAsia="仿宋_GB2312" w:cs="仿宋_GB2312"/>
          <w:b w:val="0"/>
          <w:bCs w:val="0"/>
          <w:color w:val="auto"/>
          <w:sz w:val="32"/>
          <w:szCs w:val="32"/>
          <w:highlight w:val="none"/>
        </w:rPr>
        <w:t>加强基层公共卫生治理。推动完善街道办事处、社区基层组织公共卫生职能和力量配置，做实社区公共卫生委员会，强化健康促进、健康管理、疫情防控、爱国卫生运动等相关工作组织动员。推动规模以上企业与基层医疗集团建立卫生健康对口协作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强化辖区企业健康管理。</w:t>
      </w:r>
      <w:bookmarkStart w:id="262" w:name="_Toc10969"/>
      <w:bookmarkStart w:id="263" w:name="_Toc5425"/>
      <w:bookmarkStart w:id="264" w:name="_Toc547"/>
      <w:bookmarkStart w:id="265" w:name="_Toc30748"/>
      <w:bookmarkStart w:id="266" w:name="_Toc30584"/>
      <w:bookmarkStart w:id="267" w:name="_Toc31613"/>
      <w:bookmarkStart w:id="268" w:name="_Toc14740"/>
      <w:bookmarkStart w:id="269" w:name="_Toc27248"/>
      <w:bookmarkStart w:id="270" w:name="_Toc3047"/>
      <w:bookmarkStart w:id="271" w:name="_Toc14747"/>
      <w:bookmarkStart w:id="272" w:name="_Toc31253"/>
      <w:bookmarkStart w:id="273" w:name="_Toc1776"/>
      <w:bookmarkStart w:id="274" w:name="_Toc28088"/>
      <w:bookmarkStart w:id="275" w:name="_Toc765"/>
      <w:bookmarkStart w:id="276" w:name="_Toc1925"/>
      <w:bookmarkStart w:id="277" w:name="_Toc26931"/>
      <w:bookmarkStart w:id="278" w:name="_Toc27428"/>
      <w:bookmarkStart w:id="279" w:name="_Toc32729"/>
      <w:bookmarkStart w:id="280" w:name="_Toc27763"/>
      <w:bookmarkStart w:id="281" w:name="_Toc19922"/>
      <w:bookmarkStart w:id="282" w:name="_Toc3987"/>
      <w:bookmarkStart w:id="283" w:name="_Toc15230"/>
      <w:bookmarkStart w:id="284" w:name="_Toc17313"/>
      <w:bookmarkStart w:id="285" w:name="_Toc1059"/>
      <w:bookmarkStart w:id="286" w:name="_Toc7681"/>
      <w:bookmarkStart w:id="287" w:name="_Toc425"/>
      <w:bookmarkStart w:id="288" w:name="_Toc12419"/>
      <w:bookmarkStart w:id="289" w:name="_Toc22079"/>
      <w:bookmarkStart w:id="290" w:name="_Toc21016"/>
      <w:bookmarkStart w:id="291" w:name="_Toc26062"/>
    </w:p>
    <w:p>
      <w:pPr>
        <w:keepNext w:val="0"/>
        <w:keepLines w:val="0"/>
        <w:pageBreakBefore w:val="0"/>
        <w:shd w:val="clear"/>
        <w:kinsoku/>
        <w:wordWrap/>
        <w:overflowPunct/>
        <w:topLinePunct w:val="0"/>
        <w:autoSpaceDN/>
        <w:bidi w:val="0"/>
        <w:spacing w:line="560" w:lineRule="exact"/>
        <w:ind w:firstLine="642"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2.提高重大疫情防控能力。一是</w:t>
      </w:r>
      <w:r>
        <w:rPr>
          <w:rFonts w:hint="eastAsia" w:ascii="仿宋_GB2312" w:hAnsi="仿宋_GB2312" w:eastAsia="仿宋_GB2312" w:cs="仿宋_GB2312"/>
          <w:b/>
          <w:bCs/>
          <w:color w:val="auto"/>
          <w:sz w:val="32"/>
          <w:szCs w:val="32"/>
          <w:highlight w:val="none"/>
        </w:rPr>
        <w:t>抓好新冠疫情应急处置和常态化防控</w:t>
      </w:r>
      <w:r>
        <w:rPr>
          <w:rFonts w:hint="eastAsia" w:ascii="仿宋_GB2312" w:hAnsi="仿宋_GB2312" w:eastAsia="仿宋_GB2312" w:cs="仿宋_GB2312"/>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坚持“外严防输入、内严防扩散”总体防控策略，坚持常态化精准防控和局部应急处置有机结合，强化聚集性疫情应急处置培训和演练。加强风险评估分析，健全人、物、环境多渠道监测体系，扩大监测哨点，完善多点触发预警机制。加强重点人群重点场所风险管控，严格落实入境人员、国内中高风险来深人员隔离医学观察、健康管理、核酸检测措施，对重点场所和重点行业从业人员开展定期核酸检测。充分联动街道-社区-网格，抓好基层常态化疫情防控。有序推进核酸检测和新冠疫苗大规模人群接种工作，规划采样、接种场所，做好人员培训和物资储备。</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sz w:val="32"/>
          <w:szCs w:val="32"/>
          <w:highlight w:val="none"/>
        </w:rPr>
        <w:t>探索升级区疾病预防控制中心实验室建设</w:t>
      </w:r>
      <w:bookmarkStart w:id="292" w:name="_Toc73375054"/>
      <w:bookmarkStart w:id="293" w:name="_Toc59804929"/>
      <w:bookmarkStart w:id="294" w:name="_Toc75593174"/>
      <w:bookmarkStart w:id="295" w:name="_Toc60144299"/>
      <w:bookmarkStart w:id="296" w:name="_Toc73374926"/>
      <w:r>
        <w:rPr>
          <w:rFonts w:hint="eastAsia" w:ascii="仿宋_GB2312" w:eastAsia="仿宋_GB2312"/>
          <w:b/>
          <w:bCs/>
          <w:color w:val="auto"/>
          <w:sz w:val="32"/>
          <w:szCs w:val="32"/>
          <w:highlight w:val="none"/>
          <w:lang w:eastAsia="zh-CN"/>
        </w:rPr>
        <w:t>。</w:t>
      </w:r>
      <w:r>
        <w:rPr>
          <w:rFonts w:hint="eastAsia" w:ascii="仿宋_GB2312" w:eastAsia="仿宋_GB2312"/>
          <w:color w:val="auto"/>
          <w:sz w:val="32"/>
          <w:szCs w:val="32"/>
          <w:highlight w:val="none"/>
        </w:rPr>
        <w:t>加强区疾病预防控制中心实验室整体规划</w:t>
      </w:r>
      <w:r>
        <w:rPr>
          <w:rFonts w:hint="eastAsia" w:ascii="仿宋_GB2312" w:eastAsia="仿宋_GB2312"/>
          <w:color w:val="auto"/>
          <w:sz w:val="32"/>
          <w:szCs w:val="32"/>
          <w:highlight w:val="none"/>
          <w:lang w:eastAsia="zh-CN"/>
        </w:rPr>
        <w:t>，扩充</w:t>
      </w:r>
      <w:r>
        <w:rPr>
          <w:rFonts w:hint="eastAsia" w:ascii="仿宋_GB2312" w:eastAsia="仿宋_GB2312"/>
          <w:color w:val="auto"/>
          <w:sz w:val="32"/>
          <w:szCs w:val="32"/>
          <w:highlight w:val="none"/>
        </w:rPr>
        <w:t>实验室</w:t>
      </w:r>
      <w:r>
        <w:rPr>
          <w:rFonts w:hint="eastAsia" w:ascii="仿宋_GB2312" w:eastAsia="仿宋_GB2312"/>
          <w:color w:val="auto"/>
          <w:sz w:val="32"/>
          <w:szCs w:val="32"/>
          <w:highlight w:val="none"/>
          <w:lang w:eastAsia="zh-CN"/>
        </w:rPr>
        <w:t>用房</w:t>
      </w:r>
      <w:r>
        <w:rPr>
          <w:rFonts w:hint="eastAsia" w:ascii="仿宋_GB2312" w:eastAsia="仿宋_GB2312"/>
          <w:color w:val="auto"/>
          <w:sz w:val="32"/>
          <w:szCs w:val="32"/>
          <w:highlight w:val="none"/>
        </w:rPr>
        <w:t>建设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完善仪器设备配置，建设独立的病原微生物实验室、生物样本库、理化实验</w:t>
      </w:r>
      <w:r>
        <w:rPr>
          <w:rFonts w:hint="eastAsia" w:ascii="仿宋_GB2312" w:eastAsia="仿宋_GB2312"/>
          <w:color w:val="auto"/>
          <w:sz w:val="32"/>
          <w:szCs w:val="32"/>
          <w:highlight w:val="none"/>
          <w:lang w:eastAsia="zh-CN"/>
        </w:rPr>
        <w:t>室</w:t>
      </w:r>
      <w:r>
        <w:rPr>
          <w:rFonts w:hint="eastAsia" w:ascii="仿宋_GB2312" w:eastAsia="仿宋_GB2312"/>
          <w:color w:val="auto"/>
          <w:sz w:val="32"/>
          <w:szCs w:val="32"/>
          <w:highlight w:val="none"/>
        </w:rPr>
        <w:t>等。</w:t>
      </w:r>
      <w:bookmarkEnd w:id="292"/>
      <w:bookmarkEnd w:id="293"/>
      <w:bookmarkEnd w:id="294"/>
      <w:bookmarkEnd w:id="295"/>
      <w:bookmarkEnd w:id="296"/>
      <w:r>
        <w:rPr>
          <w:rFonts w:hint="eastAsia" w:ascii="仿宋_GB2312" w:hAnsi="仿宋_GB2312" w:eastAsia="仿宋_GB2312" w:cs="仿宋_GB2312"/>
          <w:color w:val="auto"/>
          <w:sz w:val="32"/>
          <w:szCs w:val="32"/>
          <w:highlight w:val="none"/>
        </w:rPr>
        <w:t>加强实验室检测网络建设，提升传染病检测能力，配置以气相（液相）色谱-质谱联用仪、ICP-MS、化学性毒物快速检测系统等设备为基础的检测平台。</w:t>
      </w:r>
      <w:r>
        <w:rPr>
          <w:rFonts w:hint="eastAsia" w:ascii="仿宋_GB2312" w:eastAsia="仿宋_GB2312"/>
          <w:color w:val="auto"/>
          <w:sz w:val="32"/>
          <w:szCs w:val="32"/>
          <w:highlight w:val="none"/>
        </w:rPr>
        <w:t>建立并完善应急实验室检测网络，加大快速处置专用</w:t>
      </w:r>
      <w:r>
        <w:rPr>
          <w:rFonts w:hint="eastAsia" w:ascii="仿宋_GB2312" w:hAnsi="仿宋_GB2312" w:eastAsia="仿宋_GB2312" w:cs="仿宋_GB2312"/>
          <w:color w:val="auto"/>
          <w:sz w:val="32"/>
          <w:szCs w:val="32"/>
          <w:highlight w:val="none"/>
        </w:rPr>
        <w:t>硬件设施</w:t>
      </w:r>
      <w:bookmarkStart w:id="1715" w:name="_GoBack"/>
      <w:bookmarkEnd w:id="1715"/>
      <w:r>
        <w:rPr>
          <w:rFonts w:hint="eastAsia" w:ascii="仿宋_GB2312" w:eastAsia="仿宋_GB2312"/>
          <w:color w:val="auto"/>
          <w:sz w:val="32"/>
          <w:szCs w:val="32"/>
          <w:highlight w:val="none"/>
        </w:rPr>
        <w:t>配备投入，实现</w:t>
      </w:r>
      <w:r>
        <w:rPr>
          <w:rFonts w:hint="eastAsia" w:ascii="仿宋_GB2312" w:eastAsia="仿宋_GB2312"/>
          <w:color w:val="auto"/>
          <w:sz w:val="32"/>
          <w:szCs w:val="32"/>
          <w:highlight w:val="none"/>
          <w:lang w:eastAsia="zh-CN"/>
        </w:rPr>
        <w:t>检验</w:t>
      </w:r>
      <w:r>
        <w:rPr>
          <w:rFonts w:hint="eastAsia" w:ascii="仿宋_GB2312" w:eastAsia="仿宋_GB2312"/>
          <w:color w:val="auto"/>
          <w:sz w:val="32"/>
          <w:szCs w:val="32"/>
          <w:highlight w:val="none"/>
        </w:rPr>
        <w:t>人才结构优化配置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提升实验室检验检测综合能力，提高快速应急、快速检测的能力，特别是在重大传染病暴发、食物中毒等突发公共卫生事件应急处理中能及时、快速、准确地筛选目标、查找病原。</w:t>
      </w:r>
      <w:r>
        <w:rPr>
          <w:rFonts w:hint="eastAsia" w:ascii="仿宋_GB2312" w:eastAsia="仿宋_GB2312"/>
          <w:b/>
          <w:bCs/>
          <w:color w:val="auto"/>
          <w:sz w:val="32"/>
          <w:szCs w:val="32"/>
          <w:highlight w:val="none"/>
          <w:lang w:val="en-US" w:eastAsia="zh-CN"/>
        </w:rPr>
        <w:t>三是</w:t>
      </w:r>
      <w:r>
        <w:rPr>
          <w:rFonts w:hint="eastAsia" w:ascii="仿宋_GB2312" w:eastAsia="仿宋_GB2312"/>
          <w:b/>
          <w:bCs/>
          <w:color w:val="auto"/>
          <w:sz w:val="32"/>
          <w:szCs w:val="32"/>
          <w:highlight w:val="none"/>
        </w:rPr>
        <w:t>加强流行病学调查能力建设</w:t>
      </w:r>
      <w:r>
        <w:rPr>
          <w:rFonts w:hint="eastAsia" w:ascii="仿宋_GB2312" w:eastAsia="仿宋_GB2312"/>
          <w:b/>
          <w:bCs/>
          <w:color w:val="auto"/>
          <w:sz w:val="32"/>
          <w:szCs w:val="32"/>
          <w:highlight w:val="none"/>
          <w:lang w:eastAsia="zh-CN"/>
        </w:rPr>
        <w:t>。</w:t>
      </w:r>
      <w:r>
        <w:rPr>
          <w:rFonts w:hint="eastAsia" w:ascii="仿宋_GB2312" w:eastAsia="仿宋_GB2312"/>
          <w:color w:val="auto"/>
          <w:sz w:val="32"/>
          <w:szCs w:val="32"/>
          <w:highlight w:val="none"/>
        </w:rPr>
        <w:t>探索规划建设辖区流行病学调查中心，通过建设以区疾控中心为核心力量的区</w:t>
      </w:r>
      <w:r>
        <w:rPr>
          <w:rFonts w:ascii="仿宋_GB2312" w:eastAsia="仿宋_GB2312"/>
          <w:color w:val="auto"/>
          <w:sz w:val="32"/>
          <w:szCs w:val="32"/>
          <w:highlight w:val="none"/>
        </w:rPr>
        <w:t>域性</w:t>
      </w:r>
      <w:r>
        <w:rPr>
          <w:rFonts w:hint="eastAsia" w:ascii="仿宋_GB2312" w:eastAsia="仿宋_GB2312"/>
          <w:color w:val="auto"/>
          <w:sz w:val="32"/>
          <w:szCs w:val="32"/>
          <w:highlight w:val="none"/>
        </w:rPr>
        <w:t>重大疫情流调溯源工作基地，开展流行病学全方位的人才培养、轮训备战工作。重点围绕流行病学调查技术、实验室规范化操作能力建设，大力实施“现场流行病学培训项目”、实验室“手把手”培训项目，全面提升流调、采样、检测、分析报告等技术水平，提升疾控机构精准调查、科学研判、及时报告、提前预警等能力，提升基层防控和服务能力。加强流行病学调查专业人员引入，加强与社区联动，建立起稳定、专业的流调队伍。</w:t>
      </w:r>
    </w:p>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rPr>
      </w:pPr>
      <w:bookmarkStart w:id="297" w:name="_Toc27534_WPSOffice_Level3"/>
      <w:r>
        <w:rPr>
          <w:rFonts w:hint="eastAsia" w:ascii="仿宋_GB2312" w:hAnsi="仿宋_GB2312" w:eastAsia="仿宋_GB2312" w:cs="仿宋_GB2312"/>
          <w:b/>
          <w:bCs w:val="0"/>
          <w:color w:val="auto"/>
          <w:kern w:val="44"/>
          <w:sz w:val="32"/>
          <w:szCs w:val="32"/>
          <w:highlight w:val="none"/>
          <w:lang w:val="en-US" w:eastAsia="zh-CN" w:bidi="ar-SA"/>
        </w:rPr>
        <w:t>3.推进健康光明行动</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7"/>
      <w:bookmarkStart w:id="298" w:name="_Toc23321"/>
      <w:bookmarkStart w:id="299" w:name="_Toc4788"/>
      <w:bookmarkStart w:id="300" w:name="_Toc24123"/>
      <w:bookmarkStart w:id="301" w:name="_Toc8085"/>
      <w:bookmarkStart w:id="302" w:name="_Toc18233"/>
      <w:bookmarkStart w:id="303" w:name="_Toc26825"/>
      <w:bookmarkStart w:id="304" w:name="_Toc2102"/>
      <w:bookmarkStart w:id="305" w:name="_Toc28193"/>
      <w:bookmarkStart w:id="306" w:name="_Toc30500"/>
      <w:bookmarkStart w:id="307" w:name="_Toc11073"/>
      <w:bookmarkStart w:id="308" w:name="_Toc17428"/>
      <w:bookmarkStart w:id="309" w:name="_Toc2199"/>
      <w:bookmarkStart w:id="310" w:name="_Toc23713"/>
      <w:bookmarkStart w:id="311" w:name="_Toc29499"/>
      <w:bookmarkStart w:id="312" w:name="_Toc9082"/>
      <w:bookmarkStart w:id="313" w:name="_Toc13812"/>
      <w:bookmarkStart w:id="314" w:name="_Toc23482"/>
      <w:bookmarkStart w:id="315" w:name="_Toc17913"/>
      <w:bookmarkStart w:id="316" w:name="_Toc24612"/>
      <w:bookmarkStart w:id="317" w:name="_Toc24994"/>
      <w:bookmarkStart w:id="318" w:name="_Toc6729"/>
      <w:bookmarkStart w:id="319" w:name="_Toc28266"/>
      <w:bookmarkStart w:id="320" w:name="_Toc11413"/>
      <w:bookmarkStart w:id="321" w:name="_Toc23957"/>
      <w:bookmarkStart w:id="322" w:name="_Toc5098"/>
      <w:bookmarkStart w:id="323" w:name="_Toc31761"/>
      <w:bookmarkStart w:id="324" w:name="_Toc10696"/>
      <w:bookmarkStart w:id="325" w:name="_Toc7984"/>
      <w:bookmarkStart w:id="326" w:name="_Toc16991"/>
      <w:bookmarkStart w:id="327" w:name="_Toc19121"/>
      <w:bookmarkStart w:id="328" w:name="_Toc29603"/>
      <w:bookmarkStart w:id="329" w:name="_Toc11355"/>
      <w:bookmarkStart w:id="330" w:name="_Toc11552"/>
      <w:bookmarkStart w:id="331" w:name="_Toc4282"/>
      <w:bookmarkStart w:id="332" w:name="_Toc13719"/>
      <w:bookmarkStart w:id="333" w:name="_Toc14655"/>
      <w:bookmarkStart w:id="334" w:name="_Toc31193"/>
      <w:bookmarkStart w:id="335" w:name="_Toc21639"/>
      <w:bookmarkStart w:id="336" w:name="_Toc29622"/>
      <w:bookmarkStart w:id="337" w:name="_Toc18373"/>
      <w:bookmarkStart w:id="338" w:name="_Toc19888"/>
      <w:bookmarkStart w:id="339" w:name="_Toc19066"/>
      <w:bookmarkStart w:id="340" w:name="_Toc17747"/>
      <w:bookmarkStart w:id="341" w:name="_Toc21203"/>
      <w:bookmarkStart w:id="342" w:name="_Toc16626"/>
      <w:bookmarkStart w:id="343" w:name="_Toc15403"/>
      <w:bookmarkStart w:id="344" w:name="_Toc10743"/>
      <w:bookmarkStart w:id="345" w:name="_Toc15007"/>
      <w:bookmarkStart w:id="346" w:name="_Toc27107"/>
      <w:bookmarkStart w:id="347" w:name="_Toc16145"/>
      <w:bookmarkStart w:id="348" w:name="_Toc2186"/>
      <w:bookmarkStart w:id="349" w:name="_Toc18345"/>
      <w:bookmarkStart w:id="350" w:name="_Toc17664"/>
      <w:bookmarkStart w:id="351" w:name="_Toc10748"/>
      <w:bookmarkStart w:id="352" w:name="_Toc26166"/>
      <w:bookmarkStart w:id="353" w:name="_Toc21802"/>
      <w:r>
        <w:rPr>
          <w:rFonts w:hint="eastAsia" w:ascii="仿宋_GB2312" w:hAnsi="仿宋_GB2312" w:eastAsia="仿宋_GB2312" w:cs="仿宋_GB2312"/>
          <w:b/>
          <w:bCs w:val="0"/>
          <w:color w:val="auto"/>
          <w:kern w:val="44"/>
          <w:sz w:val="32"/>
          <w:szCs w:val="32"/>
          <w:highlight w:val="none"/>
          <w:lang w:val="en-US" w:eastAsia="zh-CN" w:bidi="ar-SA"/>
        </w:rPr>
        <w:t>。</w:t>
      </w:r>
      <w:r>
        <w:rPr>
          <w:rFonts w:hint="eastAsia" w:ascii="仿宋_GB2312" w:hAnsi="仿宋_GB2312" w:eastAsia="仿宋_GB2312" w:cs="仿宋_GB2312"/>
          <w:b/>
          <w:bCs w:val="0"/>
          <w:color w:val="auto"/>
          <w:sz w:val="32"/>
          <w:szCs w:val="32"/>
          <w:highlight w:val="none"/>
          <w:lang w:val="en-US" w:eastAsia="zh-CN"/>
        </w:rPr>
        <w:t>一是完</w:t>
      </w:r>
      <w:r>
        <w:rPr>
          <w:rFonts w:hint="eastAsia" w:ascii="仿宋_GB2312" w:hAnsi="仿宋_GB2312" w:eastAsia="仿宋_GB2312" w:cs="仿宋_GB2312"/>
          <w:b/>
          <w:bCs/>
          <w:color w:val="auto"/>
          <w:sz w:val="32"/>
          <w:szCs w:val="32"/>
          <w:highlight w:val="none"/>
          <w:lang w:val="en-US" w:eastAsia="zh-CN"/>
        </w:rPr>
        <w:t>善健康光明体系</w:t>
      </w:r>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ascii="仿宋_GB2312" w:hAnsi="仿宋_GB2312" w:eastAsia="仿宋_GB2312" w:cs="仿宋_GB2312"/>
          <w:b/>
          <w:bCs/>
          <w:color w:val="auto"/>
          <w:sz w:val="32"/>
          <w:szCs w:val="32"/>
          <w:highlight w:val="none"/>
          <w:lang w:val="en-US" w:eastAsia="zh-CN"/>
        </w:rPr>
        <w: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Start w:id="354" w:name="_Toc27904"/>
      <w:r>
        <w:rPr>
          <w:rFonts w:hint="eastAsia" w:ascii="仿宋_GB2312" w:hAnsi="仿宋_GB2312" w:eastAsia="仿宋_GB2312" w:cs="仿宋_GB2312"/>
          <w:color w:val="auto"/>
          <w:sz w:val="32"/>
          <w:szCs w:val="32"/>
          <w:highlight w:val="none"/>
        </w:rPr>
        <w:t>健全“政府引导、部门合作、社会协调、居民参与”的健康光明建设工作机制，以街道为单位组建健康社区行动推进委员会，以社区为单位成立健康社区工作小组，打造共建共治共享的社会治理格局。依托健康光明推进委员会，开展跨部门行动，推动社区、学校、企业、机关、医院等重点场所健康促进工作</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2025年实现健康社区覆盖率达40%，进一步增加健康学校、企业等场所创建</w:t>
      </w:r>
      <w:r>
        <w:rPr>
          <w:rFonts w:hint="eastAsia" w:ascii="仿宋_GB2312" w:hAnsi="仿宋_GB2312" w:eastAsia="仿宋_GB2312" w:cs="仿宋_GB2312"/>
          <w:color w:val="auto"/>
          <w:sz w:val="32"/>
          <w:szCs w:val="32"/>
          <w:highlight w:val="none"/>
        </w:rPr>
        <w:t>。完善辖区部门联动长效机制，让“把健康融入所有政策”得以有效实施。提高区级健康教育机构统筹协调能力，完善健康教育和健康促进体系，完善健康科普专家库和资源库，构建健康科普知识发布和传播机制。</w:t>
      </w:r>
      <w:bookmarkEnd w:id="354"/>
      <w:bookmarkStart w:id="355" w:name="_Toc6999"/>
      <w:bookmarkStart w:id="356" w:name="_Toc17545"/>
      <w:bookmarkStart w:id="357" w:name="_Toc21561"/>
      <w:bookmarkStart w:id="358" w:name="_Toc13490"/>
      <w:bookmarkStart w:id="359" w:name="_Toc5416"/>
      <w:bookmarkStart w:id="360" w:name="_Toc22206"/>
      <w:bookmarkStart w:id="361" w:name="_Toc22428"/>
      <w:bookmarkStart w:id="362" w:name="_Toc10357"/>
      <w:bookmarkStart w:id="363" w:name="_Toc3032"/>
      <w:bookmarkStart w:id="364" w:name="_Toc3643"/>
      <w:bookmarkStart w:id="365" w:name="_Toc8821"/>
      <w:bookmarkStart w:id="366" w:name="_Toc6048"/>
      <w:bookmarkStart w:id="367" w:name="_Toc9555"/>
      <w:bookmarkStart w:id="368" w:name="_Toc1147"/>
      <w:bookmarkStart w:id="369" w:name="_Toc932"/>
      <w:bookmarkStart w:id="370" w:name="_Toc8461"/>
      <w:bookmarkStart w:id="371" w:name="_Toc9376"/>
      <w:bookmarkStart w:id="372" w:name="_Toc21572"/>
      <w:bookmarkStart w:id="373" w:name="_Toc7015"/>
      <w:bookmarkStart w:id="374" w:name="_Toc11683"/>
      <w:bookmarkStart w:id="375" w:name="_Toc2951"/>
      <w:bookmarkStart w:id="376" w:name="_Toc24457"/>
      <w:bookmarkStart w:id="377" w:name="_Toc12813"/>
      <w:bookmarkStart w:id="378" w:name="_Toc12261"/>
      <w:bookmarkStart w:id="379" w:name="_Toc13478"/>
      <w:bookmarkStart w:id="380" w:name="_Toc22211"/>
      <w:bookmarkStart w:id="381" w:name="_Toc8017"/>
      <w:bookmarkStart w:id="382" w:name="_Toc28615"/>
      <w:bookmarkStart w:id="383" w:name="_Toc1648"/>
      <w:bookmarkStart w:id="384" w:name="_Toc17185"/>
      <w:bookmarkStart w:id="385" w:name="_Toc29704"/>
      <w:bookmarkStart w:id="386" w:name="_Toc30845"/>
      <w:bookmarkStart w:id="387" w:name="_Toc5907"/>
      <w:bookmarkStart w:id="388" w:name="_Toc3575"/>
      <w:bookmarkStart w:id="389" w:name="_Toc25868"/>
      <w:bookmarkStart w:id="390" w:name="_Toc18734"/>
      <w:bookmarkStart w:id="391" w:name="_Toc25953"/>
      <w:bookmarkStart w:id="392" w:name="_Toc31773"/>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sz w:val="32"/>
          <w:szCs w:val="32"/>
          <w:highlight w:val="none"/>
          <w:lang w:val="en-US" w:eastAsia="zh-CN"/>
        </w:rPr>
        <w:t>推动健康教育与健康促进工作</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3" w:name="_Toc2917"/>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根据《健康深圳推进委员会关于印发健康深圳行动（2021-2030年）的通知》（</w:t>
      </w:r>
      <w:r>
        <w:rPr>
          <w:rFonts w:hint="eastAsia" w:ascii="仿宋_GB2312" w:hAnsi="仿宋_GB2312" w:eastAsia="仿宋_GB2312" w:cs="仿宋_GB2312"/>
          <w:color w:val="auto"/>
          <w:sz w:val="32"/>
          <w:szCs w:val="32"/>
          <w:highlight w:val="none"/>
        </w:rPr>
        <w:t>健康深圳〔2021〕2号</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 w:eastAsia="仿宋_GB2312" w:cs="仿宋_GB2312"/>
          <w:b w:val="0"/>
          <w:bCs w:val="0"/>
          <w:color w:val="auto"/>
          <w:kern w:val="2"/>
          <w:sz w:val="32"/>
          <w:szCs w:val="32"/>
          <w:highlight w:val="none"/>
        </w:rPr>
        <w:t>将健</w:t>
      </w:r>
      <w:r>
        <w:rPr>
          <w:rFonts w:hint="eastAsia" w:ascii="仿宋_GB2312" w:hAnsi="仿宋" w:eastAsia="仿宋_GB2312" w:cs="仿宋_GB2312"/>
          <w:color w:val="auto"/>
          <w:kern w:val="2"/>
          <w:sz w:val="32"/>
          <w:szCs w:val="32"/>
          <w:highlight w:val="none"/>
        </w:rPr>
        <w:t>康教育和健康促进工作纳入医疗机构绩效考核，纳入医务人员职称评定和绩效考核。定期进行居民健康素养监测调查，推动无烟城市和食品安全示范城市创建行动。建设社区15分钟健身圈，完善健身绿道、全民健身中心、健康公园、健康步道、健康一条街、社区多功能运动场和社区服务体育健身站（点）等健康支持性环境建设。到2025年，居民健康素养水平高于</w:t>
      </w:r>
      <w:r>
        <w:rPr>
          <w:rFonts w:hint="eastAsia" w:ascii="仿宋_GB2312" w:hAnsi="仿宋" w:eastAsia="仿宋_GB2312" w:cs="仿宋_GB2312"/>
          <w:color w:val="auto"/>
          <w:kern w:val="2"/>
          <w:sz w:val="32"/>
          <w:szCs w:val="32"/>
          <w:highlight w:val="none"/>
          <w:lang w:val="en-US" w:eastAsia="zh-CN"/>
        </w:rPr>
        <w:t>50</w:t>
      </w:r>
      <w:r>
        <w:rPr>
          <w:rFonts w:hint="eastAsia" w:ascii="仿宋_GB2312" w:hAnsi="仿宋" w:eastAsia="仿宋_GB2312" w:cs="仿宋_GB2312"/>
          <w:color w:val="auto"/>
          <w:kern w:val="2"/>
          <w:sz w:val="32"/>
          <w:szCs w:val="32"/>
          <w:highlight w:val="none"/>
        </w:rPr>
        <w:t>%，</w:t>
      </w:r>
      <w:r>
        <w:rPr>
          <w:rFonts w:hint="eastAsia" w:ascii="仿宋_GB2312" w:hAnsi="仿宋" w:eastAsia="仿宋_GB2312" w:cs="仿宋_GB2312"/>
          <w:color w:val="auto"/>
          <w:kern w:val="2"/>
          <w:sz w:val="32"/>
          <w:szCs w:val="32"/>
          <w:highlight w:val="none"/>
          <w:lang w:eastAsia="zh-CN"/>
        </w:rPr>
        <w:t>推进</w:t>
      </w:r>
      <w:r>
        <w:rPr>
          <w:rFonts w:hint="eastAsia" w:ascii="仿宋_GB2312" w:hAnsi="仿宋" w:eastAsia="仿宋_GB2312" w:cs="仿宋_GB2312"/>
          <w:color w:val="auto"/>
          <w:kern w:val="2"/>
          <w:sz w:val="32"/>
          <w:szCs w:val="32"/>
          <w:highlight w:val="none"/>
        </w:rPr>
        <w:t>全国健康促进区建设，</w:t>
      </w:r>
      <w:r>
        <w:rPr>
          <w:rFonts w:hint="eastAsia" w:ascii="仿宋_GB2312" w:hAnsi="仿宋" w:eastAsia="仿宋_GB2312" w:cs="仿宋_GB2312"/>
          <w:color w:val="auto"/>
          <w:kern w:val="2"/>
          <w:sz w:val="32"/>
          <w:szCs w:val="32"/>
          <w:highlight w:val="none"/>
          <w:lang w:eastAsia="zh-CN"/>
        </w:rPr>
        <w:t>推进</w:t>
      </w:r>
      <w:r>
        <w:rPr>
          <w:rFonts w:hint="eastAsia" w:ascii="仿宋_GB2312" w:hAnsi="仿宋" w:eastAsia="仿宋_GB2312" w:cs="仿宋_GB2312"/>
          <w:color w:val="auto"/>
          <w:kern w:val="2"/>
          <w:sz w:val="32"/>
          <w:szCs w:val="32"/>
          <w:highlight w:val="none"/>
        </w:rPr>
        <w:t>健康家庭</w:t>
      </w:r>
      <w:r>
        <w:rPr>
          <w:rFonts w:hint="eastAsia" w:ascii="仿宋_GB2312" w:hAnsi="仿宋" w:eastAsia="仿宋_GB2312" w:cs="仿宋_GB2312"/>
          <w:color w:val="auto"/>
          <w:kern w:val="2"/>
          <w:sz w:val="32"/>
          <w:szCs w:val="32"/>
          <w:highlight w:val="none"/>
          <w:lang w:eastAsia="zh-CN"/>
        </w:rPr>
        <w:t>、</w:t>
      </w:r>
      <w:r>
        <w:rPr>
          <w:rFonts w:hint="eastAsia" w:ascii="仿宋_GB2312" w:hAnsi="仿宋" w:eastAsia="仿宋_GB2312" w:cs="仿宋_GB2312"/>
          <w:color w:val="auto"/>
          <w:kern w:val="2"/>
          <w:sz w:val="32"/>
          <w:szCs w:val="32"/>
          <w:highlight w:val="none"/>
        </w:rPr>
        <w:t>健康促进企业</w:t>
      </w:r>
      <w:r>
        <w:rPr>
          <w:rFonts w:hint="eastAsia" w:ascii="仿宋_GB2312" w:hAnsi="仿宋" w:eastAsia="仿宋_GB2312" w:cs="仿宋_GB2312"/>
          <w:color w:val="auto"/>
          <w:kern w:val="2"/>
          <w:sz w:val="32"/>
          <w:szCs w:val="32"/>
          <w:highlight w:val="none"/>
          <w:lang w:eastAsia="zh-CN"/>
        </w:rPr>
        <w:t>、</w:t>
      </w:r>
      <w:r>
        <w:rPr>
          <w:rFonts w:hint="eastAsia" w:ascii="仿宋_GB2312" w:hAnsi="仿宋" w:eastAsia="仿宋_GB2312" w:cs="仿宋_GB2312"/>
          <w:color w:val="auto"/>
          <w:kern w:val="2"/>
          <w:sz w:val="32"/>
          <w:szCs w:val="32"/>
          <w:highlight w:val="none"/>
        </w:rPr>
        <w:t>健康社区、健康促进医院、健康促进学校和健康促进机关</w:t>
      </w:r>
      <w:r>
        <w:rPr>
          <w:rFonts w:hint="eastAsia" w:ascii="仿宋_GB2312" w:hAnsi="仿宋" w:eastAsia="仿宋_GB2312" w:cs="仿宋_GB2312"/>
          <w:color w:val="auto"/>
          <w:kern w:val="2"/>
          <w:sz w:val="32"/>
          <w:szCs w:val="32"/>
          <w:highlight w:val="none"/>
          <w:lang w:eastAsia="zh-CN"/>
        </w:rPr>
        <w:t>等健康细胞建设</w:t>
      </w:r>
      <w:r>
        <w:rPr>
          <w:rFonts w:hint="eastAsia" w:ascii="仿宋_GB2312" w:hAnsi="仿宋" w:eastAsia="仿宋_GB2312" w:cs="仿宋_GB2312"/>
          <w:color w:val="auto"/>
          <w:kern w:val="2"/>
          <w:sz w:val="32"/>
          <w:szCs w:val="32"/>
          <w:highlight w:val="none"/>
        </w:rPr>
        <w:t>。</w:t>
      </w:r>
      <w:bookmarkEnd w:id="393"/>
      <w:bookmarkStart w:id="394" w:name="_Toc7606"/>
      <w:bookmarkStart w:id="395" w:name="_Toc23736"/>
      <w:bookmarkStart w:id="396" w:name="_Toc8276"/>
      <w:bookmarkStart w:id="397" w:name="_Toc4744"/>
      <w:bookmarkStart w:id="398" w:name="_Toc9459"/>
      <w:bookmarkStart w:id="399" w:name="_Toc15356"/>
      <w:bookmarkStart w:id="400" w:name="_Toc15066"/>
      <w:bookmarkStart w:id="401" w:name="_Toc12358"/>
      <w:bookmarkStart w:id="402" w:name="_Toc7167"/>
      <w:bookmarkStart w:id="403" w:name="_Toc14704"/>
      <w:bookmarkStart w:id="404" w:name="_Toc29757"/>
      <w:bookmarkStart w:id="405" w:name="_Toc18315"/>
      <w:bookmarkStart w:id="406" w:name="_Toc6962"/>
      <w:bookmarkStart w:id="407" w:name="_Toc6191"/>
      <w:bookmarkStart w:id="408" w:name="_Toc19452"/>
      <w:bookmarkStart w:id="409" w:name="_Toc16412"/>
      <w:bookmarkStart w:id="410" w:name="_Toc24536"/>
      <w:bookmarkStart w:id="411" w:name="_Toc20207"/>
      <w:bookmarkStart w:id="412" w:name="_Toc27725"/>
      <w:bookmarkStart w:id="413" w:name="_Toc14096"/>
      <w:bookmarkStart w:id="414" w:name="_Toc14592"/>
      <w:bookmarkStart w:id="415" w:name="_Toc4059"/>
      <w:bookmarkStart w:id="416" w:name="_Toc994"/>
      <w:bookmarkStart w:id="417" w:name="_Toc11729"/>
      <w:bookmarkStart w:id="418" w:name="_Toc14311"/>
      <w:bookmarkStart w:id="419" w:name="_Toc5241"/>
      <w:bookmarkStart w:id="420" w:name="_Toc1634"/>
      <w:bookmarkStart w:id="421" w:name="_Toc7846"/>
      <w:bookmarkStart w:id="422" w:name="_Toc10640"/>
      <w:bookmarkStart w:id="423" w:name="_Toc11433"/>
      <w:bookmarkStart w:id="424" w:name="_Toc31503"/>
      <w:bookmarkStart w:id="425" w:name="_Toc22466"/>
      <w:bookmarkStart w:id="426" w:name="_Toc3281"/>
      <w:bookmarkStart w:id="427" w:name="_Toc2263"/>
      <w:bookmarkStart w:id="428" w:name="_Toc21867"/>
      <w:bookmarkStart w:id="429" w:name="_Toc11774"/>
      <w:bookmarkStart w:id="430" w:name="_Toc10025"/>
      <w:bookmarkStart w:id="431" w:name="_Toc4265"/>
      <w:r>
        <w:rPr>
          <w:rFonts w:hint="eastAsia" w:ascii="仿宋_GB2312" w:hAnsi="仿宋" w:eastAsia="仿宋_GB2312" w:cs="仿宋_GB2312"/>
          <w:b/>
          <w:bCs/>
          <w:i w:val="0"/>
          <w:caps w:val="0"/>
          <w:color w:val="auto"/>
          <w:spacing w:val="0"/>
          <w:kern w:val="2"/>
          <w:sz w:val="32"/>
          <w:szCs w:val="32"/>
          <w:highlight w:val="none"/>
          <w:shd w:val="clear" w:color="auto" w:fill="auto"/>
          <w:lang w:val="en-US" w:eastAsia="zh-CN" w:bidi="ar"/>
        </w:rPr>
        <w:t>三是加强青少年健康管理。</w:t>
      </w:r>
      <w:r>
        <w:rPr>
          <w:rFonts w:hint="eastAsia" w:ascii="仿宋_GB2312" w:hAnsi="仿宋" w:eastAsia="仿宋_GB2312" w:cs="仿宋_GB2312"/>
          <w:i w:val="0"/>
          <w:caps w:val="0"/>
          <w:color w:val="auto"/>
          <w:spacing w:val="0"/>
          <w:kern w:val="2"/>
          <w:sz w:val="32"/>
          <w:szCs w:val="32"/>
          <w:highlight w:val="none"/>
          <w:shd w:val="clear" w:color="auto" w:fill="auto"/>
          <w:lang w:val="en-US" w:eastAsia="zh-CN" w:bidi="ar"/>
        </w:rPr>
        <w:t>健全卫生健康副校长制度，强化校园疫情防控技术支撑和学生常见病防治。</w:t>
      </w:r>
      <w:r>
        <w:rPr>
          <w:rFonts w:hint="eastAsia" w:ascii="仿宋_GB2312" w:hAnsi="仿宋" w:eastAsia="仿宋_GB2312" w:cs="仿宋_GB2312"/>
          <w:color w:val="auto"/>
          <w:kern w:val="2"/>
          <w:sz w:val="32"/>
          <w:szCs w:val="32"/>
          <w:highlight w:val="none"/>
          <w:lang w:eastAsia="zh-CN"/>
        </w:rPr>
        <w:t>完善青少年群体</w:t>
      </w:r>
      <w:r>
        <w:rPr>
          <w:rFonts w:hint="eastAsia" w:ascii="仿宋_GB2312" w:hAnsi="仿宋" w:eastAsia="仿宋_GB2312" w:cs="仿宋_GB2312"/>
          <w:i w:val="0"/>
          <w:caps w:val="0"/>
          <w:color w:val="auto"/>
          <w:spacing w:val="0"/>
          <w:kern w:val="2"/>
          <w:sz w:val="32"/>
          <w:szCs w:val="32"/>
          <w:highlight w:val="none"/>
          <w:shd w:val="clear" w:color="auto" w:fill="auto"/>
          <w:lang w:val="en-US" w:eastAsia="zh-CN" w:bidi="ar"/>
        </w:rPr>
        <w:t>近视、肥胖、营养不良、脊柱侧弯等主要健康问题的监管监测及防治模式。完成市、区中小学生近视筛查工作任务，</w:t>
      </w:r>
      <w:r>
        <w:rPr>
          <w:rFonts w:hint="eastAsia" w:ascii="仿宋_GB2312" w:hAnsi="仿宋" w:eastAsia="仿宋_GB2312" w:cs="仿宋_GB2312"/>
          <w:color w:val="auto"/>
          <w:sz w:val="32"/>
          <w:szCs w:val="32"/>
          <w:highlight w:val="none"/>
          <w:lang w:eastAsia="zh-CN"/>
        </w:rPr>
        <w:t>开展近视防控技术指导等干预措施；组织</w:t>
      </w:r>
      <w:r>
        <w:rPr>
          <w:rFonts w:hint="eastAsia" w:ascii="仿宋_GB2312" w:hAnsi="仿宋" w:eastAsia="仿宋_GB2312" w:cs="仿宋_GB2312"/>
          <w:i w:val="0"/>
          <w:caps w:val="0"/>
          <w:color w:val="auto"/>
          <w:spacing w:val="0"/>
          <w:kern w:val="2"/>
          <w:sz w:val="32"/>
          <w:szCs w:val="32"/>
          <w:highlight w:val="none"/>
          <w:shd w:val="clear" w:color="auto" w:fill="auto"/>
          <w:lang w:val="en-US" w:eastAsia="zh-CN" w:bidi="ar"/>
        </w:rPr>
        <w:t>健康教育、科普宣传等活动，</w:t>
      </w:r>
      <w:r>
        <w:rPr>
          <w:rFonts w:hint="eastAsia" w:ascii="仿宋_GB2312" w:hAnsi="仿宋" w:eastAsia="仿宋_GB2312" w:cs="仿宋_GB2312"/>
          <w:i w:val="0"/>
          <w:caps w:val="0"/>
          <w:color w:val="000000"/>
          <w:spacing w:val="0"/>
          <w:kern w:val="2"/>
          <w:sz w:val="32"/>
          <w:szCs w:val="32"/>
          <w:highlight w:val="none"/>
          <w:lang w:val="en-US" w:eastAsia="zh-CN" w:bidi="ar"/>
        </w:rPr>
        <w:t>强化学生健康体检与体质健康监测。</w:t>
      </w:r>
      <w:r>
        <w:rPr>
          <w:rFonts w:hint="eastAsia" w:ascii="仿宋_GB2312" w:hAnsi="仿宋" w:eastAsia="仿宋_GB2312" w:cs="仿宋_GB2312"/>
          <w:color w:val="auto"/>
          <w:sz w:val="32"/>
          <w:szCs w:val="32"/>
          <w:highlight w:val="none"/>
        </w:rPr>
        <w:t>切实</w:t>
      </w:r>
      <w:r>
        <w:rPr>
          <w:rFonts w:hint="eastAsia" w:ascii="仿宋_GB2312" w:hAnsi="仿宋" w:eastAsia="仿宋_GB2312" w:cs="仿宋_GB2312"/>
          <w:color w:val="auto"/>
          <w:sz w:val="32"/>
          <w:szCs w:val="32"/>
          <w:highlight w:val="none"/>
          <w:lang w:eastAsia="zh-CN"/>
        </w:rPr>
        <w:t>做好</w:t>
      </w:r>
      <w:r>
        <w:rPr>
          <w:rFonts w:hint="eastAsia" w:ascii="仿宋_GB2312" w:hAnsi="仿宋" w:eastAsia="仿宋_GB2312" w:cs="仿宋_GB2312"/>
          <w:color w:val="auto"/>
          <w:sz w:val="32"/>
          <w:szCs w:val="32"/>
          <w:highlight w:val="none"/>
        </w:rPr>
        <w:t>水痘、手足口病、流感等</w:t>
      </w:r>
      <w:r>
        <w:rPr>
          <w:rFonts w:hint="eastAsia" w:ascii="仿宋_GB2312" w:hAnsi="仿宋" w:eastAsia="仿宋_GB2312" w:cs="仿宋_GB2312"/>
          <w:color w:val="auto"/>
          <w:sz w:val="32"/>
          <w:szCs w:val="32"/>
          <w:highlight w:val="none"/>
          <w:lang w:eastAsia="zh-CN"/>
        </w:rPr>
        <w:t>校园</w:t>
      </w:r>
      <w:r>
        <w:rPr>
          <w:rFonts w:hint="eastAsia" w:ascii="仿宋_GB2312" w:hAnsi="仿宋" w:eastAsia="仿宋_GB2312" w:cs="仿宋_GB2312"/>
          <w:color w:val="auto"/>
          <w:sz w:val="32"/>
          <w:szCs w:val="32"/>
          <w:highlight w:val="none"/>
        </w:rPr>
        <w:t>聚集性疫情</w:t>
      </w:r>
      <w:r>
        <w:rPr>
          <w:rFonts w:hint="eastAsia" w:ascii="仿宋_GB2312" w:hAnsi="仿宋" w:eastAsia="仿宋_GB2312" w:cs="仿宋_GB2312"/>
          <w:color w:val="auto"/>
          <w:sz w:val="32"/>
          <w:szCs w:val="32"/>
          <w:highlight w:val="none"/>
          <w:lang w:eastAsia="zh-CN"/>
        </w:rPr>
        <w:t>防控工作，</w:t>
      </w:r>
      <w:r>
        <w:rPr>
          <w:rFonts w:hint="eastAsia" w:ascii="仿宋_GB2312" w:hAnsi="仿宋" w:eastAsia="仿宋_GB2312" w:cs="仿宋_GB2312"/>
          <w:i w:val="0"/>
          <w:caps w:val="0"/>
          <w:color w:val="000000"/>
          <w:spacing w:val="0"/>
          <w:kern w:val="2"/>
          <w:sz w:val="32"/>
          <w:szCs w:val="32"/>
          <w:highlight w:val="none"/>
          <w:lang w:val="en-US" w:eastAsia="zh-CN" w:bidi="ar"/>
        </w:rPr>
        <w:t>为青少年健康成长提供强有力的保障。</w:t>
      </w:r>
      <w:r>
        <w:rPr>
          <w:rFonts w:hint="eastAsia" w:ascii="仿宋_GB2312" w:hAnsi="仿宋" w:eastAsia="仿宋_GB2312" w:cs="仿宋_GB2312"/>
          <w:b/>
          <w:bCs/>
          <w:color w:val="auto"/>
          <w:kern w:val="2"/>
          <w:sz w:val="32"/>
          <w:szCs w:val="32"/>
          <w:highlight w:val="none"/>
          <w:lang w:eastAsia="zh-CN"/>
        </w:rPr>
        <w:t>四是</w:t>
      </w:r>
      <w:r>
        <w:rPr>
          <w:rFonts w:hint="eastAsia" w:ascii="仿宋_GB2312" w:hAnsi="仿宋_GB2312" w:eastAsia="仿宋_GB2312" w:cs="仿宋_GB2312"/>
          <w:b/>
          <w:bCs/>
          <w:color w:val="auto"/>
          <w:sz w:val="32"/>
          <w:szCs w:val="32"/>
          <w:highlight w:val="none"/>
          <w:lang w:val="en-US" w:eastAsia="zh-CN"/>
        </w:rPr>
        <w:t>开展爱国卫生运动</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Start w:id="432" w:name="_Toc9086"/>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 w:eastAsia="仿宋_GB2312" w:cs="仿宋_GB2312"/>
          <w:color w:val="auto"/>
          <w:kern w:val="2"/>
          <w:sz w:val="32"/>
          <w:szCs w:val="32"/>
          <w:highlight w:val="none"/>
        </w:rPr>
        <w:t>规范区爱卫会各成员单位的工作协作联动机制，扎实开展“爱国卫生月”暨“清洁深圳月”爱国卫生专项行动。推动医疗卫生机构厕所革命和垃圾分类工作，督促做好重点公共区域消杀消毒工作，开展“四害”灭治统一行动。完善全区病媒生物预防控制服务机构管理体系，采取病媒生物防制有效措施，加强病媒密度监测，控制病媒生物密度，在2025年底前实现达到4项A级水平。</w:t>
      </w:r>
      <w:bookmarkEnd w:id="432"/>
      <w:bookmarkStart w:id="433" w:name="_Toc11482"/>
      <w:bookmarkStart w:id="434" w:name="_Toc13874"/>
      <w:bookmarkStart w:id="435" w:name="_Toc8803"/>
      <w:bookmarkStart w:id="436" w:name="_Toc20819"/>
      <w:bookmarkStart w:id="437" w:name="_Toc21414"/>
      <w:bookmarkStart w:id="438" w:name="_Toc8453"/>
      <w:bookmarkStart w:id="439" w:name="_Toc21885"/>
      <w:bookmarkStart w:id="440" w:name="_Toc17936"/>
      <w:bookmarkStart w:id="441" w:name="_Toc22311"/>
      <w:bookmarkStart w:id="442" w:name="_Toc9247"/>
      <w:r>
        <w:rPr>
          <w:rFonts w:hint="eastAsia" w:ascii="仿宋_GB2312" w:hAnsi="仿宋" w:eastAsia="仿宋_GB2312" w:cs="仿宋_GB2312"/>
          <w:b/>
          <w:bCs/>
          <w:color w:val="auto"/>
          <w:kern w:val="2"/>
          <w:sz w:val="32"/>
          <w:szCs w:val="32"/>
          <w:highlight w:val="none"/>
          <w:lang w:eastAsia="zh-CN"/>
        </w:rPr>
        <w:t>五是</w:t>
      </w:r>
      <w:r>
        <w:rPr>
          <w:rFonts w:hint="eastAsia" w:ascii="仿宋_GB2312" w:hAnsi="仿宋_GB2312" w:eastAsia="仿宋_GB2312" w:cs="仿宋_GB2312"/>
          <w:b/>
          <w:bCs/>
          <w:color w:val="auto"/>
          <w:sz w:val="32"/>
          <w:szCs w:val="32"/>
          <w:highlight w:val="none"/>
          <w:lang w:val="en-US" w:eastAsia="zh-CN"/>
        </w:rPr>
        <w:t>完善老年健康服务体系。</w:t>
      </w:r>
      <w:r>
        <w:rPr>
          <w:rFonts w:hint="eastAsia" w:ascii="仿宋_GB2312" w:hAnsi="仿宋_GB2312" w:eastAsia="仿宋_GB2312" w:cs="仿宋_GB2312"/>
          <w:b w:val="0"/>
          <w:bCs w:val="0"/>
          <w:color w:val="auto"/>
          <w:sz w:val="32"/>
          <w:szCs w:val="32"/>
          <w:highlight w:val="none"/>
          <w:lang w:val="en-US" w:eastAsia="zh-CN"/>
        </w:rPr>
        <w:t>根据《关于印发广东省关于建立完善老年健康服务体系实施方案的通知》（粤卫〔2020〕6号），</w:t>
      </w:r>
      <w:r>
        <w:rPr>
          <w:rFonts w:hint="eastAsia" w:ascii="仿宋_GB2312" w:hAnsi="仿宋_GB2312" w:eastAsia="仿宋_GB2312" w:cs="仿宋_GB2312"/>
          <w:color w:val="auto"/>
          <w:sz w:val="32"/>
          <w:szCs w:val="32"/>
          <w:highlight w:val="none"/>
        </w:rPr>
        <w:t>加大光明区护理院建设力度，统筹社区医院、护理院、医院老年医学科建设，建立医疗、康复、护理双向转诊机制。</w:t>
      </w:r>
      <w:bookmarkStart w:id="443" w:name="_Toc14455"/>
      <w:bookmarkStart w:id="444" w:name="_Toc26"/>
      <w:bookmarkStart w:id="445" w:name="_Toc20076"/>
      <w:bookmarkStart w:id="446" w:name="_Toc8230"/>
      <w:bookmarkStart w:id="447" w:name="_Toc13571"/>
      <w:bookmarkStart w:id="448" w:name="_Toc15928"/>
      <w:bookmarkStart w:id="449" w:name="_Toc17968"/>
      <w:bookmarkStart w:id="450" w:name="_Toc24156"/>
      <w:bookmarkStart w:id="451" w:name="_Toc18153"/>
      <w:bookmarkStart w:id="452" w:name="_Toc21083"/>
      <w:bookmarkStart w:id="453" w:name="_Toc32229"/>
      <w:bookmarkStart w:id="454" w:name="_Toc15043"/>
      <w:bookmarkStart w:id="455" w:name="_Toc22155"/>
      <w:bookmarkStart w:id="456" w:name="_Toc21068"/>
      <w:bookmarkStart w:id="457" w:name="_Toc11076"/>
      <w:bookmarkStart w:id="458" w:name="_Toc8698"/>
      <w:bookmarkStart w:id="459" w:name="_Toc28691"/>
      <w:bookmarkStart w:id="460" w:name="_Toc23103"/>
      <w:bookmarkStart w:id="461" w:name="_Toc13186"/>
      <w:bookmarkStart w:id="462" w:name="_Toc18792"/>
      <w:bookmarkStart w:id="463" w:name="_Toc1502"/>
      <w:bookmarkStart w:id="464" w:name="_Toc21976"/>
      <w:bookmarkStart w:id="465" w:name="_Toc11811"/>
      <w:bookmarkStart w:id="466" w:name="_Toc20958"/>
      <w:bookmarkStart w:id="467" w:name="_Toc10085"/>
      <w:bookmarkStart w:id="468" w:name="_Toc24436"/>
      <w:bookmarkStart w:id="469" w:name="_Toc32720"/>
      <w:bookmarkStart w:id="470" w:name="_Toc5356"/>
      <w:bookmarkStart w:id="471" w:name="_Toc20049"/>
      <w:bookmarkStart w:id="472" w:name="_Toc220"/>
      <w:bookmarkStart w:id="473" w:name="_Toc26702"/>
      <w:bookmarkStart w:id="474" w:name="_Toc20281"/>
      <w:bookmarkStart w:id="475" w:name="_Toc8067"/>
      <w:bookmarkStart w:id="476" w:name="_Toc17213"/>
      <w:bookmarkStart w:id="477" w:name="_Toc18010"/>
      <w:bookmarkStart w:id="478" w:name="_Toc25177"/>
      <w:bookmarkStart w:id="479" w:name="_Toc6759"/>
      <w:bookmarkStart w:id="480" w:name="_Toc30951"/>
      <w:r>
        <w:rPr>
          <w:rFonts w:hint="eastAsia" w:ascii="仿宋_GB2312" w:hAnsi="仿宋_GB2312" w:eastAsia="仿宋_GB2312" w:cs="仿宋_GB2312"/>
          <w:color w:val="auto"/>
          <w:sz w:val="32"/>
          <w:szCs w:val="32"/>
          <w:highlight w:val="none"/>
        </w:rPr>
        <w:t>实施</w:t>
      </w:r>
      <w:r>
        <w:rPr>
          <w:rFonts w:hint="eastAsia" w:ascii="仿宋_GB2312" w:hAnsi="仿宋_GB2312" w:eastAsia="仿宋_GB2312" w:cs="仿宋_GB2312"/>
          <w:color w:val="auto"/>
          <w:sz w:val="32"/>
          <w:szCs w:val="32"/>
          <w:highlight w:val="none"/>
          <w:lang w:eastAsia="zh-CN"/>
        </w:rPr>
        <w:t>医养结合机构质量提升工程、安宁疗护试点、</w:t>
      </w:r>
      <w:r>
        <w:rPr>
          <w:rFonts w:hint="eastAsia" w:ascii="仿宋_GB2312" w:hAnsi="仿宋_GB2312" w:eastAsia="仿宋_GB2312" w:cs="仿宋_GB2312"/>
          <w:color w:val="auto"/>
          <w:sz w:val="32"/>
          <w:szCs w:val="32"/>
          <w:highlight w:val="none"/>
        </w:rPr>
        <w:t>老年人心理关爱、失能（失智）筛查</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项目。推进老龄事业发展，进一步发挥老龄委统筹协调作用，大力建设老年友好社区、老年友善医疗机构，</w:t>
      </w:r>
      <w:r>
        <w:rPr>
          <w:rFonts w:hint="eastAsia" w:ascii="仿宋_GB2312" w:hAnsi="仿宋_GB2312" w:eastAsia="仿宋_GB2312" w:cs="仿宋_GB2312"/>
          <w:color w:val="auto"/>
          <w:sz w:val="32"/>
          <w:szCs w:val="32"/>
          <w:highlight w:val="none"/>
          <w:lang w:eastAsia="zh-CN"/>
        </w:rPr>
        <w:t>持续推进“敬老月”系列活动和“敬老文明号”创建活动，开展智慧助老服务，</w:t>
      </w:r>
      <w:r>
        <w:rPr>
          <w:rFonts w:hint="eastAsia" w:ascii="仿宋_GB2312" w:hAnsi="仿宋_GB2312" w:eastAsia="仿宋_GB2312" w:cs="仿宋_GB2312"/>
          <w:color w:val="auto"/>
          <w:sz w:val="32"/>
          <w:szCs w:val="32"/>
          <w:highlight w:val="none"/>
        </w:rPr>
        <w:t>营造老年友好环境。</w:t>
      </w:r>
      <w:r>
        <w:rPr>
          <w:rFonts w:hint="eastAsia" w:ascii="仿宋_GB2312" w:hAnsi="仿宋_GB2312" w:eastAsia="仿宋_GB2312" w:cs="仿宋_GB2312"/>
          <w:color w:val="auto"/>
          <w:sz w:val="32"/>
          <w:szCs w:val="32"/>
          <w:highlight w:val="none"/>
          <w:lang w:val="en-US" w:eastAsia="zh-CN"/>
        </w:rPr>
        <w:t>2025年老年友好社区、老年友善医疗机构达到100%。</w:t>
      </w:r>
      <w:r>
        <w:rPr>
          <w:rFonts w:hint="eastAsia" w:ascii="仿宋_GB2312" w:hAnsi="仿宋_GB2312" w:eastAsia="仿宋_GB2312" w:cs="仿宋_GB2312"/>
          <w:b/>
          <w:bCs/>
          <w:color w:val="auto"/>
          <w:sz w:val="32"/>
          <w:szCs w:val="32"/>
          <w:highlight w:val="none"/>
          <w:lang w:eastAsia="zh-CN"/>
        </w:rPr>
        <w:t>六是</w:t>
      </w:r>
      <w:r>
        <w:rPr>
          <w:rFonts w:hint="eastAsia" w:ascii="仿宋_GB2312" w:hAnsi="仿宋_GB2312" w:eastAsia="仿宋_GB2312" w:cs="仿宋_GB2312"/>
          <w:b/>
          <w:bCs/>
          <w:color w:val="auto"/>
          <w:sz w:val="32"/>
          <w:szCs w:val="32"/>
          <w:highlight w:val="none"/>
          <w:lang w:val="en-US" w:eastAsia="zh-CN"/>
        </w:rPr>
        <w:t>加强重点人群管理</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仿宋_GB2312" w:hAnsi="仿宋_GB2312" w:eastAsia="仿宋_GB2312" w:cs="仿宋_GB2312"/>
          <w:b/>
          <w:bCs/>
          <w:color w:val="auto"/>
          <w:sz w:val="32"/>
          <w:szCs w:val="32"/>
          <w:highlight w:val="none"/>
          <w:lang w:val="en-US" w:eastAsia="zh-CN"/>
        </w:rPr>
        <w:t>。</w:t>
      </w:r>
      <w:bookmarkStart w:id="481" w:name="_Toc27735"/>
      <w:bookmarkStart w:id="482" w:name="_Toc771"/>
      <w:r>
        <w:rPr>
          <w:rFonts w:hint="eastAsia" w:ascii="仿宋_GB2312" w:hAnsi="仿宋_GB2312" w:eastAsia="仿宋_GB2312" w:cs="仿宋_GB2312"/>
          <w:color w:val="auto"/>
          <w:sz w:val="32"/>
          <w:szCs w:val="32"/>
          <w:highlight w:val="none"/>
        </w:rPr>
        <w:t>以创建区慢性病综合防控示范区为抓手，推进综合干预和慢性病患者自我管理，到2025年高血压、糖尿病规范管理率均达到65%，70岁以下人群慢性呼吸系统疾病死亡率下降2%，逐步提高居民健康期望寿命，减轻由慢性病导致的个人和社会负担。优化提升精神卫生综合服务管理，探索建立社区康复机构、家庭、“八位一体”工作小组相互衔接、相互促进的精神障碍社区康复服务体系，2025年严重精神障碍患者规范管理率达92</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%以上。</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481"/>
      <w:bookmarkEnd w:id="482"/>
    </w:p>
    <w:p>
      <w:pPr>
        <w:keepNext w:val="0"/>
        <w:keepLines w:val="0"/>
        <w:pageBreakBefore w:val="0"/>
        <w:widowControl w:val="0"/>
        <w:shd w:val="clear"/>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483" w:name="_Toc22441_WPSOffice_Level3"/>
      <w:r>
        <w:rPr>
          <w:rFonts w:hint="eastAsia" w:ascii="仿宋_GB2312" w:hAnsi="仿宋_GB2312" w:eastAsia="仿宋_GB2312" w:cs="仿宋_GB2312"/>
          <w:b/>
          <w:bCs w:val="0"/>
          <w:color w:val="auto"/>
          <w:kern w:val="44"/>
          <w:sz w:val="32"/>
          <w:szCs w:val="32"/>
          <w:highlight w:val="none"/>
          <w:lang w:val="en-US" w:eastAsia="zh-CN" w:bidi="ar-SA"/>
        </w:rPr>
        <w:t>3.优化家庭妇幼服务体系</w:t>
      </w:r>
      <w:bookmarkEnd w:id="483"/>
      <w:r>
        <w:rPr>
          <w:rFonts w:hint="eastAsia" w:ascii="仿宋_GB2312" w:hAnsi="仿宋_GB2312" w:eastAsia="仿宋_GB2312" w:cs="仿宋_GB2312"/>
          <w:b/>
          <w:bCs w:val="0"/>
          <w:color w:val="auto"/>
          <w:kern w:val="2"/>
          <w:sz w:val="32"/>
          <w:szCs w:val="32"/>
          <w:highlight w:val="none"/>
          <w:lang w:val="en-US" w:eastAsia="zh-CN" w:bidi="ar-SA"/>
        </w:rPr>
        <w:t>。一是提升</w:t>
      </w:r>
      <w:r>
        <w:rPr>
          <w:rFonts w:hint="eastAsia" w:ascii="仿宋_GB2312" w:hAnsi="仿宋_GB2312" w:eastAsia="仿宋_GB2312" w:cs="仿宋_GB2312"/>
          <w:b/>
          <w:bCs/>
          <w:color w:val="auto"/>
          <w:kern w:val="2"/>
          <w:sz w:val="32"/>
          <w:szCs w:val="32"/>
          <w:highlight w:val="none"/>
          <w:lang w:val="en-US" w:eastAsia="zh-CN" w:bidi="ar-SA"/>
        </w:rPr>
        <w:t>妇幼保健服务能力</w:t>
      </w:r>
      <w:r>
        <w:rPr>
          <w:rFonts w:hint="eastAsia" w:ascii="仿宋_GB2312" w:hAnsi="仿宋_GB2312" w:cs="仿宋_GB2312"/>
          <w:b/>
          <w:bCs/>
          <w:color w:val="auto"/>
          <w:kern w:val="2"/>
          <w:sz w:val="32"/>
          <w:szCs w:val="32"/>
          <w:highlight w:val="none"/>
          <w:lang w:val="en-US" w:eastAsia="zh-CN" w:bidi="ar-SA"/>
        </w:rPr>
        <w:t>。</w:t>
      </w:r>
      <w:r>
        <w:rPr>
          <w:rFonts w:hint="eastAsia" w:ascii="仿宋_GB2312" w:hAnsi="仿宋_GB2312" w:eastAsia="仿宋_GB2312" w:cs="仿宋_GB2312"/>
          <w:bCs w:val="0"/>
          <w:color w:val="auto"/>
          <w:kern w:val="2"/>
          <w:sz w:val="32"/>
          <w:szCs w:val="32"/>
          <w:highlight w:val="none"/>
          <w:lang w:val="en-US" w:eastAsia="zh-CN" w:bidi="ar-SA"/>
        </w:rPr>
        <w:t>贯彻落实《</w:t>
      </w:r>
      <w:r>
        <w:rPr>
          <w:rFonts w:hint="eastAsia" w:ascii="仿宋_GB2312" w:hAnsi="仿宋_GB2312" w:eastAsia="仿宋_GB2312" w:cs="仿宋_GB2312"/>
          <w:color w:val="auto"/>
          <w:sz w:val="32"/>
          <w:szCs w:val="32"/>
          <w:highlight w:val="none"/>
          <w:shd w:val="clear" w:color="auto" w:fill="FFFFFF"/>
          <w:lang w:eastAsia="zh-CN"/>
        </w:rPr>
        <w:t>国家卫生健康委关于印发母婴安全行动提升计划（2021-2025年）</w:t>
      </w:r>
      <w:r>
        <w:rPr>
          <w:rFonts w:hint="eastAsia" w:ascii="仿宋_GB2312" w:hAnsi="仿宋_GB2312" w:eastAsia="仿宋_GB2312" w:cs="仿宋_GB2312"/>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shd w:val="clear" w:color="auto" w:fill="FFFFFF"/>
          <w:lang w:eastAsia="zh-CN"/>
        </w:rPr>
        <w:t>（国卫妇幼发〔2021〕30号）、《</w:t>
      </w:r>
      <w:r>
        <w:rPr>
          <w:rFonts w:hint="eastAsia" w:ascii="仿宋_GB2312" w:hAnsi="仿宋_GB2312" w:eastAsia="仿宋_GB2312" w:cs="仿宋_GB2312"/>
          <w:color w:val="auto"/>
          <w:sz w:val="32"/>
          <w:szCs w:val="32"/>
          <w:highlight w:val="none"/>
          <w:shd w:val="clear" w:color="auto" w:fill="FFFFFF"/>
        </w:rPr>
        <w:t>国家卫生健康委办公厅关于印发宫颈癌筛查工作方案和乳腺癌筛查工作方案的通知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国卫办妇幼函〔2021〕635号</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Cs w:val="0"/>
          <w:color w:val="auto"/>
          <w:kern w:val="2"/>
          <w:sz w:val="32"/>
          <w:szCs w:val="32"/>
          <w:highlight w:val="none"/>
          <w:lang w:val="en-US" w:eastAsia="zh-CN" w:bidi="ar-SA"/>
        </w:rPr>
        <w:t>夯实以区妇幼保健院为主体、各级医疗单位妇幼保健部门为网点、社区健康服务中心为网底的妇幼保健服务网络。推进妇幼保健公共卫生服务、基础服务和特色专科建设等工作，全面落实妊娠风险筛查与评估、高危孕产妇专案管理、危急重症救治、孕产妇死亡个案报告和约谈通报等母婴安全五项制度。促进生殖健康服务融入妇女健康管理全过程，实施乳腺癌、宫颈癌两癌筛查。健全出生缺陷防治网络，落实三级预防措施，强化婚前保健，推进孕前优生健康检查，加强产前筛查和诊断，扩大新生儿疾病筛查病种范围，促进早筛早诊早治。积极落实围产期抑郁筛查与干预项目。加强少年儿童健康促进，加强儿童健康体检，建立儿童孤独症早期筛查机制，做到早发现早干预</w:t>
      </w:r>
      <w:r>
        <w:rPr>
          <w:rFonts w:hint="eastAsia" w:ascii="仿宋_GB2312" w:hAnsi="仿宋_GB2312" w:cs="仿宋_GB2312"/>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rPr>
        <w:t>到2025年，孕产妇系统管理率不低于95%，7岁以下儿童健康管理率不低于98%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kern w:val="2"/>
          <w:sz w:val="32"/>
          <w:szCs w:val="32"/>
          <w:highlight w:val="none"/>
          <w:lang w:val="en-US" w:eastAsia="zh-CN" w:bidi="ar-SA"/>
        </w:rPr>
        <w:t>完善普惠托育服务体系</w:t>
      </w:r>
      <w:r>
        <w:rPr>
          <w:rFonts w:hint="eastAsia" w:ascii="仿宋_GB2312" w:hAnsi="仿宋_GB2312" w:cs="仿宋_GB2312"/>
          <w:b/>
          <w:bCs/>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印发《</w:t>
      </w:r>
      <w:r>
        <w:rPr>
          <w:rFonts w:hint="eastAsia" w:ascii="仿宋_GB2312" w:hAnsi="仿宋_GB2312" w:eastAsia="仿宋_GB2312" w:cs="仿宋_GB2312"/>
          <w:b w:val="0"/>
          <w:bCs w:val="0"/>
          <w:color w:val="auto"/>
          <w:sz w:val="32"/>
          <w:szCs w:val="32"/>
          <w:highlight w:val="none"/>
          <w:lang w:eastAsia="zh-CN"/>
        </w:rPr>
        <w:t>深圳市光明区人民政府办公室关于印发光明区促进3岁以下婴幼儿照护服务发展实施方案（2020—2025年）的通知</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Cs w:val="0"/>
          <w:color w:val="auto"/>
          <w:kern w:val="2"/>
          <w:sz w:val="32"/>
          <w:szCs w:val="32"/>
          <w:highlight w:val="none"/>
          <w:lang w:val="en-US" w:eastAsia="zh-CN" w:bidi="ar-SA"/>
        </w:rPr>
        <w:t>完善婴幼儿照护服务的政策法规体系和标准规范体系，推动形成多元化、多样化、全覆盖的婴幼儿照护服务体系，加强对家庭婴幼儿照护的支持和指导，为婴幼儿家庭开展新生儿访视、膳食营养、生长发育、预防接种、安全防护、疾病防控等服务。大力发展医育融合、老幼共托、托幼一体等多种形式的托育服务机构，加快婴幼儿照护服务体系布局。加强婴幼儿照护服务专业化、规范化建设，到2025年，提供全日托、半日托、计时托、临时托等婴幼儿托育服务的机构在社区合理分布，全区托幼服务一体化的幼儿园（幼儿中心）达18家，每千人口拥有3岁以下婴幼儿托位数达4.5个。</w:t>
      </w:r>
      <w:bookmarkStart w:id="484" w:name="_Toc15286"/>
      <w:bookmarkStart w:id="485" w:name="_Toc3150"/>
      <w:bookmarkStart w:id="486" w:name="_Toc22252"/>
      <w:bookmarkStart w:id="487" w:name="_Toc27275"/>
      <w:bookmarkStart w:id="488" w:name="_Toc15086"/>
      <w:bookmarkStart w:id="489" w:name="_Toc24089"/>
      <w:bookmarkStart w:id="490" w:name="_Toc12329"/>
      <w:bookmarkStart w:id="491" w:name="_Toc3302"/>
      <w:bookmarkStart w:id="492" w:name="_Toc27165"/>
      <w:bookmarkStart w:id="493" w:name="_Toc30647"/>
      <w:bookmarkStart w:id="494" w:name="_Toc24578"/>
      <w:bookmarkStart w:id="495" w:name="_Toc19022"/>
      <w:bookmarkStart w:id="496" w:name="_Toc18003"/>
      <w:bookmarkStart w:id="497" w:name="_Toc17110"/>
      <w:bookmarkStart w:id="498" w:name="_Toc28234"/>
      <w:r>
        <w:rPr>
          <w:rFonts w:hint="eastAsia" w:ascii="仿宋_GB2312" w:hAnsi="仿宋_GB2312" w:eastAsia="仿宋_GB2312" w:cs="仿宋_GB2312"/>
          <w:b/>
          <w:bCs/>
          <w:color w:val="auto"/>
          <w:kern w:val="2"/>
          <w:sz w:val="32"/>
          <w:szCs w:val="32"/>
          <w:highlight w:val="none"/>
          <w:lang w:val="en-US" w:eastAsia="zh-CN" w:bidi="ar-SA"/>
        </w:rPr>
        <w:t>三是推进家庭发展能力建设。</w:t>
      </w:r>
      <w:r>
        <w:rPr>
          <w:rFonts w:hint="eastAsia" w:ascii="仿宋_GB2312" w:hAnsi="仿宋_GB2312" w:eastAsia="仿宋_GB2312" w:cs="仿宋_GB2312"/>
          <w:b w:val="0"/>
          <w:bCs w:val="0"/>
          <w:color w:val="auto"/>
          <w:kern w:val="2"/>
          <w:sz w:val="32"/>
          <w:szCs w:val="32"/>
          <w:highlight w:val="none"/>
          <w:lang w:val="en-US" w:eastAsia="zh-CN" w:bidi="ar-SA"/>
        </w:rPr>
        <w:t>根据《</w:t>
      </w:r>
      <w:r>
        <w:rPr>
          <w:rFonts w:hint="eastAsia" w:ascii="仿宋_GB2312" w:hAnsi="仿宋_GB2312" w:eastAsia="仿宋_GB2312" w:cs="仿宋_GB2312"/>
          <w:b w:val="0"/>
          <w:bCs w:val="0"/>
          <w:color w:val="auto"/>
          <w:sz w:val="32"/>
          <w:szCs w:val="32"/>
          <w:highlight w:val="none"/>
          <w:shd w:val="clear" w:color="auto" w:fill="FFFFFF"/>
          <w:lang w:eastAsia="zh-CN"/>
        </w:rPr>
        <w:t>广东省人口与计划生育条例（2021年12月1日修正）</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Cs w:val="0"/>
          <w:color w:val="auto"/>
          <w:kern w:val="2"/>
          <w:sz w:val="32"/>
          <w:szCs w:val="32"/>
          <w:highlight w:val="none"/>
          <w:lang w:val="en-US" w:eastAsia="zh-CN" w:bidi="ar-SA"/>
        </w:rPr>
        <w:t>落实一对夫妻可以生育三个子女政策</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hint="eastAsia" w:ascii="仿宋_GB2312" w:hAnsi="仿宋_GB2312" w:eastAsia="仿宋_GB2312" w:cs="仿宋_GB2312"/>
          <w:bCs w:val="0"/>
          <w:color w:val="auto"/>
          <w:kern w:val="2"/>
          <w:sz w:val="32"/>
          <w:szCs w:val="32"/>
          <w:highlight w:val="none"/>
          <w:lang w:val="en-US" w:eastAsia="zh-CN" w:bidi="ar-SA"/>
        </w:rPr>
        <w:t>，提倡适龄婚育、优生优育。落实生育登记制度，做好生育咨询指导。加强人口监测，实现公安、民政、卫健等人口服务基础信息互联互通。完善计生家庭发展政策体系，落实支持家庭生育的经济社会政策和公共服务，降低生育、养育、教育成本。推进独生子女家庭保险保障计划，构建多层次计划生育特殊家庭终身服务体系，完善经济、保险、健康、结伴、成长、婚育、养老等关爱措施。深入开展“暖心行动”，落实计划生育特殊家庭“双岗”联系人制度、家庭医生签约服务、就医绿色通道“三个全覆盖”。</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highlight w:val="none"/>
          <w:lang w:val="en-US" w:eastAsia="zh-CN"/>
        </w:rPr>
      </w:pPr>
      <w:bookmarkStart w:id="499" w:name="_Toc28143_WPSOffice_Level2"/>
      <w:bookmarkStart w:id="500" w:name="_Toc31251_WPSOffice_Level2"/>
      <w:bookmarkStart w:id="501" w:name="_Toc3256_WPSOffice_Level2"/>
      <w:r>
        <w:rPr>
          <w:rFonts w:hint="eastAsia" w:ascii="楷体_GB2312" w:hAnsi="楷体_GB2312" w:eastAsia="楷体_GB2312" w:cs="楷体_GB2312"/>
          <w:color w:val="auto"/>
          <w:sz w:val="32"/>
          <w:szCs w:val="32"/>
          <w:highlight w:val="none"/>
          <w:lang w:val="en-US" w:eastAsia="zh-CN"/>
        </w:rPr>
        <w:t>（二）健全医疗卫生服务体系</w:t>
      </w:r>
      <w:bookmarkEnd w:id="499"/>
      <w:bookmarkEnd w:id="500"/>
      <w:bookmarkEnd w:id="501"/>
    </w:p>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lang w:eastAsia="zh-CN"/>
        </w:rPr>
      </w:pPr>
      <w:bookmarkStart w:id="502" w:name="_Toc24428_WPSOffice_Level3"/>
      <w:bookmarkStart w:id="503" w:name="_Toc18837"/>
      <w:bookmarkStart w:id="504" w:name="_Toc4914"/>
      <w:bookmarkStart w:id="505" w:name="_Toc20098"/>
      <w:bookmarkStart w:id="506" w:name="_Toc28091"/>
      <w:bookmarkStart w:id="507" w:name="_Toc29851"/>
      <w:bookmarkStart w:id="508" w:name="_Toc19821"/>
      <w:bookmarkStart w:id="509" w:name="_Toc30318"/>
      <w:bookmarkStart w:id="510" w:name="_Toc1970"/>
      <w:bookmarkStart w:id="511" w:name="_Toc2550"/>
      <w:bookmarkStart w:id="512" w:name="_Toc29466"/>
      <w:bookmarkStart w:id="513" w:name="_Toc17624"/>
      <w:bookmarkStart w:id="514" w:name="_Toc1659"/>
      <w:bookmarkStart w:id="515" w:name="_Toc4259"/>
      <w:bookmarkStart w:id="516" w:name="_Toc4146"/>
      <w:bookmarkStart w:id="517" w:name="_Toc16920"/>
      <w:bookmarkStart w:id="518" w:name="_Toc24577"/>
      <w:bookmarkStart w:id="519" w:name="_Toc12815"/>
      <w:bookmarkStart w:id="520" w:name="_Toc32537"/>
      <w:bookmarkStart w:id="521" w:name="_Toc18579"/>
      <w:bookmarkStart w:id="522" w:name="_Toc19864"/>
      <w:bookmarkStart w:id="523" w:name="_Toc10678"/>
      <w:bookmarkStart w:id="524" w:name="_Toc6121"/>
      <w:bookmarkStart w:id="525" w:name="_Toc30968"/>
      <w:bookmarkStart w:id="526" w:name="_Toc374"/>
      <w:bookmarkStart w:id="527" w:name="_Toc23518"/>
      <w:bookmarkStart w:id="528" w:name="_Toc14749"/>
      <w:bookmarkStart w:id="529" w:name="_Toc17166"/>
      <w:bookmarkStart w:id="530" w:name="_Toc2618"/>
      <w:bookmarkStart w:id="531" w:name="_Toc10051"/>
      <w:bookmarkStart w:id="532" w:name="_Toc8914"/>
      <w:bookmarkStart w:id="533" w:name="_Toc1621"/>
      <w:bookmarkStart w:id="534" w:name="_Toc1399"/>
      <w:bookmarkStart w:id="535" w:name="_Toc15226"/>
      <w:bookmarkStart w:id="536" w:name="_Toc4939"/>
      <w:bookmarkStart w:id="537" w:name="_Toc12195"/>
      <w:bookmarkStart w:id="538" w:name="_Toc11259"/>
      <w:bookmarkStart w:id="539" w:name="_Toc15679"/>
      <w:bookmarkStart w:id="540" w:name="_Toc8298"/>
      <w:bookmarkStart w:id="541" w:name="_Toc1379"/>
      <w:bookmarkStart w:id="542" w:name="_Toc23404"/>
      <w:bookmarkStart w:id="543" w:name="_Toc12692"/>
      <w:bookmarkStart w:id="544" w:name="_Toc26222"/>
      <w:bookmarkStart w:id="545" w:name="_Toc5407"/>
      <w:bookmarkStart w:id="546" w:name="_Toc29568"/>
      <w:bookmarkStart w:id="547" w:name="_Toc8866"/>
      <w:bookmarkStart w:id="548" w:name="_Toc20685"/>
      <w:bookmarkStart w:id="549" w:name="_Toc4399"/>
      <w:bookmarkStart w:id="550" w:name="_Toc22231"/>
      <w:bookmarkStart w:id="551" w:name="_Toc166"/>
      <w:bookmarkStart w:id="552" w:name="_Toc14576"/>
      <w:bookmarkStart w:id="553" w:name="_Toc15685"/>
      <w:bookmarkStart w:id="554" w:name="_Toc1865"/>
      <w:bookmarkStart w:id="555" w:name="_Toc24883"/>
      <w:bookmarkStart w:id="556" w:name="_Toc25860"/>
      <w:bookmarkStart w:id="557" w:name="_Toc6747"/>
      <w:bookmarkStart w:id="558" w:name="_Toc11100"/>
      <w:bookmarkStart w:id="559" w:name="_Toc25340"/>
      <w:bookmarkStart w:id="560" w:name="_Toc17367"/>
      <w:bookmarkStart w:id="561" w:name="_Toc30093"/>
      <w:bookmarkStart w:id="562" w:name="_Toc31657"/>
      <w:bookmarkStart w:id="563" w:name="_Toc5803"/>
      <w:bookmarkStart w:id="564" w:name="_Toc29268"/>
      <w:bookmarkStart w:id="565" w:name="_Toc30326_WPSOffice_Level3"/>
      <w:r>
        <w:rPr>
          <w:rFonts w:hint="eastAsia" w:ascii="仿宋_GB2312" w:hAnsi="仿宋_GB2312" w:eastAsia="仿宋_GB2312" w:cs="仿宋_GB2312"/>
          <w:b/>
          <w:bCs w:val="0"/>
          <w:color w:val="auto"/>
          <w:kern w:val="2"/>
          <w:sz w:val="32"/>
          <w:szCs w:val="32"/>
          <w:highlight w:val="none"/>
          <w:lang w:val="en-US" w:eastAsia="zh-CN" w:bidi="ar-SA"/>
        </w:rPr>
        <w:t>1.整合区域医疗卫生资源</w:t>
      </w:r>
      <w:bookmarkEnd w:id="502"/>
      <w:r>
        <w:rPr>
          <w:rFonts w:hint="eastAsia" w:ascii="仿宋_GB2312" w:hAnsi="仿宋_GB2312" w:eastAsia="仿宋_GB2312" w:cs="仿宋_GB2312"/>
          <w:b/>
          <w:bCs w:val="0"/>
          <w:color w:val="auto"/>
          <w:kern w:val="2"/>
          <w:sz w:val="32"/>
          <w:szCs w:val="32"/>
          <w:highlight w:val="none"/>
          <w:lang w:val="en-US" w:eastAsia="zh-CN" w:bidi="ar-SA"/>
        </w:rPr>
        <w:t>。</w:t>
      </w:r>
      <w:r>
        <w:rPr>
          <w:rFonts w:hint="eastAsia" w:ascii="仿宋_GB2312" w:eastAsia="仿宋_GB2312" w:cs="Times New Roman"/>
          <w:b/>
          <w:color w:val="auto"/>
          <w:sz w:val="32"/>
          <w:szCs w:val="32"/>
          <w:highlight w:val="none"/>
          <w:lang w:val="en-US" w:eastAsia="zh-CN"/>
        </w:rPr>
        <w:t>一是</w:t>
      </w:r>
      <w:bookmarkEnd w:id="503"/>
      <w:bookmarkEnd w:id="504"/>
      <w:bookmarkEnd w:id="505"/>
      <w:bookmarkEnd w:id="506"/>
      <w:bookmarkEnd w:id="507"/>
      <w:bookmarkEnd w:id="508"/>
      <w:bookmarkStart w:id="566" w:name="_Toc31249"/>
      <w:r>
        <w:rPr>
          <w:rFonts w:hint="eastAsia" w:ascii="仿宋_GB2312" w:eastAsia="仿宋_GB2312" w:cs="Times New Roman"/>
          <w:b/>
          <w:color w:val="auto"/>
          <w:sz w:val="32"/>
          <w:szCs w:val="32"/>
          <w:highlight w:val="none"/>
          <w:lang w:val="en-US" w:eastAsia="zh-CN"/>
        </w:rPr>
        <w:t>分层级高水平推进</w:t>
      </w:r>
      <w:r>
        <w:rPr>
          <w:rFonts w:hint="eastAsia" w:ascii="仿宋_GB2312" w:hAnsi="Times New Roman" w:eastAsia="仿宋_GB2312" w:cs="Times New Roman"/>
          <w:b/>
          <w:color w:val="auto"/>
          <w:sz w:val="32"/>
          <w:szCs w:val="32"/>
          <w:highlight w:val="none"/>
          <w:lang w:val="en-US" w:eastAsia="zh-CN"/>
        </w:rPr>
        <w:t>医院</w:t>
      </w:r>
      <w:r>
        <w:rPr>
          <w:rFonts w:hint="eastAsia" w:ascii="仿宋_GB2312" w:eastAsia="仿宋_GB2312" w:cs="Times New Roman"/>
          <w:b/>
          <w:color w:val="auto"/>
          <w:sz w:val="32"/>
          <w:szCs w:val="32"/>
          <w:highlight w:val="none"/>
          <w:lang w:val="en-US" w:eastAsia="zh-CN"/>
        </w:rPr>
        <w:t>差异化发展。</w:t>
      </w:r>
      <w:r>
        <w:rPr>
          <w:rFonts w:hint="eastAsia" w:ascii="仿宋_GB2312" w:eastAsia="仿宋_GB2312" w:cs="Times New Roman"/>
          <w:b w:val="0"/>
          <w:bCs/>
          <w:color w:val="auto"/>
          <w:sz w:val="32"/>
          <w:szCs w:val="32"/>
          <w:highlight w:val="none"/>
          <w:lang w:val="en-US" w:eastAsia="zh-CN"/>
        </w:rPr>
        <w:t>中山七院定位为区域医疗中心，</w:t>
      </w:r>
      <w:r>
        <w:rPr>
          <w:rFonts w:hint="eastAsia" w:ascii="仿宋_GB2312" w:hAnsi="仿宋" w:eastAsia="仿宋_GB2312"/>
          <w:bCs/>
          <w:color w:val="auto"/>
          <w:kern w:val="0"/>
          <w:sz w:val="32"/>
          <w:szCs w:val="32"/>
          <w:highlight w:val="none"/>
        </w:rPr>
        <w:t>创建“国家级区域医疗中心、应急与灾难医学中心、国家级保健康复中心”。市中医院光明院区定位为市中医区域医疗中心</w:t>
      </w:r>
      <w:r>
        <w:rPr>
          <w:rFonts w:hint="eastAsia" w:ascii="仿宋_GB2312" w:hAnsi="仿宋" w:eastAsia="仿宋_GB2312"/>
          <w:bCs/>
          <w:color w:val="auto"/>
          <w:kern w:val="0"/>
          <w:sz w:val="32"/>
          <w:szCs w:val="32"/>
          <w:highlight w:val="none"/>
          <w:lang w:eastAsia="zh-CN"/>
        </w:rPr>
        <w:t>，</w:t>
      </w:r>
      <w:r>
        <w:rPr>
          <w:rFonts w:hint="eastAsia" w:ascii="仿宋_GB2312" w:hAnsi="仿宋" w:eastAsia="仿宋_GB2312"/>
          <w:bCs/>
          <w:color w:val="auto"/>
          <w:kern w:val="0"/>
          <w:sz w:val="32"/>
          <w:szCs w:val="32"/>
          <w:highlight w:val="none"/>
        </w:rPr>
        <w:t>光明院区建设全市中医药最高水平临床示范基地。区属国科大深圳医院（光明）牵头组建“社区健康服务机构和其他医疗卫生机构参与的基层医疗联合体，</w:t>
      </w:r>
      <w:r>
        <w:rPr>
          <w:rFonts w:hint="eastAsia" w:ascii="仿宋_GB2312" w:hAnsi="仿宋_GB2312" w:eastAsia="仿宋_GB2312" w:cs="仿宋_GB2312"/>
          <w:color w:val="auto"/>
          <w:sz w:val="32"/>
          <w:szCs w:val="32"/>
          <w:highlight w:val="none"/>
          <w:lang w:val="en-US" w:eastAsia="zh-CN"/>
        </w:rPr>
        <w:t>为片区内居民提供预防、诊疗、营养、康复、护理、健康管理等一体化、连续性的健康管理服务”，</w:t>
      </w:r>
      <w:r>
        <w:rPr>
          <w:rFonts w:hint="eastAsia" w:ascii="仿宋_GB2312" w:hAnsi="仿宋" w:eastAsia="仿宋_GB2312"/>
          <w:bCs/>
          <w:color w:val="auto"/>
          <w:kern w:val="0"/>
          <w:sz w:val="32"/>
          <w:szCs w:val="32"/>
          <w:highlight w:val="none"/>
          <w:lang w:eastAsia="zh-CN"/>
        </w:rPr>
        <w:t>其中</w:t>
      </w:r>
      <w:r>
        <w:rPr>
          <w:rFonts w:hint="eastAsia" w:ascii="仿宋_GB2312" w:hAnsi="仿宋_GB2312" w:eastAsia="仿宋_GB2312" w:cs="仿宋_GB2312"/>
          <w:b w:val="0"/>
          <w:bCs w:val="0"/>
          <w:color w:val="auto"/>
          <w:kern w:val="2"/>
          <w:sz w:val="32"/>
          <w:szCs w:val="32"/>
          <w:highlight w:val="none"/>
          <w:lang w:val="en-US" w:eastAsia="zh-CN" w:bidi="ar-SA"/>
        </w:rPr>
        <w:t>东院区定位为现代化研究型医院。</w:t>
      </w:r>
      <w:r>
        <w:rPr>
          <w:rFonts w:hint="eastAsia" w:ascii="仿宋_GB2312" w:hAnsi="仿宋_GB2312" w:eastAsia="仿宋_GB2312" w:cs="仿宋_GB2312"/>
          <w:b w:val="0"/>
          <w:bCs w:val="0"/>
          <w:color w:val="auto"/>
          <w:sz w:val="32"/>
          <w:szCs w:val="32"/>
          <w:highlight w:val="none"/>
          <w:lang w:val="en-US" w:eastAsia="zh-CN"/>
        </w:rPr>
        <w:t>区妇幼保健院定位为以妇幼保健为特色的三级甲等专科医院，建设成为集保健、医疗、教学于一体的辖区妇幼保健机构。</w:t>
      </w:r>
      <w:r>
        <w:rPr>
          <w:rFonts w:hint="eastAsia" w:ascii="仿宋_GB2312" w:hAnsi="仿宋" w:eastAsia="仿宋_GB2312"/>
          <w:bCs/>
          <w:color w:val="auto"/>
          <w:kern w:val="0"/>
          <w:sz w:val="32"/>
          <w:szCs w:val="32"/>
          <w:highlight w:val="none"/>
        </w:rPr>
        <w:t>高质量完成“三甲”创建，力争2025年前完成2家三甲医院创建。</w:t>
      </w:r>
      <w:bookmarkEnd w:id="566"/>
      <w:bookmarkStart w:id="567" w:name="_Toc11025"/>
      <w:bookmarkStart w:id="568" w:name="_Toc12020"/>
      <w:bookmarkStart w:id="569" w:name="_Toc14362"/>
      <w:bookmarkStart w:id="570" w:name="_Toc12446"/>
      <w:bookmarkStart w:id="571" w:name="_Toc23508"/>
      <w:bookmarkStart w:id="572" w:name="_Toc21791"/>
      <w:r>
        <w:rPr>
          <w:rFonts w:hint="eastAsia" w:ascii="仿宋_GB2312" w:hAnsi="仿宋" w:eastAsia="仿宋_GB2312"/>
          <w:b/>
          <w:bCs w:val="0"/>
          <w:color w:val="auto"/>
          <w:kern w:val="0"/>
          <w:sz w:val="32"/>
          <w:szCs w:val="32"/>
          <w:highlight w:val="none"/>
          <w:lang w:eastAsia="zh-CN"/>
        </w:rPr>
        <w:t>二是</w:t>
      </w:r>
      <w:r>
        <w:rPr>
          <w:rFonts w:hint="eastAsia" w:ascii="仿宋_GB2312" w:hAnsi="仿宋_GB2312" w:eastAsia="仿宋_GB2312" w:cs="仿宋_GB2312"/>
          <w:b/>
          <w:bCs w:val="0"/>
          <w:color w:val="auto"/>
          <w:sz w:val="32"/>
          <w:szCs w:val="32"/>
          <w:highlight w:val="none"/>
          <w:lang w:eastAsia="zh-CN"/>
        </w:rPr>
        <w:t>加快推动区域医疗中心与基层医疗集团协同高效运行。</w:t>
      </w:r>
      <w:r>
        <w:rPr>
          <w:rFonts w:hint="eastAsia" w:ascii="仿宋_GB2312" w:hAnsi="仿宋_GB2312" w:eastAsia="仿宋_GB2312" w:cs="仿宋_GB2312"/>
          <w:color w:val="auto"/>
          <w:sz w:val="32"/>
          <w:szCs w:val="32"/>
          <w:highlight w:val="none"/>
          <w:lang w:eastAsia="zh-CN"/>
        </w:rPr>
        <w:t>健全区域性医疗中心与基层医疗集团之间的分工协作机制，大力发展远程检查、远程诊疗、远程会诊，通过组建专科联盟、专科共建、临床带教、教学查房、科研与项目协作等多种方式，提升责任区域内各医疗卫生机构的医疗服务能力和学科建设水平。</w:t>
      </w:r>
      <w:r>
        <w:rPr>
          <w:rFonts w:hint="eastAsia" w:ascii="仿宋_GB2312" w:hAnsi="仿宋_GB2312" w:eastAsia="仿宋_GB2312" w:cs="仿宋_GB2312"/>
          <w:b/>
          <w:bCs/>
          <w:color w:val="auto"/>
          <w:sz w:val="32"/>
          <w:szCs w:val="32"/>
          <w:highlight w:val="none"/>
          <w:lang w:eastAsia="zh-CN"/>
        </w:rPr>
        <w:t>三是</w:t>
      </w:r>
      <w:r>
        <w:rPr>
          <w:rFonts w:hint="eastAsia" w:ascii="仿宋_GB2312" w:hAnsi="Times New Roman" w:eastAsia="仿宋_GB2312" w:cs="Times New Roman"/>
          <w:b/>
          <w:bCs/>
          <w:color w:val="auto"/>
          <w:sz w:val="32"/>
          <w:szCs w:val="32"/>
          <w:highlight w:val="none"/>
          <w:lang w:val="en-US" w:eastAsia="zh-CN"/>
        </w:rPr>
        <w:t>突</w:t>
      </w:r>
      <w:r>
        <w:rPr>
          <w:rFonts w:hint="eastAsia" w:ascii="仿宋_GB2312" w:hAnsi="Times New Roman" w:eastAsia="仿宋_GB2312" w:cs="Times New Roman"/>
          <w:b/>
          <w:color w:val="auto"/>
          <w:sz w:val="32"/>
          <w:szCs w:val="32"/>
          <w:highlight w:val="none"/>
          <w:lang w:val="en-US" w:eastAsia="zh-CN"/>
        </w:rPr>
        <w:t>出光明特色重点学科建设</w:t>
      </w:r>
      <w:bookmarkEnd w:id="567"/>
      <w:bookmarkEnd w:id="568"/>
      <w:bookmarkEnd w:id="569"/>
      <w:bookmarkEnd w:id="570"/>
      <w:bookmarkEnd w:id="571"/>
      <w:bookmarkEnd w:id="572"/>
      <w:r>
        <w:rPr>
          <w:rFonts w:hint="eastAsia" w:ascii="仿宋_GB2312" w:eastAsia="仿宋_GB2312" w:cs="Times New Roman"/>
          <w:b/>
          <w:color w:val="auto"/>
          <w:sz w:val="32"/>
          <w:szCs w:val="32"/>
          <w:highlight w:val="none"/>
          <w:lang w:val="en-US" w:eastAsia="zh-CN"/>
        </w:rPr>
        <w:t>。</w:t>
      </w:r>
      <w:r>
        <w:rPr>
          <w:rFonts w:hint="eastAsia" w:ascii="仿宋_GB2312" w:hAnsi="仿宋" w:eastAsia="仿宋_GB2312"/>
          <w:bCs/>
          <w:color w:val="auto"/>
          <w:kern w:val="0"/>
          <w:sz w:val="32"/>
          <w:szCs w:val="32"/>
          <w:highlight w:val="none"/>
        </w:rPr>
        <w:t>打造重点学科“123”计划，力争创建1个国家级重点学科、2个省级重点学科、3个深圳市重点学科。</w:t>
      </w:r>
      <w:r>
        <w:rPr>
          <w:rFonts w:hint="eastAsia" w:ascii="仿宋_GB2312" w:hAnsi="仿宋_GB2312" w:eastAsia="仿宋_GB2312" w:cs="仿宋_GB2312"/>
          <w:color w:val="auto"/>
          <w:sz w:val="32"/>
          <w:szCs w:val="32"/>
          <w:highlight w:val="none"/>
        </w:rPr>
        <w:t>加强区域医学重点学科建设，完成区级第三周期医学重点学科验收，开展第四、第五周期医学重点学科建设，各周期择优评选出不少于10个重点学科或特色学科，周期内打造出5-8个学科竞争市级重点学科，80%以上的学科达到深圳市平均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力争建成1-2个省级医学重点学科，打造1-2个学科竞争国家级名专科、重点专科或实验室</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color="auto"/>
        <w:kinsoku/>
        <w:wordWrap/>
        <w:overflowPunct/>
        <w:topLinePunct w:val="0"/>
        <w:autoSpaceDE/>
        <w:autoSpaceDN/>
        <w:bidi w:val="0"/>
        <w:adjustRightInd/>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highlight w:val="none"/>
        </w:rPr>
      </w:pPr>
      <w:bookmarkStart w:id="573" w:name="_Toc9175_WPSOffice_Level3"/>
      <w:r>
        <w:rPr>
          <w:rFonts w:hint="eastAsia" w:ascii="仿宋_GB2312" w:hAnsi="仿宋_GB2312" w:eastAsia="仿宋_GB2312" w:cs="仿宋_GB2312"/>
          <w:b/>
          <w:bCs/>
          <w:color w:val="auto"/>
          <w:sz w:val="32"/>
          <w:szCs w:val="32"/>
          <w:highlight w:val="none"/>
          <w:lang w:val="en-US" w:eastAsia="zh-CN"/>
        </w:rPr>
        <w:t>2.提升医疗服务质量</w:t>
      </w:r>
      <w:bookmarkEnd w:id="573"/>
      <w:r>
        <w:rPr>
          <w:rFonts w:hint="eastAsia" w:ascii="仿宋_GB2312" w:hAnsi="仿宋_GB2312" w:eastAsia="仿宋_GB2312" w:cs="仿宋_GB2312"/>
          <w:b/>
          <w:bCs/>
          <w:color w:val="auto"/>
          <w:sz w:val="32"/>
          <w:szCs w:val="32"/>
          <w:highlight w:val="none"/>
          <w:lang w:val="en-US" w:eastAsia="zh-CN"/>
        </w:rPr>
        <w:t>。一是优化医</w:t>
      </w:r>
      <w:r>
        <w:rPr>
          <w:rFonts w:hint="eastAsia" w:ascii="仿宋_GB2312" w:eastAsia="仿宋_GB2312" w:cs="Times New Roman"/>
          <w:b/>
          <w:color w:val="auto"/>
          <w:sz w:val="32"/>
          <w:szCs w:val="32"/>
          <w:highlight w:val="none"/>
          <w:lang w:val="en-US" w:eastAsia="zh-CN"/>
        </w:rPr>
        <w:t>疗服务流程</w:t>
      </w:r>
      <w:bookmarkStart w:id="574" w:name="_Toc27328"/>
      <w:r>
        <w:rPr>
          <w:rFonts w:hint="eastAsia" w:ascii="仿宋_GB2312" w:eastAsia="仿宋_GB2312" w:cs="Times New Roman"/>
          <w:b/>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实施全程规范服务，优化预约诊疗服务，充分发挥客服中心和志愿者作用，为群众提供导医、导诊、挂号、缴费等门诊“一站式”服务。全面实施整体护理模式，扩大优质护理服务覆盖面，推进医院精神文明建设，实现医患关系双满意，</w:t>
      </w: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rPr>
        <w:t>争取患者满意度评测达到全市中上水平。</w:t>
      </w:r>
      <w:bookmarkEnd w:id="574"/>
      <w:bookmarkStart w:id="575" w:name="_Toc15057"/>
      <w:bookmarkStart w:id="576" w:name="_Toc19459"/>
      <w:bookmarkStart w:id="577" w:name="_Toc3012"/>
      <w:bookmarkStart w:id="578" w:name="_Toc22686"/>
      <w:bookmarkStart w:id="579" w:name="_Toc32025"/>
      <w:bookmarkStart w:id="580" w:name="_Toc30180"/>
      <w:bookmarkStart w:id="581" w:name="_Toc27939"/>
      <w:bookmarkStart w:id="582" w:name="_Toc4054"/>
      <w:bookmarkStart w:id="583" w:name="_Toc43"/>
      <w:bookmarkStart w:id="584" w:name="_Toc4959"/>
      <w:bookmarkStart w:id="585" w:name="_Toc4931"/>
      <w:bookmarkStart w:id="586" w:name="_Toc19186"/>
      <w:bookmarkStart w:id="587" w:name="_Toc6257"/>
      <w:bookmarkStart w:id="588" w:name="_Toc11946"/>
      <w:bookmarkStart w:id="589" w:name="_Toc23517"/>
      <w:bookmarkStart w:id="590" w:name="_Toc21054"/>
      <w:bookmarkStart w:id="591" w:name="_Toc8233"/>
      <w:bookmarkStart w:id="592" w:name="_Toc16836"/>
      <w:bookmarkStart w:id="593" w:name="_Toc1963"/>
      <w:bookmarkStart w:id="594" w:name="_Toc22759"/>
      <w:bookmarkStart w:id="595" w:name="_Toc32011"/>
      <w:bookmarkStart w:id="596" w:name="_Toc2145"/>
      <w:bookmarkStart w:id="597" w:name="_Toc7553"/>
      <w:bookmarkStart w:id="598" w:name="_Toc25724"/>
      <w:bookmarkStart w:id="599" w:name="_Toc27792"/>
      <w:bookmarkStart w:id="600" w:name="_Toc9862"/>
      <w:bookmarkStart w:id="601" w:name="_Toc2495"/>
      <w:bookmarkStart w:id="602" w:name="_Toc25821"/>
      <w:bookmarkStart w:id="603" w:name="_Toc11850"/>
      <w:bookmarkStart w:id="604" w:name="_Toc16752"/>
      <w:bookmarkStart w:id="605" w:name="_Toc21613"/>
      <w:bookmarkStart w:id="606" w:name="_Toc7403"/>
      <w:bookmarkStart w:id="607" w:name="_Toc8524"/>
      <w:bookmarkStart w:id="608" w:name="_Toc8362"/>
      <w:bookmarkStart w:id="609" w:name="_Toc11252"/>
      <w:bookmarkStart w:id="610" w:name="_Toc18491"/>
      <w:bookmarkStart w:id="611" w:name="_Toc31746"/>
      <w:bookmarkStart w:id="612" w:name="_Toc15427"/>
      <w:bookmarkStart w:id="613" w:name="_Toc7334"/>
      <w:bookmarkStart w:id="614" w:name="_Toc14605"/>
      <w:bookmarkStart w:id="615" w:name="_Toc10923"/>
      <w:bookmarkStart w:id="616" w:name="_Toc9520"/>
      <w:bookmarkStart w:id="617" w:name="_Toc6068"/>
      <w:bookmarkStart w:id="618" w:name="_Toc13931"/>
      <w:bookmarkStart w:id="619" w:name="_Toc16997"/>
      <w:bookmarkStart w:id="620" w:name="_Toc2293"/>
      <w:bookmarkStart w:id="621" w:name="_Toc1885"/>
      <w:bookmarkStart w:id="622" w:name="_Toc12462"/>
      <w:bookmarkStart w:id="623" w:name="_Toc26104"/>
      <w:bookmarkStart w:id="624" w:name="_Toc11412"/>
      <w:bookmarkStart w:id="625" w:name="_Toc31551"/>
      <w:bookmarkStart w:id="626" w:name="_Toc19114"/>
      <w:bookmarkStart w:id="627" w:name="_Toc28388"/>
      <w:bookmarkStart w:id="628" w:name="_Toc24808"/>
      <w:bookmarkStart w:id="629" w:name="_Toc6656"/>
      <w:bookmarkStart w:id="630" w:name="_Toc26004"/>
      <w:bookmarkStart w:id="631" w:name="_Toc13682"/>
      <w:bookmarkStart w:id="632" w:name="_Toc24738"/>
      <w:bookmarkStart w:id="633" w:name="_Toc5842"/>
      <w:bookmarkStart w:id="634" w:name="_Toc8989"/>
      <w:bookmarkStart w:id="635" w:name="_Toc6767"/>
      <w:bookmarkStart w:id="636" w:name="_Toc199"/>
      <w:bookmarkStart w:id="637" w:name="_Toc12769"/>
      <w:bookmarkStart w:id="638" w:name="_Toc30107"/>
      <w:bookmarkStart w:id="639" w:name="_Toc27780"/>
      <w:bookmarkStart w:id="640" w:name="_Toc22623"/>
      <w:bookmarkStart w:id="641" w:name="_Toc30199"/>
      <w:bookmarkStart w:id="642" w:name="_Toc2453"/>
      <w:bookmarkStart w:id="643" w:name="_Toc19318"/>
      <w:bookmarkStart w:id="644" w:name="_Toc4359"/>
      <w:bookmarkStart w:id="645" w:name="_Toc6498"/>
      <w:bookmarkStart w:id="646" w:name="_Toc7966"/>
      <w:bookmarkStart w:id="647" w:name="_Toc17938"/>
      <w:bookmarkStart w:id="648" w:name="_Toc437"/>
      <w:bookmarkStart w:id="649" w:name="_Toc9865"/>
      <w:bookmarkStart w:id="650" w:name="_Toc21521"/>
      <w:bookmarkStart w:id="651" w:name="_Toc26493"/>
      <w:bookmarkStart w:id="652" w:name="_Toc22449"/>
      <w:bookmarkStart w:id="653" w:name="_Toc18674"/>
      <w:bookmarkStart w:id="654" w:name="_Toc2419"/>
      <w:bookmarkStart w:id="655" w:name="_Toc11718"/>
      <w:bookmarkStart w:id="656" w:name="_Toc26234"/>
      <w:bookmarkStart w:id="657" w:name="_Toc31705"/>
      <w:bookmarkStart w:id="658" w:name="_Toc21396"/>
      <w:bookmarkStart w:id="659" w:name="_Toc18750"/>
      <w:bookmarkStart w:id="660" w:name="_Toc6016"/>
      <w:bookmarkStart w:id="661" w:name="_Toc22397"/>
      <w:bookmarkStart w:id="662" w:name="_Toc5120"/>
      <w:bookmarkStart w:id="663" w:name="_Toc27771"/>
      <w:bookmarkStart w:id="664" w:name="_Toc26352"/>
      <w:bookmarkStart w:id="665" w:name="_Toc16419"/>
      <w:bookmarkStart w:id="666" w:name="_Toc20056"/>
      <w:bookmarkStart w:id="667" w:name="_Toc28963"/>
      <w:bookmarkStart w:id="668" w:name="_Toc24296"/>
      <w:bookmarkStart w:id="669" w:name="_Toc22834"/>
      <w:bookmarkStart w:id="670" w:name="_Toc5461"/>
      <w:bookmarkStart w:id="671" w:name="_Toc8422"/>
      <w:bookmarkStart w:id="672" w:name="_Toc5980"/>
      <w:bookmarkStart w:id="673" w:name="_Toc25221"/>
      <w:bookmarkStart w:id="674" w:name="_Toc8583"/>
      <w:bookmarkStart w:id="675" w:name="_Toc27891"/>
      <w:bookmarkStart w:id="676" w:name="_Toc30202"/>
      <w:bookmarkStart w:id="677" w:name="_Toc22100"/>
      <w:bookmarkStart w:id="678" w:name="_Toc25287"/>
      <w:r>
        <w:rPr>
          <w:rFonts w:hint="eastAsia" w:ascii="仿宋_GB2312" w:eastAsia="仿宋_GB2312" w:cs="Times New Roman"/>
          <w:b/>
          <w:bCs w:val="0"/>
          <w:color w:val="auto"/>
          <w:sz w:val="32"/>
          <w:szCs w:val="32"/>
          <w:highlight w:val="none"/>
          <w:lang w:val="en-US" w:eastAsia="zh-CN"/>
        </w:rPr>
        <w:t>二是</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hint="eastAsia" w:ascii="仿宋_GB2312" w:hAnsi="仿宋_GB2312" w:eastAsia="仿宋_GB2312" w:cs="仿宋_GB2312"/>
          <w:b/>
          <w:bCs w:val="0"/>
          <w:color w:val="auto"/>
          <w:sz w:val="32"/>
          <w:szCs w:val="32"/>
          <w:highlight w:val="none"/>
        </w:rPr>
        <w:t>建立完善覆盖药品全过程监测体系</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加强药品使用情况动态监测分析，优先选用国家基本药物，落实国家基本药物政策和国家组织药品集中采购工作，加强药品不良反应监测，加大处方审核和点评力度，控制药费过快增长</w:t>
      </w:r>
      <w:r>
        <w:rPr>
          <w:rFonts w:hint="eastAsia" w:ascii="仿宋_GB2312" w:hAnsi="仿宋_GB2312" w:eastAsia="仿宋_GB2312" w:cs="仿宋_GB2312"/>
          <w:bCs/>
          <w:color w:val="auto"/>
          <w:sz w:val="32"/>
          <w:szCs w:val="32"/>
          <w:highlight w:val="none"/>
          <w:lang w:eastAsia="zh-CN"/>
        </w:rPr>
        <w:t>。</w:t>
      </w:r>
      <w:r>
        <w:rPr>
          <w:rFonts w:hint="eastAsia" w:ascii="仿宋_GB2312" w:eastAsia="仿宋_GB2312" w:cs="Times New Roman"/>
          <w:b/>
          <w:color w:val="auto"/>
          <w:sz w:val="32"/>
          <w:szCs w:val="32"/>
          <w:highlight w:val="none"/>
          <w:lang w:val="en-US" w:eastAsia="zh-CN"/>
        </w:rPr>
        <w:t>三是</w:t>
      </w:r>
      <w:r>
        <w:rPr>
          <w:rFonts w:hint="eastAsia" w:ascii="仿宋_GB2312" w:hAnsi="Times New Roman" w:eastAsia="仿宋_GB2312" w:cs="Times New Roman"/>
          <w:b/>
          <w:color w:val="auto"/>
          <w:sz w:val="32"/>
          <w:szCs w:val="32"/>
          <w:highlight w:val="none"/>
          <w:lang w:val="en-US" w:eastAsia="zh-CN"/>
        </w:rPr>
        <w:t>完善多元化办医格局</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Start w:id="679" w:name="_Toc7433"/>
      <w:r>
        <w:rPr>
          <w:rFonts w:hint="eastAsia" w:ascii="仿宋_GB2312" w:eastAsia="仿宋_GB2312" w:cs="Times New Roman"/>
          <w:b/>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积极引进优质的国内外医疗卫生</w:t>
      </w:r>
      <w:r>
        <w:rPr>
          <w:rFonts w:hint="eastAsia" w:ascii="仿宋_GB2312" w:hAnsi="仿宋_GB2312" w:eastAsia="仿宋_GB2312" w:cs="仿宋_GB2312"/>
          <w:bCs/>
          <w:color w:val="auto"/>
          <w:sz w:val="32"/>
          <w:szCs w:val="32"/>
          <w:highlight w:val="none"/>
        </w:rPr>
        <w:t>资源，推动社会力量建设高水平、国际化医疗机构，支持在光明区创新打造特色鲜明的专科技术品牌和专科服务品牌。鼓励医生多点执业，形成政府办医疗机构保基本、兜底线，社会办医供高端、促改革，基本和特需医疗互相补充、公立和非公立医疗机构协同发展、竞争互补的良性发展格局。</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679"/>
    </w:p>
    <w:p>
      <w:pPr>
        <w:keepNext w:val="0"/>
        <w:keepLines w:val="0"/>
        <w:pageBreakBefore w:val="0"/>
        <w:widowControl w:val="0"/>
        <w:shd w:val="clear" w:color="auto"/>
        <w:kinsoku/>
        <w:wordWrap/>
        <w:overflowPunct/>
        <w:topLinePunct w:val="0"/>
        <w:autoSpaceDE/>
        <w:autoSpaceDN/>
        <w:bidi w:val="0"/>
        <w:adjustRightInd/>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3.</w:t>
      </w:r>
      <w:bookmarkEnd w:id="565"/>
      <w:r>
        <w:rPr>
          <w:rFonts w:hint="eastAsia" w:ascii="仿宋_GB2312" w:hAnsi="仿宋_GB2312" w:eastAsia="仿宋_GB2312" w:cs="仿宋_GB2312"/>
          <w:b/>
          <w:bCs w:val="0"/>
          <w:color w:val="auto"/>
          <w:sz w:val="32"/>
          <w:szCs w:val="32"/>
          <w:highlight w:val="none"/>
          <w:lang w:eastAsia="zh-CN"/>
        </w:rPr>
        <w:t>推进社区健康服务跨越式发展。</w:t>
      </w:r>
      <w:bookmarkStart w:id="680" w:name="_Toc27162"/>
      <w:bookmarkStart w:id="681" w:name="_Toc30012"/>
      <w:bookmarkStart w:id="682" w:name="_Toc32088"/>
      <w:bookmarkStart w:id="683" w:name="_Toc17262"/>
      <w:bookmarkStart w:id="684" w:name="_Toc6524"/>
      <w:bookmarkStart w:id="685" w:name="_Toc12131"/>
      <w:bookmarkStart w:id="686" w:name="_Toc20147"/>
      <w:bookmarkStart w:id="687" w:name="_Toc28591"/>
      <w:bookmarkStart w:id="688" w:name="_Toc8779"/>
      <w:bookmarkStart w:id="689" w:name="_Toc31506"/>
      <w:bookmarkStart w:id="690" w:name="_Toc18852"/>
      <w:bookmarkStart w:id="691" w:name="_Toc15141"/>
      <w:bookmarkStart w:id="692" w:name="_Toc26771"/>
      <w:bookmarkStart w:id="693" w:name="_Toc28464"/>
      <w:bookmarkStart w:id="694" w:name="_Toc12164"/>
      <w:bookmarkStart w:id="695" w:name="_Toc3380"/>
      <w:bookmarkStart w:id="696" w:name="_Toc14403"/>
      <w:bookmarkStart w:id="697" w:name="_Toc7556"/>
      <w:bookmarkStart w:id="698" w:name="_Toc1742"/>
      <w:bookmarkStart w:id="699" w:name="_Toc336"/>
      <w:bookmarkStart w:id="700" w:name="_Toc21264"/>
      <w:bookmarkStart w:id="701" w:name="_Toc6182"/>
      <w:bookmarkStart w:id="702" w:name="_Toc21599"/>
      <w:bookmarkStart w:id="703" w:name="_Toc15795"/>
      <w:bookmarkStart w:id="704" w:name="_Toc8901"/>
      <w:bookmarkStart w:id="705" w:name="_Toc18618"/>
      <w:bookmarkStart w:id="706" w:name="_Toc25793"/>
      <w:bookmarkStart w:id="707" w:name="_Toc9794"/>
      <w:bookmarkStart w:id="708" w:name="_Toc16131"/>
      <w:bookmarkStart w:id="709" w:name="_Toc17596"/>
      <w:bookmarkStart w:id="710" w:name="_Toc1184"/>
      <w:bookmarkStart w:id="711" w:name="_Toc19427"/>
      <w:bookmarkStart w:id="712" w:name="_Toc22058"/>
      <w:bookmarkStart w:id="713" w:name="_Toc28494"/>
      <w:bookmarkStart w:id="714" w:name="_Toc9823"/>
      <w:bookmarkStart w:id="715" w:name="_Toc16035"/>
      <w:bookmarkStart w:id="716" w:name="_Toc30360"/>
      <w:bookmarkStart w:id="717" w:name="_Toc1713"/>
      <w:bookmarkStart w:id="718" w:name="_Toc17162"/>
      <w:bookmarkStart w:id="719" w:name="_Toc8441"/>
      <w:bookmarkStart w:id="720" w:name="_Toc1119"/>
      <w:bookmarkStart w:id="721" w:name="_Toc9608"/>
      <w:bookmarkStart w:id="722" w:name="_Toc9988"/>
      <w:bookmarkStart w:id="723" w:name="_Toc11968"/>
      <w:bookmarkStart w:id="724" w:name="_Toc6286"/>
      <w:bookmarkStart w:id="725" w:name="_Toc24991"/>
      <w:bookmarkStart w:id="726" w:name="_Toc1712"/>
      <w:bookmarkStart w:id="727" w:name="_Toc31192"/>
      <w:bookmarkStart w:id="728" w:name="_Toc8106"/>
      <w:bookmarkStart w:id="729" w:name="_Toc27878"/>
      <w:bookmarkStart w:id="730" w:name="_Toc32423"/>
      <w:bookmarkStart w:id="731" w:name="_Toc9156"/>
      <w:bookmarkStart w:id="732" w:name="_Toc22788"/>
      <w:bookmarkStart w:id="733" w:name="_Toc32036"/>
      <w:bookmarkStart w:id="734" w:name="_Toc9758"/>
      <w:bookmarkStart w:id="735" w:name="_Toc14051"/>
      <w:r>
        <w:rPr>
          <w:rFonts w:hint="eastAsia" w:ascii="仿宋_GB2312" w:hAnsi="仿宋_GB2312" w:eastAsia="仿宋_GB2312" w:cs="仿宋_GB2312"/>
          <w:b/>
          <w:bCs w:val="0"/>
          <w:color w:val="auto"/>
          <w:sz w:val="32"/>
          <w:szCs w:val="32"/>
          <w:highlight w:val="none"/>
          <w:lang w:eastAsia="zh-CN"/>
        </w:rPr>
        <w:t>一是</w:t>
      </w:r>
      <w:r>
        <w:rPr>
          <w:rFonts w:hint="eastAsia" w:ascii="仿宋_GB2312" w:hAnsi="仿宋_GB2312" w:eastAsia="仿宋_GB2312" w:cs="仿宋_GB2312"/>
          <w:b/>
          <w:bCs w:val="0"/>
          <w:color w:val="auto"/>
          <w:sz w:val="32"/>
          <w:szCs w:val="32"/>
          <w:highlight w:val="none"/>
        </w:rPr>
        <w:t>强化社区健康服务一体化管理</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Start w:id="736" w:name="_Toc17396"/>
      <w:bookmarkStart w:id="737" w:name="_Toc24420"/>
      <w:bookmarkStart w:id="738" w:name="_Toc26462"/>
      <w:bookmarkStart w:id="739" w:name="_Toc22049"/>
      <w:bookmarkStart w:id="740" w:name="_Toc13175"/>
      <w:bookmarkStart w:id="741" w:name="_Toc20936"/>
      <w:bookmarkStart w:id="742" w:name="_Toc16934"/>
      <w:bookmarkStart w:id="743" w:name="_Toc646"/>
      <w:bookmarkStart w:id="744" w:name="_Toc20996"/>
      <w:bookmarkStart w:id="745" w:name="_Toc19393"/>
      <w:bookmarkStart w:id="746" w:name="_Toc30367"/>
      <w:bookmarkStart w:id="747" w:name="_Toc16951"/>
      <w:bookmarkStart w:id="748" w:name="_Toc14666"/>
      <w:bookmarkStart w:id="749" w:name="_Toc13645"/>
      <w:bookmarkStart w:id="750" w:name="_Toc16645"/>
      <w:bookmarkStart w:id="751" w:name="_Toc16959"/>
      <w:bookmarkStart w:id="752" w:name="_Toc14624"/>
      <w:bookmarkStart w:id="753" w:name="_Toc24893"/>
      <w:bookmarkStart w:id="754" w:name="_Toc5403"/>
      <w:bookmarkStart w:id="755" w:name="_Toc20233"/>
      <w:bookmarkStart w:id="756" w:name="_Toc27668"/>
      <w:bookmarkStart w:id="757" w:name="_Toc11714"/>
      <w:bookmarkStart w:id="758" w:name="_Toc8910"/>
      <w:bookmarkStart w:id="759" w:name="_Toc19034"/>
      <w:bookmarkStart w:id="760" w:name="_Toc30241"/>
      <w:bookmarkStart w:id="761" w:name="_Toc2960"/>
      <w:bookmarkStart w:id="762" w:name="_Toc20843"/>
      <w:bookmarkStart w:id="763" w:name="_Toc24644"/>
      <w:bookmarkStart w:id="764" w:name="_Toc20473"/>
      <w:bookmarkStart w:id="765" w:name="_Toc24293"/>
      <w:bookmarkStart w:id="766" w:name="_Toc11776"/>
      <w:bookmarkStart w:id="767" w:name="_Toc3116"/>
      <w:bookmarkStart w:id="768" w:name="_Toc27020"/>
      <w:bookmarkStart w:id="769" w:name="_Toc20841"/>
      <w:bookmarkStart w:id="770" w:name="_Toc25846"/>
      <w:bookmarkStart w:id="771" w:name="_Toc14372"/>
      <w:bookmarkStart w:id="772" w:name="_Toc7825"/>
      <w:bookmarkStart w:id="773" w:name="_Toc28930"/>
      <w:bookmarkStart w:id="774" w:name="_Toc19358"/>
      <w:bookmarkStart w:id="775" w:name="_Toc31505"/>
      <w:bookmarkStart w:id="776" w:name="_Toc14900"/>
      <w:bookmarkStart w:id="777" w:name="_Toc6637"/>
      <w:bookmarkStart w:id="778" w:name="_Toc27547"/>
      <w:bookmarkStart w:id="779" w:name="_Toc14712"/>
      <w:bookmarkStart w:id="780" w:name="_Toc1196"/>
      <w:bookmarkStart w:id="781" w:name="_Toc3233"/>
      <w:bookmarkStart w:id="782" w:name="_Toc31610"/>
      <w:bookmarkStart w:id="783" w:name="_Toc30410"/>
      <w:bookmarkStart w:id="784" w:name="_Toc27849"/>
      <w:bookmarkStart w:id="785" w:name="_Toc29441"/>
      <w:bookmarkStart w:id="786" w:name="_Toc6881"/>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高标准</w:t>
      </w:r>
      <w:r>
        <w:rPr>
          <w:rFonts w:hint="eastAsia" w:ascii="仿宋_GB2312" w:hAnsi="仿宋_GB2312" w:eastAsia="仿宋_GB2312" w:cs="仿宋_GB2312"/>
          <w:bCs/>
          <w:color w:val="auto"/>
          <w:sz w:val="32"/>
          <w:szCs w:val="32"/>
          <w:highlight w:val="none"/>
        </w:rPr>
        <w:t>构建网络设置合理、基础设施完备、建设标准统一、服务功能健全、人员配备到位、监督管理规范的区域社康中心+社康中心+社康站的社区健康服务体系</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推动社康机构和举办医院在人财物资源配置、业务管理和服务提供等方面融合发展。调动全集团力量加强社区健康服务体系及全科医学等学科建设，推动全科与专科有机分离、密切协作，畅通医院社康双向转诊通道和费用结算流程，推动医防融合发展</w:t>
      </w:r>
      <w:r>
        <w:rPr>
          <w:rFonts w:hint="eastAsia" w:ascii="仿宋_GB2312" w:hAnsi="黑体" w:eastAsia="仿宋_GB2312"/>
          <w:color w:val="auto"/>
          <w:sz w:val="32"/>
          <w:szCs w:val="32"/>
          <w:highlight w:val="none"/>
        </w:rPr>
        <w:t>。</w:t>
      </w:r>
      <w:bookmarkEnd w:id="736"/>
      <w:bookmarkStart w:id="787" w:name="_Toc16540"/>
      <w:bookmarkStart w:id="788" w:name="_Toc20809"/>
      <w:bookmarkStart w:id="789" w:name="_Toc4243"/>
      <w:bookmarkStart w:id="790" w:name="_Toc20800"/>
      <w:bookmarkStart w:id="791" w:name="_Toc11386"/>
      <w:bookmarkStart w:id="792" w:name="_Toc5030"/>
      <w:r>
        <w:rPr>
          <w:rFonts w:hint="eastAsia" w:ascii="仿宋_GB2312" w:eastAsia="仿宋_GB2312" w:cs="Times New Roman"/>
          <w:b/>
          <w:bCs w:val="0"/>
          <w:color w:val="auto"/>
          <w:sz w:val="32"/>
          <w:szCs w:val="32"/>
          <w:highlight w:val="none"/>
          <w:lang w:val="en-US" w:eastAsia="zh-CN"/>
        </w:rPr>
        <w:t>二是</w:t>
      </w:r>
      <w:r>
        <w:rPr>
          <w:rFonts w:hint="eastAsia" w:ascii="仿宋_GB2312" w:hAnsi="Times New Roman" w:eastAsia="仿宋_GB2312" w:cs="Times New Roman"/>
          <w:b/>
          <w:bCs w:val="0"/>
          <w:color w:val="auto"/>
          <w:sz w:val="32"/>
          <w:szCs w:val="32"/>
          <w:highlight w:val="none"/>
        </w:rPr>
        <w:t>强化</w:t>
      </w:r>
      <w:r>
        <w:rPr>
          <w:rFonts w:hint="eastAsia" w:ascii="仿宋_GB2312" w:hAnsi="Times New Roman" w:eastAsia="仿宋_GB2312" w:cs="Times New Roman"/>
          <w:b/>
          <w:bCs w:val="0"/>
          <w:color w:val="auto"/>
          <w:sz w:val="32"/>
          <w:szCs w:val="32"/>
          <w:highlight w:val="none"/>
          <w:lang w:eastAsia="zh-CN"/>
        </w:rPr>
        <w:t>社区</w:t>
      </w:r>
      <w:r>
        <w:rPr>
          <w:rFonts w:hint="eastAsia" w:ascii="仿宋_GB2312" w:hAnsi="Times New Roman" w:eastAsia="仿宋_GB2312" w:cs="Times New Roman"/>
          <w:b/>
          <w:bCs w:val="0"/>
          <w:color w:val="auto"/>
          <w:sz w:val="32"/>
          <w:szCs w:val="32"/>
          <w:highlight w:val="none"/>
        </w:rPr>
        <w:t>健康</w:t>
      </w:r>
      <w:r>
        <w:rPr>
          <w:rFonts w:hint="eastAsia" w:ascii="仿宋_GB2312" w:hAnsi="Times New Roman" w:eastAsia="仿宋_GB2312" w:cs="Times New Roman"/>
          <w:b/>
          <w:color w:val="auto"/>
          <w:sz w:val="32"/>
          <w:szCs w:val="32"/>
          <w:highlight w:val="none"/>
        </w:rPr>
        <w:t>网格化</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Start w:id="793" w:name="_Toc4052"/>
      <w:bookmarkStart w:id="794" w:name="_Toc114"/>
      <w:bookmarkStart w:id="795" w:name="_Toc31170"/>
      <w:bookmarkStart w:id="796" w:name="_Toc24119"/>
      <w:bookmarkStart w:id="797" w:name="_Toc13041"/>
      <w:bookmarkStart w:id="798" w:name="_Toc29147"/>
      <w:bookmarkStart w:id="799" w:name="_Toc18620"/>
      <w:bookmarkStart w:id="800" w:name="_Toc122"/>
      <w:bookmarkStart w:id="801" w:name="_Toc4027"/>
      <w:bookmarkStart w:id="802" w:name="_Toc4257"/>
      <w:bookmarkStart w:id="803" w:name="_Toc18353"/>
      <w:bookmarkStart w:id="804" w:name="_Toc20658"/>
      <w:bookmarkStart w:id="805" w:name="_Toc7976"/>
      <w:bookmarkStart w:id="806" w:name="_Toc26918"/>
      <w:bookmarkStart w:id="807" w:name="_Toc3161"/>
      <w:bookmarkStart w:id="808" w:name="_Toc30195"/>
      <w:bookmarkStart w:id="809" w:name="_Toc22349"/>
      <w:bookmarkStart w:id="810" w:name="_Toc24428"/>
      <w:bookmarkStart w:id="811" w:name="_Toc30141"/>
      <w:bookmarkStart w:id="812" w:name="_Toc10652"/>
      <w:bookmarkStart w:id="813" w:name="_Toc25302"/>
      <w:bookmarkStart w:id="814" w:name="_Toc10055"/>
      <w:bookmarkStart w:id="815" w:name="_Toc17578"/>
      <w:bookmarkStart w:id="816" w:name="_Toc2705"/>
      <w:bookmarkStart w:id="817" w:name="_Toc3369"/>
      <w:bookmarkStart w:id="818" w:name="_Toc18236"/>
      <w:bookmarkStart w:id="819" w:name="_Toc26443"/>
      <w:bookmarkStart w:id="820" w:name="_Toc9486"/>
      <w:bookmarkStart w:id="821" w:name="_Toc27150"/>
      <w:bookmarkStart w:id="822" w:name="_Toc28928"/>
      <w:bookmarkStart w:id="823" w:name="_Toc10545"/>
      <w:bookmarkStart w:id="824" w:name="_Toc6344"/>
      <w:bookmarkStart w:id="825" w:name="_Toc13421"/>
      <w:bookmarkStart w:id="826" w:name="_Toc9375"/>
      <w:bookmarkStart w:id="827" w:name="_Toc24480"/>
      <w:bookmarkStart w:id="828" w:name="_Toc1730"/>
      <w:bookmarkStart w:id="829" w:name="_Toc24137"/>
      <w:bookmarkStart w:id="830" w:name="_Toc12127"/>
      <w:bookmarkStart w:id="831" w:name="_Toc1273"/>
      <w:bookmarkStart w:id="832" w:name="_Toc19920"/>
      <w:bookmarkStart w:id="833" w:name="_Toc6873"/>
      <w:bookmarkStart w:id="834" w:name="_Toc31082"/>
      <w:bookmarkStart w:id="835" w:name="_Toc19113"/>
      <w:bookmarkStart w:id="836" w:name="_Toc10121"/>
      <w:bookmarkStart w:id="837" w:name="_Toc24148"/>
      <w:bookmarkStart w:id="838" w:name="_Toc1844"/>
      <w:bookmarkStart w:id="839" w:name="_Toc7670"/>
      <w:bookmarkStart w:id="840" w:name="_Toc8476"/>
      <w:bookmarkStart w:id="841" w:name="_Toc8813"/>
      <w:bookmarkStart w:id="842" w:name="_Toc14594"/>
      <w:bookmarkStart w:id="843" w:name="_Toc30576"/>
      <w:r>
        <w:rPr>
          <w:rFonts w:hint="eastAsia" w:ascii="仿宋_GB2312" w:hAnsi="Times New Roman" w:eastAsia="仿宋_GB2312" w:cs="Times New Roman"/>
          <w:b/>
          <w:color w:val="auto"/>
          <w:sz w:val="32"/>
          <w:szCs w:val="32"/>
          <w:highlight w:val="none"/>
          <w:lang w:eastAsia="zh-CN"/>
        </w:rPr>
        <w:t>建设</w:t>
      </w:r>
      <w:r>
        <w:rPr>
          <w:rFonts w:hint="eastAsia" w:ascii="仿宋_GB2312" w:eastAsia="仿宋_GB2312" w:cs="Times New Roman"/>
          <w:b/>
          <w:color w:val="auto"/>
          <w:sz w:val="32"/>
          <w:szCs w:val="32"/>
          <w:highlight w:val="none"/>
          <w:lang w:eastAsia="zh-CN"/>
        </w:rPr>
        <w:t>。</w:t>
      </w:r>
      <w:r>
        <w:rPr>
          <w:rFonts w:hint="eastAsia" w:ascii="仿宋_GB2312" w:eastAsia="仿宋_GB2312" w:cs="Times New Roman"/>
          <w:b w:val="0"/>
          <w:bCs/>
          <w:color w:val="auto"/>
          <w:sz w:val="32"/>
          <w:szCs w:val="32"/>
          <w:highlight w:val="none"/>
          <w:lang w:eastAsia="zh-CN"/>
        </w:rPr>
        <w:t>根据《市卫生健康委关于印发进一步加强我市社康中心建设和管理重点建议办理方案的通知》（</w:t>
      </w:r>
      <w:r>
        <w:rPr>
          <w:rFonts w:hint="eastAsia" w:ascii="仿宋_GB2312" w:hAnsi="仿宋_GB2312" w:eastAsia="仿宋_GB2312" w:cs="仿宋_GB2312"/>
          <w:color w:val="auto"/>
          <w:sz w:val="32"/>
          <w:highlight w:val="none"/>
        </w:rPr>
        <w:t>深卫健发〔2021〕51号</w:t>
      </w:r>
      <w:r>
        <w:rPr>
          <w:rFonts w:hint="eastAsia" w:ascii="仿宋_GB2312" w:hAnsi="仿宋_GB2312" w:eastAsia="仿宋_GB2312" w:cs="仿宋_GB2312"/>
          <w:b w:val="0"/>
          <w:bCs/>
          <w:color w:val="auto"/>
          <w:sz w:val="32"/>
          <w:szCs w:val="32"/>
          <w:highlight w:val="none"/>
          <w:lang w:eastAsia="zh-CN"/>
        </w:rPr>
        <w:t>）要求，</w:t>
      </w:r>
      <w:r>
        <w:rPr>
          <w:rFonts w:hint="eastAsia" w:ascii="仿宋_GB2312" w:hAnsi="仿宋_GB2312" w:eastAsia="仿宋_GB2312" w:cs="仿宋_GB2312"/>
          <w:color w:val="auto"/>
          <w:sz w:val="32"/>
          <w:szCs w:val="32"/>
          <w:highlight w:val="none"/>
        </w:rPr>
        <w:t>制订2021-2025年社康机构设置规划，</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Start w:id="844" w:name="_Toc19202"/>
      <w:bookmarkStart w:id="845" w:name="_Toc3889"/>
      <w:bookmarkStart w:id="846" w:name="_Toc3994"/>
      <w:bookmarkStart w:id="847" w:name="_Toc18766"/>
      <w:bookmarkStart w:id="848" w:name="_Toc30615"/>
      <w:bookmarkStart w:id="849" w:name="_Toc20433"/>
      <w:bookmarkStart w:id="850" w:name="_Toc10169"/>
      <w:bookmarkStart w:id="851" w:name="_Toc13016"/>
      <w:bookmarkStart w:id="852" w:name="_Toc5589"/>
      <w:bookmarkStart w:id="853" w:name="_Toc31367"/>
      <w:bookmarkStart w:id="854" w:name="_Toc16972"/>
      <w:bookmarkStart w:id="855" w:name="_Toc22958"/>
      <w:bookmarkStart w:id="856" w:name="_Toc16599"/>
      <w:bookmarkStart w:id="857" w:name="_Toc31048"/>
      <w:bookmarkStart w:id="858" w:name="_Toc23527"/>
      <w:bookmarkStart w:id="859" w:name="_Toc23349"/>
      <w:bookmarkStart w:id="860" w:name="_Toc584"/>
      <w:bookmarkStart w:id="861" w:name="_Toc6345"/>
      <w:bookmarkStart w:id="862" w:name="_Toc5764"/>
      <w:bookmarkStart w:id="863" w:name="_Toc5508"/>
      <w:bookmarkStart w:id="864" w:name="_Toc13013"/>
      <w:bookmarkStart w:id="865" w:name="_Toc22484"/>
      <w:bookmarkStart w:id="866" w:name="_Toc10162"/>
      <w:bookmarkStart w:id="867" w:name="_Toc5785"/>
      <w:bookmarkStart w:id="868" w:name="_Toc17470"/>
      <w:bookmarkStart w:id="869" w:name="_Toc1406"/>
      <w:bookmarkStart w:id="870" w:name="_Toc24971"/>
      <w:bookmarkStart w:id="871" w:name="_Toc6373"/>
      <w:bookmarkStart w:id="872" w:name="_Toc1536"/>
      <w:bookmarkStart w:id="873" w:name="_Toc29119"/>
      <w:bookmarkStart w:id="874" w:name="_Toc23648"/>
      <w:bookmarkStart w:id="875" w:name="_Toc28952"/>
      <w:bookmarkStart w:id="876" w:name="_Toc27728"/>
      <w:bookmarkStart w:id="877" w:name="_Toc32516"/>
      <w:bookmarkStart w:id="878" w:name="_Toc28836"/>
      <w:bookmarkStart w:id="879" w:name="_Toc10861"/>
      <w:bookmarkStart w:id="880" w:name="_Toc11585"/>
      <w:bookmarkStart w:id="881" w:name="_Toc4581"/>
      <w:bookmarkStart w:id="882" w:name="_Toc6082"/>
      <w:bookmarkStart w:id="883" w:name="_Toc13225"/>
      <w:bookmarkStart w:id="884" w:name="_Toc21620"/>
      <w:bookmarkStart w:id="885" w:name="_Toc7072"/>
      <w:bookmarkStart w:id="886" w:name="_Toc21578"/>
      <w:bookmarkStart w:id="887" w:name="_Toc30185"/>
      <w:bookmarkStart w:id="888" w:name="_Toc22957"/>
      <w:bookmarkStart w:id="889" w:name="_Toc6692"/>
      <w:bookmarkStart w:id="890" w:name="_Toc3141"/>
      <w:bookmarkStart w:id="891" w:name="_Toc3499"/>
      <w:bookmarkStart w:id="892" w:name="_Toc12874"/>
      <w:bookmarkStart w:id="893" w:name="_Toc23792"/>
      <w:bookmarkStart w:id="894" w:name="_Toc22075"/>
      <w:bookmarkStart w:id="895" w:name="_Toc2939"/>
      <w:bookmarkStart w:id="896" w:name="_Toc19155"/>
      <w:bookmarkStart w:id="897" w:name="_Toc753"/>
      <w:bookmarkStart w:id="898" w:name="_Toc17088"/>
      <w:bookmarkStart w:id="899" w:name="_Toc13875"/>
      <w:r>
        <w:rPr>
          <w:rFonts w:hint="eastAsia" w:ascii="仿宋_GB2312" w:hAnsi="仿宋_GB2312" w:eastAsia="仿宋_GB2312" w:cs="仿宋_GB2312"/>
          <w:color w:val="auto"/>
          <w:sz w:val="32"/>
          <w:szCs w:val="32"/>
          <w:highlight w:val="none"/>
        </w:rPr>
        <w:t>到2025年，</w:t>
      </w:r>
      <w:r>
        <w:rPr>
          <w:rFonts w:hint="eastAsia" w:ascii="仿宋_GB2312" w:hAnsi="仿宋_GB2312" w:eastAsia="仿宋_GB2312" w:cs="仿宋_GB2312"/>
          <w:color w:val="auto"/>
          <w:sz w:val="32"/>
          <w:szCs w:val="32"/>
          <w:highlight w:val="none"/>
          <w:lang w:eastAsia="zh-CN"/>
        </w:rPr>
        <w:t>实际提供社区服务的</w:t>
      </w:r>
      <w:r>
        <w:rPr>
          <w:rFonts w:hint="eastAsia" w:ascii="仿宋_GB2312" w:hAnsi="仿宋_GB2312" w:eastAsia="仿宋_GB2312" w:cs="仿宋_GB2312"/>
          <w:color w:val="auto"/>
          <w:sz w:val="32"/>
          <w:szCs w:val="32"/>
          <w:highlight w:val="none"/>
        </w:rPr>
        <w:t>社康机构达到66家以上，每个街道有1家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000㎡以上的社区医院（加挂区域社康中心牌子）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在玉塘街道建设1家纯中医社区医院，共计7家</w:t>
      </w:r>
      <w:r>
        <w:rPr>
          <w:rFonts w:hint="eastAsia" w:ascii="仿宋_GB2312" w:hAnsi="仿宋_GB2312" w:eastAsia="仿宋_GB2312" w:cs="仿宋_GB2312"/>
          <w:color w:val="auto"/>
          <w:sz w:val="32"/>
          <w:szCs w:val="32"/>
          <w:highlight w:val="none"/>
          <w:lang w:eastAsia="zh-CN"/>
        </w:rPr>
        <w:t>社区医院；</w:t>
      </w:r>
      <w:r>
        <w:rPr>
          <w:rFonts w:hint="eastAsia" w:ascii="仿宋_GB2312" w:hAnsi="仿宋_GB2312" w:eastAsia="仿宋_GB2312" w:cs="仿宋_GB2312"/>
          <w:color w:val="auto"/>
          <w:sz w:val="32"/>
          <w:szCs w:val="32"/>
          <w:highlight w:val="none"/>
          <w:lang w:val="en-US" w:eastAsia="zh-CN"/>
        </w:rPr>
        <w:t>6家</w:t>
      </w:r>
      <w:r>
        <w:rPr>
          <w:rFonts w:hint="eastAsia" w:ascii="仿宋_GB2312" w:hAnsi="仿宋_GB2312" w:eastAsia="仿宋_GB2312" w:cs="仿宋_GB2312"/>
          <w:color w:val="auto"/>
          <w:sz w:val="32"/>
          <w:szCs w:val="32"/>
          <w:highlight w:val="none"/>
        </w:rPr>
        <w:t>社区医院加挂区域社康中心牌子，每个街道另设1家3000㎡以上的区域社康中心，共计12家</w:t>
      </w:r>
      <w:r>
        <w:rPr>
          <w:rFonts w:hint="eastAsia" w:ascii="仿宋_GB2312" w:hAnsi="仿宋_GB2312" w:eastAsia="仿宋_GB2312" w:cs="仿宋_GB2312"/>
          <w:color w:val="auto"/>
          <w:sz w:val="32"/>
          <w:szCs w:val="32"/>
          <w:highlight w:val="none"/>
          <w:lang w:eastAsia="zh-CN"/>
        </w:rPr>
        <w:t>区域社康中心；</w:t>
      </w:r>
      <w:r>
        <w:rPr>
          <w:rFonts w:hint="eastAsia" w:ascii="仿宋_GB2312" w:hAnsi="仿宋_GB2312" w:eastAsia="仿宋_GB2312" w:cs="仿宋_GB2312"/>
          <w:color w:val="auto"/>
          <w:sz w:val="32"/>
          <w:szCs w:val="32"/>
          <w:highlight w:val="none"/>
        </w:rPr>
        <w:t>常住人口超过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的社区至少有</w:t>
      </w:r>
      <w:r>
        <w:rPr>
          <w:rFonts w:hint="eastAsia" w:ascii="仿宋_GB2312" w:hAnsi="仿宋_GB2312" w:eastAsia="仿宋_GB2312" w:cs="仿宋_GB2312"/>
          <w:color w:val="auto"/>
          <w:sz w:val="32"/>
          <w:szCs w:val="32"/>
          <w:highlight w:val="none"/>
          <w:lang w:val="en-US" w:eastAsia="zh-CN"/>
        </w:rPr>
        <w:t>1家面积14</w:t>
      </w:r>
      <w:r>
        <w:rPr>
          <w:rFonts w:hint="eastAsia" w:ascii="仿宋_GB2312" w:hAnsi="仿宋_GB2312" w:eastAsia="仿宋_GB2312" w:cs="仿宋_GB2312"/>
          <w:color w:val="auto"/>
          <w:sz w:val="32"/>
          <w:szCs w:val="32"/>
          <w:highlight w:val="none"/>
        </w:rPr>
        <w:t>00㎡以上社康中心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每个社区至少有1家社康机构。</w:t>
      </w:r>
      <w:r>
        <w:rPr>
          <w:rFonts w:hint="eastAsia" w:ascii="仿宋_GB2312" w:hAnsi="仿宋_GB2312" w:eastAsia="仿宋_GB2312" w:cs="仿宋_GB2312"/>
          <w:b/>
          <w:bCs/>
          <w:color w:val="auto"/>
          <w:sz w:val="32"/>
          <w:szCs w:val="32"/>
          <w:highlight w:val="none"/>
          <w:lang w:eastAsia="zh-CN"/>
        </w:rPr>
        <w:t>三是</w:t>
      </w:r>
      <w:r>
        <w:rPr>
          <w:rFonts w:hint="eastAsia" w:ascii="仿宋_GB2312" w:eastAsia="仿宋_GB2312" w:cs="Times New Roman"/>
          <w:b/>
          <w:color w:val="auto"/>
          <w:sz w:val="32"/>
          <w:szCs w:val="32"/>
          <w:highlight w:val="none"/>
          <w:lang w:val="en-US" w:eastAsia="zh-CN"/>
        </w:rPr>
        <w:t>推动优质医疗资源扩容下沉。</w:t>
      </w:r>
      <w:r>
        <w:rPr>
          <w:rFonts w:hint="eastAsia" w:ascii="仿宋_GB2312" w:hAnsi="仿宋_GB2312" w:eastAsia="仿宋_GB2312" w:cs="仿宋_GB2312"/>
          <w:bCs/>
          <w:color w:val="auto"/>
          <w:sz w:val="32"/>
          <w:szCs w:val="32"/>
          <w:highlight w:val="none"/>
        </w:rPr>
        <w:t>推进7家社区医院建设，优化老年、康复、护理、安宁疗护等服务供给</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着力提升</w:t>
      </w:r>
      <w:r>
        <w:rPr>
          <w:rFonts w:hint="eastAsia" w:ascii="仿宋_GB2312" w:hAnsi="仿宋_GB2312" w:eastAsia="仿宋_GB2312" w:cs="仿宋_GB2312"/>
          <w:b w:val="0"/>
          <w:bCs/>
          <w:color w:val="auto"/>
          <w:sz w:val="32"/>
          <w:highlight w:val="none"/>
        </w:rPr>
        <w:t>社区健康服务机构设施设备配置水平</w:t>
      </w:r>
      <w:r>
        <w:rPr>
          <w:rFonts w:hint="eastAsia" w:ascii="仿宋_GB2312" w:hAnsi="仿宋_GB2312" w:eastAsia="仿宋_GB2312" w:cs="仿宋_GB2312"/>
          <w:b w:val="0"/>
          <w:bCs/>
          <w:color w:val="auto"/>
          <w:sz w:val="32"/>
          <w:highlight w:val="none"/>
          <w:lang w:eastAsia="zh-CN"/>
        </w:rPr>
        <w:t>，到</w:t>
      </w:r>
      <w:r>
        <w:rPr>
          <w:rFonts w:hint="eastAsia" w:ascii="仿宋_GB2312" w:hAnsi="仿宋_GB2312" w:eastAsia="仿宋_GB2312" w:cs="仿宋_GB2312"/>
          <w:b w:val="0"/>
          <w:bCs/>
          <w:color w:val="auto"/>
          <w:sz w:val="32"/>
          <w:highlight w:val="none"/>
          <w:lang w:val="en-US" w:eastAsia="zh-CN"/>
        </w:rPr>
        <w:t>2025年实现40家区属医院举办社康机构设备设施更新换代。</w:t>
      </w:r>
      <w:r>
        <w:rPr>
          <w:rFonts w:hint="eastAsia" w:ascii="仿宋_GB2312" w:hAnsi="仿宋_GB2312" w:eastAsia="仿宋_GB2312" w:cs="仿宋_GB2312"/>
          <w:b w:val="0"/>
          <w:bCs/>
          <w:color w:val="auto"/>
          <w:sz w:val="32"/>
          <w:highlight w:val="none"/>
          <w:lang w:eastAsia="zh-CN"/>
        </w:rPr>
        <w:t>加强慢性病患者用药配置，推动智能健康设备进社康、进家庭，提高社区健康服务数字化、智能化水平。加强社康机构规范化建设，完成</w:t>
      </w:r>
      <w:r>
        <w:rPr>
          <w:rFonts w:hint="eastAsia" w:ascii="仿宋_GB2312" w:hAnsi="仿宋_GB2312" w:eastAsia="仿宋_GB2312" w:cs="仿宋_GB2312"/>
          <w:b w:val="0"/>
          <w:bCs/>
          <w:color w:val="auto"/>
          <w:sz w:val="32"/>
          <w:highlight w:val="none"/>
          <w:lang w:val="en-US" w:eastAsia="zh-CN"/>
        </w:rPr>
        <w:t>26家社康机构业务用房性质置换，将社区健康服务机构建设成为居民健康管理服务的基础平台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b/>
          <w:bCs/>
          <w:color w:val="auto"/>
          <w:sz w:val="32"/>
          <w:szCs w:val="32"/>
          <w:highlight w:val="none"/>
          <w:lang w:eastAsia="zh-CN"/>
        </w:rPr>
        <w:t>四是</w:t>
      </w:r>
      <w:r>
        <w:rPr>
          <w:rFonts w:hint="eastAsia" w:ascii="仿宋_GB2312" w:hAnsi="Times New Roman" w:eastAsia="仿宋_GB2312" w:cs="Times New Roman"/>
          <w:b/>
          <w:bCs/>
          <w:color w:val="auto"/>
          <w:sz w:val="32"/>
          <w:szCs w:val="32"/>
          <w:highlight w:val="none"/>
        </w:rPr>
        <w:t>优化</w:t>
      </w:r>
      <w:r>
        <w:rPr>
          <w:rFonts w:hint="eastAsia" w:ascii="仿宋_GB2312" w:hAnsi="Times New Roman" w:eastAsia="仿宋_GB2312" w:cs="Times New Roman"/>
          <w:b/>
          <w:color w:val="auto"/>
          <w:sz w:val="32"/>
          <w:szCs w:val="32"/>
          <w:highlight w:val="none"/>
        </w:rPr>
        <w:t>“社康+”健康服务模式</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Fonts w:hint="eastAsia" w:ascii="仿宋_GB2312" w:eastAsia="仿宋_GB2312" w:cs="Times New Roman"/>
          <w:b/>
          <w:color w:val="auto"/>
          <w:sz w:val="32"/>
          <w:szCs w:val="32"/>
          <w:highlight w:val="none"/>
          <w:lang w:eastAsia="zh-CN"/>
        </w:rPr>
        <w:t>。</w:t>
      </w:r>
      <w:r>
        <w:rPr>
          <w:rFonts w:hint="eastAsia" w:ascii="仿宋_GB2312" w:hAnsi="仿宋_GB2312" w:eastAsia="仿宋_GB2312" w:cs="仿宋_GB2312"/>
          <w:bCs/>
          <w:color w:val="auto"/>
          <w:sz w:val="32"/>
          <w:szCs w:val="32"/>
          <w:highlight w:val="none"/>
        </w:rPr>
        <w:t>推进特色社康建设，</w:t>
      </w:r>
      <w:r>
        <w:rPr>
          <w:rFonts w:hint="eastAsia" w:ascii="仿宋_GB2312" w:hAnsi="仿宋_GB2312" w:eastAsia="仿宋_GB2312" w:cs="仿宋_GB2312"/>
          <w:bCs/>
          <w:color w:val="auto"/>
          <w:sz w:val="32"/>
          <w:szCs w:val="32"/>
          <w:highlight w:val="none"/>
          <w:lang w:eastAsia="zh-CN"/>
        </w:rPr>
        <w:t>打造</w:t>
      </w:r>
      <w:r>
        <w:rPr>
          <w:rFonts w:hint="eastAsia" w:ascii="仿宋_GB2312" w:hAnsi="仿宋_GB2312" w:eastAsia="仿宋_GB2312" w:cs="仿宋_GB2312"/>
          <w:bCs/>
          <w:color w:val="auto"/>
          <w:sz w:val="32"/>
          <w:szCs w:val="32"/>
          <w:highlight w:val="none"/>
        </w:rPr>
        <w:t>老年保健、中医保健、妇幼保健、慢性病防治、心脑血管防治、</w:t>
      </w:r>
      <w:r>
        <w:rPr>
          <w:rFonts w:hint="eastAsia" w:ascii="仿宋_GB2312" w:hAnsi="仿宋_GB2312" w:eastAsia="仿宋_GB2312" w:cs="仿宋_GB2312"/>
          <w:bCs/>
          <w:color w:val="auto"/>
          <w:sz w:val="32"/>
          <w:szCs w:val="32"/>
          <w:highlight w:val="none"/>
          <w:lang w:eastAsia="zh-CN"/>
        </w:rPr>
        <w:t>精神卫生、运动健康、营养健康、戒烟服务、心理健康等服务特色，推动区域</w:t>
      </w:r>
      <w:r>
        <w:rPr>
          <w:rFonts w:hint="eastAsia" w:ascii="仿宋_GB2312" w:hAnsi="仿宋_GB2312" w:eastAsia="仿宋_GB2312" w:cs="仿宋_GB2312"/>
          <w:bCs/>
          <w:color w:val="auto"/>
          <w:sz w:val="32"/>
          <w:szCs w:val="32"/>
          <w:highlight w:val="none"/>
        </w:rPr>
        <w:t>社康内部资源共享、错位发展。</w:t>
      </w:r>
      <w:r>
        <w:rPr>
          <w:rFonts w:hint="eastAsia" w:ascii="仿宋_GB2312" w:hAnsi="仿宋_GB2312" w:eastAsia="仿宋_GB2312" w:cs="仿宋_GB2312"/>
          <w:bCs/>
          <w:color w:val="auto"/>
          <w:sz w:val="32"/>
          <w:szCs w:val="32"/>
          <w:highlight w:val="none"/>
          <w:lang w:eastAsia="zh-CN"/>
        </w:rPr>
        <w:t>组织实施智慧健康社区健康规范，推动</w:t>
      </w:r>
      <w:r>
        <w:rPr>
          <w:rFonts w:hint="eastAsia" w:ascii="仿宋_GB2312" w:hAnsi="仿宋_GB2312" w:eastAsia="仿宋_GB2312" w:cs="仿宋_GB2312"/>
          <w:bCs/>
          <w:color w:val="auto"/>
          <w:sz w:val="32"/>
          <w:szCs w:val="32"/>
          <w:highlight w:val="none"/>
        </w:rPr>
        <w:t>家</w:t>
      </w:r>
      <w:r>
        <w:rPr>
          <w:rFonts w:hint="eastAsia" w:ascii="仿宋_GB2312" w:hAnsi="仿宋_GB2312" w:eastAsia="仿宋_GB2312" w:cs="仿宋_GB2312"/>
          <w:bCs/>
          <w:color w:val="auto"/>
          <w:sz w:val="32"/>
          <w:szCs w:val="32"/>
          <w:highlight w:val="none"/>
          <w:lang w:val="en-US" w:eastAsia="zh-CN"/>
        </w:rPr>
        <w:t>庭病</w:t>
      </w:r>
      <w:r>
        <w:rPr>
          <w:rFonts w:hint="eastAsia" w:ascii="仿宋_GB2312" w:hAnsi="仿宋_GB2312" w:eastAsia="仿宋_GB2312" w:cs="仿宋_GB2312"/>
          <w:bCs/>
          <w:color w:val="auto"/>
          <w:sz w:val="32"/>
          <w:szCs w:val="32"/>
          <w:highlight w:val="none"/>
        </w:rPr>
        <w:t>床服务机构配置适宜的智慧医疗系统、智能健康信息监测设备、物联网设备</w:t>
      </w:r>
      <w:r>
        <w:rPr>
          <w:rFonts w:hint="eastAsia" w:ascii="仿宋_GB2312" w:hAnsi="仿宋_GB2312" w:eastAsia="仿宋_GB2312" w:cs="仿宋_GB2312"/>
          <w:bCs/>
          <w:color w:val="auto"/>
          <w:sz w:val="32"/>
          <w:szCs w:val="32"/>
          <w:highlight w:val="none"/>
          <w:lang w:eastAsia="zh-CN"/>
        </w:rPr>
        <w:t>等。</w:t>
      </w:r>
      <w:bookmarkStart w:id="900" w:name="_Toc7363"/>
      <w:bookmarkStart w:id="901" w:name="_Toc5339"/>
      <w:bookmarkStart w:id="902" w:name="_Toc24598"/>
      <w:bookmarkStart w:id="903" w:name="_Toc22362"/>
      <w:bookmarkStart w:id="904" w:name="_Toc30737"/>
      <w:bookmarkStart w:id="905" w:name="_Toc27326"/>
      <w:bookmarkStart w:id="906" w:name="_Toc9894"/>
      <w:bookmarkStart w:id="907" w:name="_Toc18529"/>
      <w:bookmarkStart w:id="908" w:name="_Toc28720"/>
      <w:bookmarkStart w:id="909" w:name="_Toc27539"/>
      <w:bookmarkStart w:id="910" w:name="_Toc4941"/>
      <w:bookmarkStart w:id="911" w:name="_Toc1574"/>
      <w:bookmarkStart w:id="912" w:name="_Toc24169"/>
      <w:bookmarkStart w:id="913" w:name="_Toc31614"/>
      <w:bookmarkStart w:id="914" w:name="_Toc17924"/>
      <w:bookmarkStart w:id="915" w:name="_Toc14779"/>
      <w:bookmarkStart w:id="916" w:name="_Toc14489"/>
      <w:bookmarkStart w:id="917" w:name="_Toc4138"/>
      <w:bookmarkStart w:id="918" w:name="_Toc7709"/>
      <w:bookmarkStart w:id="919" w:name="_Toc15360"/>
      <w:bookmarkStart w:id="920" w:name="_Toc15855"/>
      <w:bookmarkStart w:id="921" w:name="_Toc121"/>
      <w:bookmarkStart w:id="922" w:name="_Toc20317"/>
      <w:bookmarkStart w:id="923" w:name="_Toc32428"/>
      <w:bookmarkStart w:id="924" w:name="_Toc13644"/>
      <w:bookmarkStart w:id="925" w:name="_Toc20519"/>
      <w:bookmarkStart w:id="926" w:name="_Toc30645"/>
      <w:bookmarkStart w:id="927" w:name="_Toc10791"/>
      <w:bookmarkStart w:id="928" w:name="_Toc25956"/>
      <w:bookmarkStart w:id="929" w:name="_Toc25021"/>
      <w:bookmarkStart w:id="930" w:name="_Toc29139"/>
      <w:bookmarkStart w:id="931" w:name="_Toc19184"/>
      <w:bookmarkStart w:id="932" w:name="_Toc30288"/>
      <w:bookmarkStart w:id="933" w:name="_Toc2937"/>
      <w:bookmarkStart w:id="934" w:name="_Toc803"/>
      <w:bookmarkStart w:id="935" w:name="_Toc10161"/>
      <w:bookmarkStart w:id="936" w:name="_Toc8280"/>
      <w:bookmarkStart w:id="937" w:name="_Toc29061"/>
      <w:bookmarkStart w:id="938" w:name="_Toc6036_WPSOffice_Level3"/>
      <w:bookmarkStart w:id="939" w:name="_Toc13706"/>
      <w:bookmarkStart w:id="940" w:name="_Toc4357"/>
      <w:bookmarkStart w:id="941" w:name="_Toc18621"/>
      <w:bookmarkStart w:id="942" w:name="_Toc25876"/>
      <w:bookmarkStart w:id="943" w:name="_Toc23828"/>
      <w:bookmarkStart w:id="944" w:name="_Toc5681"/>
      <w:bookmarkStart w:id="945" w:name="_Toc13809"/>
      <w:bookmarkStart w:id="946" w:name="_Toc12363"/>
      <w:bookmarkStart w:id="947" w:name="_Toc1652"/>
      <w:bookmarkStart w:id="948" w:name="_Toc1630"/>
      <w:bookmarkStart w:id="949" w:name="_Toc18235"/>
      <w:bookmarkStart w:id="950" w:name="_Toc12710"/>
      <w:bookmarkStart w:id="951" w:name="_Toc29524"/>
      <w:bookmarkStart w:id="952" w:name="_Toc26724"/>
      <w:bookmarkStart w:id="953" w:name="_Toc21952"/>
      <w:bookmarkStart w:id="954" w:name="_Toc25579"/>
      <w:bookmarkStart w:id="955" w:name="_Toc26922"/>
      <w:bookmarkStart w:id="956" w:name="_Toc19370"/>
    </w:p>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4.深化医疗卫生体制改革</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Start w:id="957" w:name="_Toc11120"/>
      <w:bookmarkStart w:id="958" w:name="_Toc1828"/>
      <w:bookmarkStart w:id="959" w:name="_Toc27363"/>
      <w:bookmarkStart w:id="960" w:name="_Toc20547"/>
      <w:bookmarkStart w:id="961" w:name="_Toc3590"/>
      <w:bookmarkStart w:id="962" w:name="_Toc13080"/>
      <w:bookmarkStart w:id="963" w:name="_Toc7472"/>
      <w:bookmarkStart w:id="964" w:name="_Toc7006"/>
      <w:bookmarkStart w:id="965" w:name="_Toc20450"/>
      <w:bookmarkStart w:id="966" w:name="_Toc10858"/>
      <w:bookmarkStart w:id="967" w:name="_Toc27475"/>
      <w:bookmarkStart w:id="968" w:name="_Toc24395"/>
      <w:bookmarkStart w:id="969" w:name="_Toc3707"/>
      <w:bookmarkStart w:id="970" w:name="_Toc5412"/>
      <w:bookmarkStart w:id="971" w:name="_Toc32666"/>
      <w:bookmarkStart w:id="972" w:name="_Toc10679"/>
      <w:bookmarkStart w:id="973" w:name="_Toc19247"/>
      <w:bookmarkStart w:id="974" w:name="_Toc29956"/>
      <w:bookmarkStart w:id="975" w:name="_Toc16799"/>
      <w:bookmarkStart w:id="976" w:name="_Toc573"/>
      <w:bookmarkStart w:id="977" w:name="_Toc2221"/>
      <w:bookmarkStart w:id="978" w:name="_Toc24100"/>
      <w:bookmarkStart w:id="979" w:name="_Toc2597"/>
      <w:bookmarkStart w:id="980" w:name="_Toc8316"/>
      <w:bookmarkStart w:id="981" w:name="_Toc21902"/>
      <w:bookmarkStart w:id="982" w:name="_Toc3155"/>
      <w:bookmarkStart w:id="983" w:name="_Toc23637"/>
      <w:bookmarkStart w:id="984" w:name="_Toc10101"/>
      <w:bookmarkStart w:id="985" w:name="_Toc2627"/>
      <w:bookmarkStart w:id="986" w:name="_Toc14309"/>
      <w:bookmarkStart w:id="987" w:name="_Toc4748"/>
      <w:bookmarkStart w:id="988" w:name="_Toc20975"/>
      <w:bookmarkStart w:id="989" w:name="_Toc30347"/>
      <w:bookmarkStart w:id="990" w:name="_Toc29054"/>
      <w:bookmarkStart w:id="991" w:name="_Toc24120"/>
      <w:bookmarkStart w:id="992" w:name="_Toc23880"/>
      <w:bookmarkStart w:id="993" w:name="_Toc7572"/>
      <w:bookmarkStart w:id="994" w:name="_Toc25248"/>
      <w:bookmarkStart w:id="995" w:name="_Toc4430"/>
      <w:bookmarkStart w:id="996" w:name="_Toc2856"/>
      <w:bookmarkStart w:id="997" w:name="_Toc29211"/>
      <w:bookmarkStart w:id="998" w:name="_Toc16605"/>
      <w:bookmarkStart w:id="999" w:name="_Toc10412"/>
      <w:bookmarkStart w:id="1000" w:name="_Toc31979"/>
      <w:bookmarkStart w:id="1001" w:name="_Toc1537"/>
      <w:bookmarkStart w:id="1002" w:name="_Toc563"/>
      <w:bookmarkStart w:id="1003" w:name="_Toc30683"/>
      <w:bookmarkStart w:id="1004" w:name="_Toc2530"/>
      <w:bookmarkStart w:id="1005" w:name="_Toc18782"/>
      <w:bookmarkStart w:id="1006" w:name="_Toc4071"/>
      <w:bookmarkStart w:id="1007" w:name="_Toc116"/>
      <w:bookmarkStart w:id="1008" w:name="_Toc24539"/>
      <w:bookmarkStart w:id="1009" w:name="_Toc22398"/>
      <w:bookmarkStart w:id="1010" w:name="_Toc12008"/>
      <w:bookmarkStart w:id="1011" w:name="_Toc22419"/>
      <w:bookmarkStart w:id="1012" w:name="_Toc19719"/>
      <w:r>
        <w:rPr>
          <w:rFonts w:hint="eastAsia" w:ascii="仿宋_GB2312" w:hAnsi="仿宋_GB2312" w:eastAsia="仿宋_GB2312" w:cs="仿宋_GB2312"/>
          <w:b/>
          <w:bCs w:val="0"/>
          <w:color w:val="auto"/>
          <w:sz w:val="32"/>
          <w:szCs w:val="32"/>
          <w:highlight w:val="none"/>
          <w:lang w:val="en-US" w:eastAsia="zh-CN"/>
        </w:rPr>
        <w:t>。一是</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Start w:id="1013" w:name="_Toc22814"/>
      <w:bookmarkStart w:id="1014" w:name="_Toc12619"/>
      <w:bookmarkStart w:id="1015" w:name="_Toc32105"/>
      <w:bookmarkStart w:id="1016" w:name="_Toc27698"/>
      <w:bookmarkStart w:id="1017" w:name="_Toc5853"/>
      <w:bookmarkStart w:id="1018" w:name="_Toc7684"/>
      <w:bookmarkStart w:id="1019" w:name="_Toc16004"/>
      <w:bookmarkStart w:id="1020" w:name="_Toc13274"/>
      <w:bookmarkStart w:id="1021" w:name="_Toc779"/>
      <w:bookmarkStart w:id="1022" w:name="_Toc21658"/>
      <w:bookmarkStart w:id="1023" w:name="_Toc19190"/>
      <w:bookmarkStart w:id="1024" w:name="_Toc25759"/>
      <w:bookmarkStart w:id="1025" w:name="_Toc14357"/>
      <w:bookmarkStart w:id="1026" w:name="_Toc28354"/>
      <w:bookmarkStart w:id="1027" w:name="_Toc4336"/>
      <w:bookmarkStart w:id="1028" w:name="_Toc29394"/>
      <w:bookmarkStart w:id="1029" w:name="_Toc24595"/>
      <w:bookmarkStart w:id="1030" w:name="_Toc1297"/>
      <w:bookmarkStart w:id="1031" w:name="_Toc6594"/>
      <w:bookmarkStart w:id="1032" w:name="_Toc2399"/>
      <w:bookmarkStart w:id="1033" w:name="_Toc466"/>
      <w:bookmarkStart w:id="1034" w:name="_Toc7640"/>
      <w:bookmarkStart w:id="1035" w:name="_Toc26551"/>
      <w:bookmarkStart w:id="1036" w:name="_Toc3323"/>
      <w:bookmarkStart w:id="1037" w:name="_Toc26210"/>
      <w:bookmarkStart w:id="1038" w:name="_Toc29813"/>
      <w:bookmarkStart w:id="1039" w:name="_Toc29368"/>
      <w:bookmarkStart w:id="1040" w:name="_Toc1806"/>
      <w:bookmarkStart w:id="1041" w:name="_Toc19647"/>
      <w:bookmarkStart w:id="1042" w:name="_Toc30133"/>
      <w:bookmarkStart w:id="1043" w:name="_Toc11007"/>
      <w:bookmarkStart w:id="1044" w:name="_Toc14844"/>
      <w:bookmarkStart w:id="1045" w:name="_Toc26657"/>
      <w:bookmarkStart w:id="1046" w:name="_Toc28788"/>
      <w:bookmarkStart w:id="1047" w:name="_Toc25375"/>
      <w:bookmarkStart w:id="1048" w:name="_Toc26182"/>
      <w:bookmarkStart w:id="1049" w:name="_Toc27886"/>
      <w:bookmarkStart w:id="1050" w:name="_Toc22545"/>
      <w:bookmarkStart w:id="1051" w:name="_Toc17215"/>
      <w:bookmarkStart w:id="1052" w:name="_Toc27996"/>
      <w:bookmarkStart w:id="1053" w:name="_Toc26306"/>
      <w:bookmarkStart w:id="1054" w:name="_Toc10799"/>
      <w:bookmarkStart w:id="1055" w:name="_Toc6392"/>
      <w:bookmarkStart w:id="1056" w:name="_Toc14223"/>
      <w:bookmarkStart w:id="1057" w:name="_Toc2499"/>
      <w:bookmarkStart w:id="1058" w:name="_Toc397"/>
      <w:bookmarkStart w:id="1059" w:name="_Toc3770"/>
      <w:bookmarkStart w:id="1060" w:name="_Toc23774"/>
      <w:bookmarkStart w:id="1061" w:name="_Toc27826"/>
      <w:bookmarkStart w:id="1062" w:name="_Toc2821"/>
      <w:bookmarkStart w:id="1063" w:name="_Toc29748"/>
      <w:bookmarkStart w:id="1064" w:name="_Toc11119"/>
      <w:bookmarkStart w:id="1065" w:name="_Toc5291"/>
      <w:bookmarkStart w:id="1066" w:name="_Toc22715"/>
      <w:bookmarkStart w:id="1067" w:name="_Toc28198"/>
      <w:bookmarkStart w:id="1068" w:name="_Toc31462"/>
      <w:bookmarkStart w:id="1069" w:name="_Toc13523"/>
      <w:r>
        <w:rPr>
          <w:rFonts w:hint="eastAsia" w:ascii="仿宋_GB2312" w:hAnsi="仿宋_GB2312" w:eastAsia="仿宋_GB2312" w:cs="仿宋_GB2312"/>
          <w:b/>
          <w:bCs w:val="0"/>
          <w:color w:val="auto"/>
          <w:sz w:val="32"/>
          <w:szCs w:val="32"/>
          <w:highlight w:val="none"/>
        </w:rPr>
        <w:t>深化“五对+1 体系”（市属医院-区属医院、公立医院-民营医院、中医-西医、基层医院-护理院、医院-社康+光明辖区全部医院医疗联合体）创新型光明区医院医疗联合体建设。</w:t>
      </w:r>
      <w:r>
        <w:rPr>
          <w:rFonts w:hint="eastAsia" w:ascii="仿宋_GB2312" w:hAnsi="仿宋_GB2312" w:eastAsia="仿宋_GB2312" w:cs="仿宋_GB2312"/>
          <w:bCs/>
          <w:color w:val="auto"/>
          <w:sz w:val="32"/>
          <w:szCs w:val="32"/>
          <w:highlight w:val="none"/>
          <w:lang w:val="en-US" w:eastAsia="zh-CN"/>
        </w:rPr>
        <w:t>组建医学生实习合作、安</w:t>
      </w:r>
      <w:r>
        <w:rPr>
          <w:rFonts w:hint="eastAsia" w:ascii="仿宋_GB2312" w:hAnsi="仿宋_GB2312" w:eastAsia="仿宋_GB2312" w:cs="仿宋_GB2312"/>
          <w:bCs/>
          <w:color w:val="auto"/>
          <w:sz w:val="32"/>
          <w:szCs w:val="32"/>
          <w:highlight w:val="none"/>
        </w:rPr>
        <w:t>宁疗护、药学服务联盟、中医药医教研、应急专科和康复医学等学科联盟，建立区域性病理会诊中心、医学影像中心等资源共享中心，推动建立教学研究型医学人才培养模式。</w:t>
      </w:r>
      <w:bookmarkEnd w:id="1013"/>
      <w:r>
        <w:rPr>
          <w:rFonts w:hint="eastAsia" w:ascii="仿宋_GB2312" w:hAnsi="仿宋_GB2312" w:eastAsia="仿宋_GB2312" w:cs="仿宋_GB2312"/>
          <w:b/>
          <w:bCs w:val="0"/>
          <w:color w:val="auto"/>
          <w:sz w:val="32"/>
          <w:szCs w:val="32"/>
          <w:highlight w:val="none"/>
          <w:lang w:val="en-US" w:eastAsia="zh-CN"/>
        </w:rPr>
        <w:t>二是完善集团化管理</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Start w:id="1070" w:name="_Toc25964"/>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落实《深圳市基层医疗集团建设规范》，</w:t>
      </w:r>
      <w:r>
        <w:rPr>
          <w:rFonts w:hint="eastAsia" w:ascii="仿宋_GB2312" w:hAnsi="仿宋_GB2312" w:eastAsia="仿宋_GB2312" w:cs="仿宋_GB2312"/>
          <w:bCs/>
          <w:color w:val="auto"/>
          <w:sz w:val="32"/>
          <w:szCs w:val="32"/>
          <w:highlight w:val="none"/>
          <w:lang w:eastAsia="zh-CN"/>
        </w:rPr>
        <w:t>强化医疗</w:t>
      </w:r>
      <w:r>
        <w:rPr>
          <w:rFonts w:hint="eastAsia" w:ascii="仿宋_GB2312" w:hAnsi="仿宋_GB2312" w:eastAsia="仿宋_GB2312" w:cs="仿宋_GB2312"/>
          <w:bCs/>
          <w:color w:val="auto"/>
          <w:sz w:val="32"/>
          <w:szCs w:val="32"/>
          <w:highlight w:val="none"/>
        </w:rPr>
        <w:t>集团章程</w:t>
      </w:r>
      <w:r>
        <w:rPr>
          <w:rFonts w:hint="eastAsia" w:ascii="仿宋_GB2312" w:hAnsi="仿宋_GB2312" w:eastAsia="仿宋_GB2312" w:cs="仿宋_GB2312"/>
          <w:bCs/>
          <w:color w:val="auto"/>
          <w:sz w:val="32"/>
          <w:szCs w:val="32"/>
          <w:highlight w:val="none"/>
          <w:lang w:eastAsia="zh-CN"/>
        </w:rPr>
        <w:t>作用和</w:t>
      </w:r>
      <w:r>
        <w:rPr>
          <w:rFonts w:hint="eastAsia" w:ascii="仿宋_GB2312" w:hAnsi="仿宋_GB2312" w:eastAsia="仿宋_GB2312" w:cs="仿宋_GB2312"/>
          <w:bCs/>
          <w:color w:val="auto"/>
          <w:sz w:val="32"/>
          <w:szCs w:val="32"/>
          <w:highlight w:val="none"/>
        </w:rPr>
        <w:t>重大事项决策机制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推进集团各成员单位信息互联互通。完善服务片区内“五大中心”（胸痛中心、卒中中心、创伤中心、危重孕产妇救治中心、危重儿童和新生儿救治中心）建设，实现急诊急救就近解决。与疾病控制、妇幼保健、慢性病管理、健康教育等机构建立合作关系，推动公共卫生资源下沉、服务下沉，促进医防</w:t>
      </w:r>
      <w:r>
        <w:rPr>
          <w:rFonts w:hint="eastAsia" w:ascii="仿宋_GB2312" w:hAnsi="仿宋_GB2312" w:eastAsia="仿宋_GB2312" w:cs="仿宋_GB2312"/>
          <w:bCs/>
          <w:color w:val="auto"/>
          <w:sz w:val="32"/>
          <w:szCs w:val="32"/>
          <w:highlight w:val="none"/>
          <w:lang w:eastAsia="zh-CN"/>
        </w:rPr>
        <w:t>协同</w:t>
      </w:r>
      <w:r>
        <w:rPr>
          <w:rFonts w:hint="eastAsia" w:ascii="仿宋_GB2312" w:hAnsi="仿宋_GB2312" w:eastAsia="仿宋_GB2312" w:cs="仿宋_GB2312"/>
          <w:bCs/>
          <w:color w:val="auto"/>
          <w:sz w:val="32"/>
          <w:szCs w:val="32"/>
          <w:highlight w:val="none"/>
        </w:rPr>
        <w:t>发展。</w:t>
      </w:r>
      <w:bookmarkEnd w:id="1070"/>
      <w:bookmarkStart w:id="1071" w:name="_Toc23319"/>
      <w:bookmarkStart w:id="1072" w:name="_Toc12084"/>
      <w:bookmarkStart w:id="1073" w:name="_Toc23132"/>
      <w:bookmarkStart w:id="1074" w:name="_Toc13338"/>
      <w:bookmarkStart w:id="1075" w:name="_Toc4423"/>
      <w:bookmarkStart w:id="1076" w:name="_Toc12270"/>
      <w:bookmarkStart w:id="1077" w:name="_Toc12685"/>
      <w:bookmarkStart w:id="1078" w:name="_Toc17771"/>
      <w:bookmarkStart w:id="1079" w:name="_Toc28677"/>
      <w:bookmarkStart w:id="1080" w:name="_Toc29359"/>
      <w:bookmarkStart w:id="1081" w:name="_Toc1371"/>
      <w:bookmarkStart w:id="1082" w:name="_Toc7703"/>
      <w:bookmarkStart w:id="1083" w:name="_Toc26339"/>
      <w:bookmarkStart w:id="1084" w:name="_Toc29217"/>
      <w:bookmarkStart w:id="1085" w:name="_Toc8739"/>
      <w:bookmarkStart w:id="1086" w:name="_Toc16603"/>
      <w:bookmarkStart w:id="1087" w:name="_Toc10265"/>
      <w:bookmarkStart w:id="1088" w:name="_Toc19333"/>
      <w:bookmarkStart w:id="1089" w:name="_Toc23299"/>
      <w:bookmarkStart w:id="1090" w:name="_Toc11759"/>
      <w:bookmarkStart w:id="1091" w:name="_Toc18733"/>
      <w:bookmarkStart w:id="1092" w:name="_Toc15108"/>
      <w:bookmarkStart w:id="1093" w:name="_Toc20896"/>
      <w:bookmarkStart w:id="1094" w:name="_Toc21760"/>
      <w:bookmarkStart w:id="1095" w:name="_Toc31837"/>
      <w:bookmarkStart w:id="1096" w:name="_Toc31141"/>
      <w:bookmarkStart w:id="1097" w:name="_Toc25559"/>
      <w:bookmarkStart w:id="1098" w:name="_Toc32341"/>
      <w:bookmarkStart w:id="1099" w:name="_Toc26681"/>
      <w:bookmarkStart w:id="1100" w:name="_Toc27370"/>
      <w:bookmarkStart w:id="1101" w:name="_Toc31140"/>
      <w:bookmarkStart w:id="1102" w:name="_Toc24266"/>
      <w:bookmarkStart w:id="1103" w:name="_Toc12174"/>
      <w:bookmarkStart w:id="1104" w:name="_Toc10595"/>
      <w:bookmarkStart w:id="1105" w:name="_Toc23088"/>
      <w:bookmarkStart w:id="1106" w:name="_Toc4016"/>
      <w:bookmarkStart w:id="1107" w:name="_Toc30550"/>
      <w:bookmarkStart w:id="1108" w:name="_Toc3189"/>
      <w:bookmarkStart w:id="1109" w:name="_Toc6695"/>
      <w:bookmarkStart w:id="1110" w:name="_Toc21707"/>
      <w:bookmarkStart w:id="1111" w:name="_Toc30596"/>
      <w:bookmarkStart w:id="1112" w:name="_Toc9132"/>
      <w:bookmarkStart w:id="1113" w:name="_Toc10398"/>
      <w:bookmarkStart w:id="1114" w:name="_Toc24061"/>
      <w:bookmarkStart w:id="1115" w:name="_Toc6776"/>
      <w:bookmarkStart w:id="1116" w:name="_Toc12394"/>
      <w:bookmarkStart w:id="1117" w:name="_Toc9147"/>
      <w:bookmarkStart w:id="1118" w:name="_Toc31445"/>
      <w:bookmarkStart w:id="1119" w:name="_Toc18609"/>
      <w:bookmarkStart w:id="1120" w:name="_Toc13958"/>
      <w:bookmarkStart w:id="1121" w:name="_Toc27052"/>
      <w:bookmarkStart w:id="1122" w:name="_Toc14106"/>
      <w:bookmarkStart w:id="1123" w:name="_Toc17811"/>
      <w:bookmarkStart w:id="1124" w:name="_Toc12832"/>
      <w:bookmarkStart w:id="1125" w:name="_Toc2306"/>
      <w:bookmarkStart w:id="1126" w:name="_Toc7184"/>
      <w:r>
        <w:rPr>
          <w:rFonts w:hint="eastAsia" w:ascii="仿宋_GB2312" w:hAnsi="仿宋_GB2312" w:eastAsia="仿宋_GB2312" w:cs="仿宋_GB2312"/>
          <w:b/>
          <w:bCs w:val="0"/>
          <w:color w:val="auto"/>
          <w:sz w:val="32"/>
          <w:szCs w:val="32"/>
          <w:highlight w:val="none"/>
          <w:lang w:eastAsia="zh-CN"/>
        </w:rPr>
        <w:t>三是</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Start w:id="1127" w:name="_Toc11378"/>
      <w:r>
        <w:rPr>
          <w:rFonts w:hint="eastAsia" w:ascii="仿宋_GB2312" w:hAnsi="仿宋_GB2312" w:eastAsia="仿宋_GB2312" w:cs="仿宋_GB2312"/>
          <w:b/>
          <w:bCs w:val="0"/>
          <w:color w:val="auto"/>
          <w:sz w:val="32"/>
          <w:szCs w:val="32"/>
          <w:highlight w:val="none"/>
        </w:rPr>
        <w:t>完善区属医院现代医院管理制度</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强对公立医院章程和13项核心制度执行情况监督。根据公立医院人事薪酬制度改革、分级诊疗制度建设、高水平医院建设需要，调整基本医疗卫生服务补助标准，优化财政补助结构，继续实施改善医疗服务行动计划，持续改善就医环境、优化就医流程、提升就医体验。</w:t>
      </w:r>
      <w:bookmarkEnd w:id="1127"/>
      <w:bookmarkStart w:id="1128" w:name="_Toc1979"/>
      <w:r>
        <w:rPr>
          <w:rFonts w:hint="eastAsia" w:ascii="仿宋_GB2312" w:hAnsi="仿宋_GB2312" w:eastAsia="仿宋_GB2312" w:cs="仿宋_GB2312"/>
          <w:b/>
          <w:bCs w:val="0"/>
          <w:color w:val="auto"/>
          <w:sz w:val="32"/>
          <w:szCs w:val="32"/>
          <w:highlight w:val="none"/>
          <w:lang w:eastAsia="zh-CN"/>
        </w:rPr>
        <w:t>四是</w:t>
      </w:r>
      <w:r>
        <w:rPr>
          <w:rFonts w:hint="eastAsia" w:ascii="仿宋_GB2312" w:hAnsi="黑体" w:eastAsia="仿宋_GB2312"/>
          <w:b/>
          <w:bCs w:val="0"/>
          <w:color w:val="auto"/>
          <w:sz w:val="32"/>
          <w:szCs w:val="32"/>
          <w:highlight w:val="none"/>
          <w:lang w:val="en-US" w:eastAsia="zh-CN"/>
        </w:rPr>
        <w:t>构建</w:t>
      </w:r>
      <w:r>
        <w:rPr>
          <w:rFonts w:hint="eastAsia" w:ascii="仿宋_GB2312" w:hAnsi="黑体" w:eastAsia="仿宋_GB2312"/>
          <w:b/>
          <w:bCs/>
          <w:color w:val="auto"/>
          <w:sz w:val="32"/>
          <w:szCs w:val="32"/>
          <w:highlight w:val="none"/>
          <w:lang w:val="en-US" w:eastAsia="zh-CN"/>
        </w:rPr>
        <w:t>分级诊疗格局。</w:t>
      </w:r>
      <w:r>
        <w:rPr>
          <w:rFonts w:hint="eastAsia" w:ascii="仿宋_GB2312" w:hAnsi="黑体" w:eastAsia="仿宋_GB2312"/>
          <w:b w:val="0"/>
          <w:bCs w:val="0"/>
          <w:color w:val="auto"/>
          <w:sz w:val="32"/>
          <w:szCs w:val="32"/>
          <w:highlight w:val="none"/>
          <w:lang w:val="en-US" w:eastAsia="zh-CN"/>
        </w:rPr>
        <w:t>根据</w:t>
      </w:r>
      <w:r>
        <w:rPr>
          <w:rFonts w:hint="eastAsia" w:ascii="仿宋_GB2312" w:hAnsi="仿宋_GB2312" w:eastAsia="仿宋_GB2312" w:cs="仿宋_GB2312"/>
          <w:bCs/>
          <w:color w:val="auto"/>
          <w:sz w:val="32"/>
          <w:szCs w:val="32"/>
          <w:highlight w:val="none"/>
        </w:rPr>
        <w:t>《关于推进社康机构举办医院上下融合发展 促进双向转诊若干措施》</w:t>
      </w:r>
      <w:r>
        <w:rPr>
          <w:rFonts w:hint="eastAsia" w:ascii="仿宋_GB2312" w:hAnsi="仿宋_GB2312" w:eastAsia="仿宋_GB2312" w:cs="仿宋_GB2312"/>
          <w:bCs/>
          <w:color w:val="auto"/>
          <w:sz w:val="32"/>
          <w:szCs w:val="32"/>
          <w:highlight w:val="none"/>
          <w:lang w:eastAsia="zh-CN"/>
        </w:rPr>
        <w:t>（深卫健发〔</w:t>
      </w:r>
      <w:r>
        <w:rPr>
          <w:rFonts w:hint="eastAsia" w:ascii="仿宋_GB2312" w:hAnsi="仿宋_GB2312" w:eastAsia="仿宋_GB2312" w:cs="仿宋_GB2312"/>
          <w:bCs/>
          <w:color w:val="auto"/>
          <w:sz w:val="32"/>
          <w:szCs w:val="32"/>
          <w:highlight w:val="none"/>
          <w:lang w:val="en-US" w:eastAsia="zh-CN"/>
        </w:rPr>
        <w:t>2019</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35号</w:t>
      </w:r>
      <w:r>
        <w:rPr>
          <w:rFonts w:hint="eastAsia" w:ascii="仿宋_GB2312" w:hAnsi="仿宋_GB2312" w:eastAsia="仿宋_GB2312" w:cs="仿宋_GB2312"/>
          <w:bCs/>
          <w:color w:val="auto"/>
          <w:sz w:val="32"/>
          <w:szCs w:val="32"/>
          <w:highlight w:val="none"/>
          <w:lang w:eastAsia="zh-CN"/>
        </w:rPr>
        <w:t>），</w:t>
      </w:r>
      <w:r>
        <w:rPr>
          <w:rFonts w:hint="eastAsia" w:ascii="仿宋_GB2312" w:hAnsi="黑体" w:eastAsia="仿宋_GB2312"/>
          <w:color w:val="auto"/>
          <w:sz w:val="32"/>
          <w:szCs w:val="32"/>
          <w:highlight w:val="none"/>
        </w:rPr>
        <w:t>通过远程会诊、远程心电诊断、远程影像诊断等服务</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畅通上转渠道、精准对接下转患者等措施，构建科学合理有序的分级诊疗制度。到2025年，</w:t>
      </w:r>
      <w:r>
        <w:rPr>
          <w:rFonts w:hint="eastAsia" w:ascii="仿宋_GB2312" w:hAnsi="黑体" w:eastAsia="仿宋_GB2312"/>
          <w:color w:val="auto"/>
          <w:sz w:val="32"/>
          <w:szCs w:val="32"/>
          <w:highlight w:val="none"/>
          <w:lang w:eastAsia="zh-CN"/>
        </w:rPr>
        <w:t>基层医疗服务体系诊疗量</w:t>
      </w:r>
      <w:r>
        <w:rPr>
          <w:rFonts w:hint="eastAsia" w:ascii="仿宋_GB2312" w:hAnsi="黑体" w:eastAsia="仿宋_GB2312"/>
          <w:color w:val="auto"/>
          <w:sz w:val="32"/>
          <w:szCs w:val="32"/>
          <w:highlight w:val="none"/>
        </w:rPr>
        <w:t>占比≥</w:t>
      </w:r>
      <w:r>
        <w:rPr>
          <w:rFonts w:hint="eastAsia" w:ascii="仿宋_GB2312" w:hAnsi="黑体" w:eastAsia="仿宋_GB2312"/>
          <w:color w:val="auto"/>
          <w:sz w:val="32"/>
          <w:szCs w:val="32"/>
          <w:highlight w:val="none"/>
          <w:lang w:val="en-US" w:eastAsia="zh-CN"/>
        </w:rPr>
        <w:t>75</w:t>
      </w:r>
      <w:r>
        <w:rPr>
          <w:rFonts w:hint="eastAsia" w:ascii="仿宋_GB2312" w:hAnsi="黑体" w:eastAsia="仿宋_GB2312"/>
          <w:color w:val="auto"/>
          <w:sz w:val="32"/>
          <w:szCs w:val="32"/>
          <w:highlight w:val="none"/>
        </w:rPr>
        <w:t>％。优化提升全科医学服务体系，支持全科医生承接慢性病和康复期患者的管理和指导服务，</w:t>
      </w:r>
      <w:r>
        <w:rPr>
          <w:rFonts w:hint="eastAsia" w:ascii="仿宋_GB2312" w:hAnsi="黑体" w:eastAsia="仿宋_GB2312"/>
          <w:color w:val="auto"/>
          <w:sz w:val="32"/>
          <w:szCs w:val="32"/>
          <w:highlight w:val="none"/>
          <w:lang w:eastAsia="zh-CN"/>
        </w:rPr>
        <w:t>推动</w:t>
      </w:r>
      <w:r>
        <w:rPr>
          <w:rFonts w:hint="eastAsia" w:ascii="仿宋_GB2312" w:hAnsi="黑体" w:eastAsia="仿宋_GB2312"/>
          <w:color w:val="auto"/>
          <w:sz w:val="32"/>
          <w:szCs w:val="32"/>
          <w:highlight w:val="none"/>
        </w:rPr>
        <w:t>公立医院、基层医疗机构建立慢性病患者、康复期患</w:t>
      </w:r>
      <w:r>
        <w:rPr>
          <w:rFonts w:hint="eastAsia" w:ascii="仿宋_GB2312" w:hAnsi="仿宋_GB2312" w:eastAsia="仿宋_GB2312" w:cs="仿宋_GB2312"/>
          <w:color w:val="auto"/>
          <w:sz w:val="32"/>
          <w:szCs w:val="32"/>
          <w:highlight w:val="none"/>
        </w:rPr>
        <w:t>者连续性医疗服务分工协作和双向转诊机制。</w:t>
      </w:r>
      <w:bookmarkEnd w:id="1128"/>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bookmarkStart w:id="1129" w:name="_Toc28016"/>
      <w:bookmarkStart w:id="1130" w:name="_Toc4984"/>
      <w:bookmarkStart w:id="1131" w:name="_Toc31870"/>
      <w:bookmarkStart w:id="1132" w:name="_Toc19454_WPSOffice_Level3"/>
      <w:bookmarkStart w:id="1133" w:name="_Toc32315"/>
      <w:bookmarkStart w:id="1134" w:name="_Toc27685"/>
      <w:bookmarkStart w:id="1135" w:name="_Toc20127"/>
      <w:bookmarkStart w:id="1136" w:name="_Toc21646"/>
      <w:bookmarkStart w:id="1137" w:name="_Toc17965"/>
      <w:bookmarkStart w:id="1138" w:name="_Toc23139"/>
      <w:bookmarkStart w:id="1139" w:name="_Toc8575"/>
      <w:bookmarkStart w:id="1140" w:name="_Toc23986"/>
      <w:bookmarkStart w:id="1141" w:name="_Toc10254"/>
      <w:bookmarkStart w:id="1142" w:name="_Toc27080"/>
      <w:bookmarkStart w:id="1143" w:name="_Toc11249"/>
      <w:bookmarkStart w:id="1144" w:name="_Toc933"/>
      <w:bookmarkStart w:id="1145" w:name="_Toc17767"/>
      <w:bookmarkStart w:id="1146" w:name="_Toc19181"/>
      <w:bookmarkStart w:id="1147" w:name="_Toc5113"/>
      <w:bookmarkStart w:id="1148" w:name="_Toc13647"/>
      <w:bookmarkStart w:id="1149" w:name="_Toc16038"/>
      <w:bookmarkStart w:id="1150" w:name="_Toc22435"/>
      <w:bookmarkStart w:id="1151" w:name="_Toc17047"/>
      <w:bookmarkStart w:id="1152" w:name="_Toc22646"/>
      <w:bookmarkStart w:id="1153" w:name="_Toc20465"/>
      <w:bookmarkStart w:id="1154" w:name="_Toc5090"/>
      <w:bookmarkStart w:id="1155" w:name="_Toc17174"/>
      <w:bookmarkStart w:id="1156" w:name="_Toc26577"/>
      <w:bookmarkStart w:id="1157" w:name="_Toc29364"/>
      <w:bookmarkStart w:id="1158" w:name="_Toc31022"/>
      <w:bookmarkStart w:id="1159" w:name="_Toc16944"/>
      <w:bookmarkStart w:id="1160" w:name="_Toc24977"/>
      <w:bookmarkStart w:id="1161" w:name="_Toc20308"/>
      <w:bookmarkStart w:id="1162" w:name="_Toc12153"/>
      <w:bookmarkStart w:id="1163" w:name="_Toc19973"/>
      <w:bookmarkStart w:id="1164" w:name="_Toc17456"/>
      <w:bookmarkStart w:id="1165" w:name="_Toc23787"/>
      <w:bookmarkStart w:id="1166" w:name="_Toc7847"/>
      <w:bookmarkStart w:id="1167" w:name="_Toc23647"/>
      <w:bookmarkStart w:id="1168" w:name="_Toc24442"/>
      <w:bookmarkStart w:id="1169" w:name="_Toc30186"/>
      <w:bookmarkStart w:id="1170" w:name="_Toc23156"/>
      <w:bookmarkStart w:id="1171" w:name="_Toc11344"/>
      <w:bookmarkStart w:id="1172" w:name="_Toc7285"/>
      <w:bookmarkStart w:id="1173" w:name="_Toc17417"/>
      <w:bookmarkStart w:id="1174" w:name="_Toc1071"/>
      <w:bookmarkStart w:id="1175" w:name="_Toc4755"/>
      <w:bookmarkStart w:id="1176" w:name="_Toc11970"/>
      <w:r>
        <w:rPr>
          <w:rFonts w:hint="eastAsia" w:ascii="楷体_GB2312" w:hAnsi="楷体_GB2312" w:eastAsia="楷体_GB2312" w:cs="楷体_GB2312"/>
          <w:color w:val="auto"/>
          <w:sz w:val="32"/>
          <w:szCs w:val="32"/>
          <w:highlight w:val="none"/>
          <w:lang w:val="en-US" w:eastAsia="zh-CN"/>
        </w:rPr>
        <w:t>（三）激活中医药传承创新动力</w:t>
      </w: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1.健全中医药服务体系</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rPr>
        <w:t>提速建设中医医疗高地</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柔性引进国家中医药管理局南方医院李可中医药学术流派国家传承基地主任、南方医院古中医科主任吕英及其团队专家，</w:t>
      </w:r>
      <w:r>
        <w:rPr>
          <w:rFonts w:hint="eastAsia" w:ascii="仿宋_GB2312" w:hAnsi="仿宋_GB2312" w:eastAsia="仿宋_GB2312" w:cs="仿宋_GB2312"/>
          <w:color w:val="auto"/>
          <w:sz w:val="32"/>
          <w:szCs w:val="32"/>
          <w:highlight w:val="none"/>
          <w:lang w:val="en-US" w:eastAsia="zh-CN"/>
        </w:rPr>
        <w:t>试点港澳中医师在深圳公立中医医疗机</w:t>
      </w:r>
      <w:r>
        <w:rPr>
          <w:rFonts w:hint="eastAsia" w:ascii="仿宋_GB2312" w:hAnsi="仿宋_GB2312" w:eastAsia="仿宋_GB2312" w:cs="仿宋_GB2312"/>
          <w:b w:val="0"/>
          <w:bCs w:val="0"/>
          <w:color w:val="auto"/>
          <w:sz w:val="32"/>
          <w:szCs w:val="32"/>
          <w:highlight w:val="none"/>
          <w:lang w:val="en-US" w:eastAsia="zh-CN"/>
        </w:rPr>
        <w:t>构执业</w:t>
      </w:r>
      <w:r>
        <w:rPr>
          <w:rFonts w:hint="eastAsia" w:ascii="仿宋_GB2312" w:hAnsi="仿宋_GB2312" w:eastAsia="仿宋_GB2312" w:cs="仿宋_GB2312"/>
          <w:b w:val="0"/>
          <w:bCs w:val="0"/>
          <w:color w:val="auto"/>
          <w:sz w:val="32"/>
          <w:szCs w:val="32"/>
          <w:highlight w:val="none"/>
        </w:rPr>
        <w:t>。三年内建设3-5个市级重点学科，五年内建设1-2个省级重点学科。建成</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个市级基层中医药服务能力提升工程优选建设单位。巩固光明区全国基层中医药先进示范单位的成果</w:t>
      </w:r>
      <w:r>
        <w:rPr>
          <w:rFonts w:hint="eastAsia" w:ascii="仿宋_GB2312" w:hAnsi="仿宋_GB2312" w:eastAsia="仿宋_GB2312" w:cs="仿宋_GB2312"/>
          <w:color w:val="auto"/>
          <w:sz w:val="32"/>
          <w:szCs w:val="32"/>
          <w:highlight w:val="none"/>
          <w:lang w:eastAsia="zh-CN"/>
        </w:rPr>
        <w:t>。</w:t>
      </w:r>
      <w:bookmarkStart w:id="1177" w:name="_Toc19167"/>
      <w:bookmarkStart w:id="1178" w:name="_Toc3029"/>
      <w:bookmarkStart w:id="1179" w:name="_Toc6208"/>
      <w:bookmarkStart w:id="1180" w:name="_Toc27880"/>
      <w:bookmarkStart w:id="1181" w:name="_Toc16910"/>
      <w:bookmarkStart w:id="1182" w:name="_Toc7717"/>
      <w:bookmarkStart w:id="1183" w:name="_Toc17297"/>
      <w:bookmarkStart w:id="1184" w:name="_Toc14064"/>
      <w:bookmarkStart w:id="1185" w:name="_Toc30869"/>
      <w:bookmarkStart w:id="1186" w:name="_Toc10593"/>
      <w:bookmarkStart w:id="1187" w:name="_Toc5235"/>
      <w:bookmarkStart w:id="1188" w:name="_Toc25492"/>
      <w:bookmarkStart w:id="1189" w:name="_Toc8315"/>
      <w:bookmarkStart w:id="1190" w:name="_Toc20354"/>
      <w:bookmarkStart w:id="1191" w:name="_Toc455"/>
      <w:bookmarkStart w:id="1192" w:name="_Toc23048"/>
      <w:bookmarkStart w:id="1193" w:name="_Toc18308"/>
      <w:bookmarkStart w:id="1194" w:name="_Toc3949"/>
      <w:bookmarkStart w:id="1195" w:name="_Toc24439"/>
      <w:bookmarkStart w:id="1196" w:name="_Toc9494"/>
      <w:bookmarkStart w:id="1197" w:name="_Toc28806"/>
      <w:bookmarkStart w:id="1198" w:name="_Toc28475"/>
      <w:bookmarkStart w:id="1199" w:name="_Toc17998"/>
      <w:bookmarkStart w:id="1200" w:name="_Toc18657"/>
      <w:bookmarkStart w:id="1201" w:name="_Toc28807"/>
      <w:bookmarkStart w:id="1202" w:name="_Toc18954"/>
      <w:bookmarkStart w:id="1203" w:name="_Toc763"/>
      <w:bookmarkStart w:id="1204" w:name="_Toc5212"/>
      <w:bookmarkStart w:id="1205" w:name="_Toc11299"/>
      <w:bookmarkStart w:id="1206" w:name="_Toc17012"/>
      <w:bookmarkStart w:id="1207" w:name="_Toc22313"/>
      <w:bookmarkStart w:id="1208" w:name="_Toc4147"/>
      <w:bookmarkStart w:id="1209" w:name="_Toc16510"/>
      <w:bookmarkStart w:id="1210" w:name="_Toc6552"/>
      <w:bookmarkStart w:id="1211" w:name="_Toc27969"/>
      <w:bookmarkStart w:id="1212" w:name="_Toc11125"/>
      <w:bookmarkStart w:id="1213" w:name="_Toc2052"/>
      <w:bookmarkStart w:id="1214" w:name="_Toc12593"/>
      <w:bookmarkStart w:id="1215" w:name="_Toc15612"/>
      <w:bookmarkStart w:id="1216" w:name="_Toc31789"/>
      <w:bookmarkStart w:id="1217" w:name="_Toc9332"/>
      <w:bookmarkStart w:id="1218" w:name="_Toc27139"/>
      <w:bookmarkStart w:id="1219" w:name="_Toc15581"/>
      <w:bookmarkStart w:id="1220" w:name="_Toc8625"/>
      <w:bookmarkStart w:id="1221" w:name="_Toc31455"/>
      <w:bookmarkStart w:id="1222" w:name="_Toc21971"/>
      <w:bookmarkStart w:id="1223" w:name="_Toc17655"/>
      <w:r>
        <w:rPr>
          <w:rFonts w:hint="eastAsia" w:ascii="仿宋_GB2312" w:hAnsi="仿宋_GB2312" w:eastAsia="仿宋_GB2312" w:cs="仿宋_GB2312"/>
          <w:b/>
          <w:bCs/>
          <w:color w:val="auto"/>
          <w:sz w:val="32"/>
          <w:szCs w:val="32"/>
          <w:highlight w:val="none"/>
          <w:lang w:eastAsia="zh-CN"/>
        </w:rPr>
        <w:t>二是</w:t>
      </w:r>
      <w:r>
        <w:rPr>
          <w:rFonts w:hint="eastAsia" w:ascii="仿宋_GB2312" w:hAnsi="Times New Roman" w:eastAsia="仿宋_GB2312" w:cs="Times New Roman"/>
          <w:b/>
          <w:bCs/>
          <w:color w:val="auto"/>
          <w:sz w:val="32"/>
          <w:szCs w:val="32"/>
          <w:highlight w:val="none"/>
        </w:rPr>
        <w:t>完善</w:t>
      </w:r>
      <w:r>
        <w:rPr>
          <w:rFonts w:hint="eastAsia" w:ascii="仿宋_GB2312" w:hAnsi="Times New Roman" w:eastAsia="仿宋_GB2312" w:cs="Times New Roman"/>
          <w:b/>
          <w:color w:val="auto"/>
          <w:sz w:val="32"/>
          <w:szCs w:val="32"/>
          <w:highlight w:val="none"/>
        </w:rPr>
        <w:t>中医药服务网络体系</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Start w:id="1224" w:name="_Toc28069"/>
      <w:bookmarkStart w:id="1225" w:name="_Toc32478"/>
      <w:bookmarkStart w:id="1226" w:name="_Toc2957"/>
      <w:bookmarkStart w:id="1227" w:name="_Toc6212"/>
      <w:bookmarkStart w:id="1228" w:name="_Toc10722"/>
      <w:bookmarkStart w:id="1229" w:name="_Toc16448"/>
      <w:bookmarkStart w:id="1230" w:name="_Toc15059"/>
      <w:bookmarkStart w:id="1231" w:name="_Toc24386"/>
      <w:bookmarkStart w:id="1232" w:name="_Toc21363"/>
      <w:r>
        <w:rPr>
          <w:rFonts w:hint="eastAsia" w:ascii="仿宋_GB2312" w:eastAsia="仿宋_GB2312" w:cs="Times New Roman"/>
          <w:b/>
          <w:color w:val="auto"/>
          <w:sz w:val="32"/>
          <w:szCs w:val="32"/>
          <w:highlight w:val="none"/>
          <w:lang w:eastAsia="zh-CN"/>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Start w:id="1233" w:name="_Toc11911"/>
      <w:bookmarkStart w:id="1234" w:name="_Toc29194"/>
      <w:bookmarkStart w:id="1235" w:name="_Toc31033"/>
      <w:bookmarkStart w:id="1236" w:name="_Toc3023"/>
      <w:bookmarkStart w:id="1237" w:name="_Toc178"/>
      <w:bookmarkStart w:id="1238" w:name="_Toc18601"/>
      <w:bookmarkStart w:id="1239" w:name="_Toc32386"/>
      <w:bookmarkStart w:id="1240" w:name="_Toc10088"/>
      <w:bookmarkStart w:id="1241" w:name="_Toc17712"/>
      <w:bookmarkStart w:id="1242" w:name="_Toc14851"/>
      <w:bookmarkStart w:id="1243" w:name="_Toc2459"/>
      <w:bookmarkStart w:id="1244" w:name="_Toc10448"/>
      <w:bookmarkStart w:id="1245" w:name="_Toc23338"/>
      <w:bookmarkStart w:id="1246" w:name="_Toc10932"/>
      <w:bookmarkStart w:id="1247" w:name="_Toc15531"/>
      <w:bookmarkStart w:id="1248" w:name="_Toc18420"/>
      <w:bookmarkStart w:id="1249" w:name="_Toc13453"/>
      <w:bookmarkStart w:id="1250" w:name="_Toc29246"/>
      <w:bookmarkStart w:id="1251" w:name="_Toc27429"/>
      <w:bookmarkStart w:id="1252" w:name="_Toc24230"/>
      <w:bookmarkStart w:id="1253" w:name="_Toc26749"/>
      <w:bookmarkStart w:id="1254" w:name="_Toc9909"/>
      <w:bookmarkStart w:id="1255" w:name="_Toc22450"/>
      <w:bookmarkStart w:id="1256" w:name="_Toc25669"/>
      <w:bookmarkStart w:id="1257" w:name="_Toc20451"/>
      <w:bookmarkStart w:id="1258" w:name="_Toc16269"/>
      <w:bookmarkStart w:id="1259" w:name="_Toc12916"/>
      <w:bookmarkStart w:id="1260" w:name="_Toc19316"/>
      <w:bookmarkStart w:id="1261" w:name="_Toc15793"/>
      <w:bookmarkStart w:id="1262" w:name="_Toc2944"/>
      <w:bookmarkStart w:id="1263" w:name="_Toc7412"/>
      <w:bookmarkStart w:id="1264" w:name="_Toc15765"/>
      <w:bookmarkStart w:id="1265" w:name="_Toc30640"/>
      <w:bookmarkStart w:id="1266" w:name="_Toc24773"/>
      <w:bookmarkStart w:id="1267" w:name="_Toc26983"/>
      <w:bookmarkStart w:id="1268" w:name="_Toc8596"/>
      <w:bookmarkStart w:id="1269" w:name="_Toc5848"/>
      <w:bookmarkStart w:id="1270" w:name="_Toc6273"/>
      <w:bookmarkStart w:id="1271" w:name="_Toc28575"/>
      <w:bookmarkStart w:id="1272" w:name="_Toc4431"/>
      <w:bookmarkStart w:id="1273" w:name="_Toc19692"/>
      <w:bookmarkStart w:id="1274" w:name="_Toc8493"/>
      <w:bookmarkStart w:id="1275" w:name="_Toc4087"/>
      <w:bookmarkStart w:id="1276" w:name="_Toc32008"/>
      <w:bookmarkStart w:id="1277" w:name="_Toc16442"/>
      <w:bookmarkStart w:id="1278" w:name="_Toc21387"/>
      <w:bookmarkStart w:id="1279" w:name="_Toc5208"/>
      <w:bookmarkStart w:id="1280" w:name="_Toc15981"/>
      <w:bookmarkStart w:id="1281" w:name="_Toc17378"/>
      <w:bookmarkStart w:id="1282" w:name="_Toc30261"/>
      <w:bookmarkStart w:id="1283" w:name="_Toc24295"/>
      <w:bookmarkStart w:id="1284" w:name="_Toc29362"/>
      <w:bookmarkStart w:id="1285" w:name="_Toc11400"/>
      <w:bookmarkStart w:id="1286" w:name="_Toc16486"/>
      <w:bookmarkStart w:id="1287" w:name="_Toc8802"/>
      <w:bookmarkStart w:id="1288" w:name="_Toc11666"/>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eastAsia="zh-CN"/>
        </w:rPr>
        <w:t>区属</w:t>
      </w:r>
      <w:r>
        <w:rPr>
          <w:rFonts w:hint="eastAsia" w:ascii="仿宋_GB2312" w:hAnsi="仿宋_GB2312" w:eastAsia="仿宋_GB2312" w:cs="仿宋_GB2312"/>
          <w:color w:val="auto"/>
          <w:sz w:val="32"/>
          <w:szCs w:val="32"/>
          <w:highlight w:val="none"/>
        </w:rPr>
        <w:t>综合医院各临床科室中西医协作</w:t>
      </w:r>
      <w:r>
        <w:rPr>
          <w:rFonts w:hint="eastAsia" w:ascii="仿宋_GB2312" w:hAnsi="仿宋_GB2312" w:eastAsia="仿宋_GB2312" w:cs="仿宋_GB2312"/>
          <w:color w:val="auto"/>
          <w:sz w:val="32"/>
          <w:szCs w:val="32"/>
          <w:highlight w:val="none"/>
          <w:lang w:eastAsia="zh-CN"/>
        </w:rPr>
        <w:t>，鼓励开展中西医联合诊疗。区属医院</w:t>
      </w:r>
      <w:r>
        <w:rPr>
          <w:rFonts w:hint="eastAsia" w:ascii="仿宋_GB2312" w:hAnsi="仿宋_GB2312" w:eastAsia="仿宋_GB2312" w:cs="仿宋_GB2312"/>
          <w:b w:val="0"/>
          <w:bCs w:val="0"/>
          <w:color w:val="auto"/>
          <w:sz w:val="32"/>
          <w:szCs w:val="32"/>
          <w:highlight w:val="none"/>
        </w:rPr>
        <w:t>中医类别医师与1～2个社康中心建立合作关系，通过定期下基层坐诊、参与家庭医师团队等形式加入到居民的中医药防病治病当中。</w:t>
      </w:r>
      <w:r>
        <w:rPr>
          <w:rFonts w:hint="eastAsia" w:ascii="仿宋_GB2312" w:hAnsi="仿宋_GB2312" w:eastAsia="仿宋_GB2312" w:cs="仿宋_GB2312"/>
          <w:b w:val="0"/>
          <w:bCs w:val="0"/>
          <w:color w:val="auto"/>
          <w:sz w:val="32"/>
          <w:szCs w:val="32"/>
          <w:highlight w:val="none"/>
          <w:lang w:eastAsia="zh-CN"/>
        </w:rPr>
        <w:t>建设区属中医馆，安排区名中医、基层名中医轮流坐诊，定期邀请市名中医出诊。</w:t>
      </w:r>
      <w:r>
        <w:rPr>
          <w:rFonts w:hint="eastAsia" w:ascii="仿宋_GB2312" w:hAnsi="仿宋_GB2312" w:eastAsia="仿宋_GB2312" w:cs="仿宋_GB2312"/>
          <w:b w:val="0"/>
          <w:bCs w:val="0"/>
          <w:color w:val="auto"/>
          <w:sz w:val="32"/>
          <w:szCs w:val="32"/>
          <w:highlight w:val="none"/>
          <w:lang w:val="en-US" w:eastAsia="zh-CN"/>
        </w:rPr>
        <w:t>实现社康机构中医药服务“三个100%”。</w:t>
      </w:r>
      <w:r>
        <w:rPr>
          <w:rFonts w:hint="eastAsia" w:ascii="仿宋_GB2312" w:hAnsi="仿宋_GB2312" w:eastAsia="仿宋_GB2312" w:cs="仿宋_GB2312"/>
          <w:b w:val="0"/>
          <w:bCs w:val="0"/>
          <w:color w:val="auto"/>
          <w:sz w:val="32"/>
          <w:szCs w:val="32"/>
          <w:highlight w:val="none"/>
        </w:rPr>
        <w:t>中医类别医师占社康中心医师总数的比例达到20%以上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中医处方（包含中药饮片、中成药）占处方总数的比例达30%以上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中药饮片处方占处方总数的比例达5%以上或中医非药物疗法治疗人次占总诊疗人次的比例达10%以上</w:t>
      </w:r>
      <w:bookmarkStart w:id="1289" w:name="_Toc28284"/>
      <w:bookmarkStart w:id="1290" w:name="_Toc4187"/>
      <w:bookmarkStart w:id="1291" w:name="_Toc25148"/>
      <w:bookmarkStart w:id="1292" w:name="_Toc30481"/>
      <w:bookmarkStart w:id="1293" w:name="_Toc12099"/>
      <w:bookmarkStart w:id="1294" w:name="_Toc6216"/>
      <w:bookmarkStart w:id="1295" w:name="_Toc28569"/>
      <w:bookmarkStart w:id="1296" w:name="_Toc32145"/>
      <w:bookmarkStart w:id="1297" w:name="_Toc7710"/>
      <w:bookmarkStart w:id="1298" w:name="_Toc15606"/>
      <w:bookmarkStart w:id="1299" w:name="_Toc4386"/>
      <w:bookmarkStart w:id="1300" w:name="_Toc8371"/>
      <w:bookmarkStart w:id="1301" w:name="_Toc8734"/>
      <w:bookmarkStart w:id="1302" w:name="_Toc14762"/>
      <w:bookmarkStart w:id="1303" w:name="_Toc6934"/>
      <w:bookmarkStart w:id="1304" w:name="_Toc2044"/>
      <w:bookmarkStart w:id="1305" w:name="_Toc6679"/>
      <w:bookmarkStart w:id="1306" w:name="_Toc5392"/>
      <w:bookmarkStart w:id="1307" w:name="_Toc18013"/>
      <w:r>
        <w:rPr>
          <w:rFonts w:hint="eastAsia" w:ascii="仿宋_GB2312" w:hAnsi="仿宋_GB2312" w:eastAsia="仿宋_GB2312" w:cs="仿宋_GB2312"/>
          <w:b w:val="0"/>
          <w:bCs w:val="0"/>
          <w:color w:val="auto"/>
          <w:sz w:val="32"/>
          <w:szCs w:val="32"/>
          <w:highlight w:val="none"/>
          <w:lang w:eastAsia="zh-CN"/>
        </w:rPr>
        <w:t>。</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Pr>
          <w:rFonts w:hint="eastAsia" w:ascii="仿宋_GB2312" w:hAnsi="仿宋_GB2312" w:eastAsia="仿宋_GB2312" w:cs="仿宋_GB2312"/>
          <w:b/>
          <w:bCs/>
          <w:color w:val="auto"/>
          <w:sz w:val="32"/>
          <w:szCs w:val="32"/>
          <w:highlight w:val="none"/>
          <w:lang w:eastAsia="zh-CN"/>
        </w:rPr>
        <w:t>三是</w:t>
      </w:r>
      <w:r>
        <w:rPr>
          <w:rFonts w:hint="eastAsia" w:ascii="仿宋_GB2312" w:hAnsi="Times New Roman" w:eastAsia="仿宋_GB2312" w:cs="Times New Roman"/>
          <w:b/>
          <w:bCs/>
          <w:color w:val="auto"/>
          <w:sz w:val="32"/>
          <w:szCs w:val="32"/>
          <w:highlight w:val="none"/>
        </w:rPr>
        <w:t>推进“治未病”养生保健服务</w:t>
      </w:r>
      <w:r>
        <w:rPr>
          <w:rFonts w:hint="eastAsia" w:ascii="仿宋_GB2312" w:hAnsi="Times New Roman" w:eastAsia="仿宋_GB2312" w:cs="Times New Roman"/>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治未病中心的督导建设，建设“治未病”服务示范试点单位，提高基层医疗卫生机构中医医疗、养生、保健的服务能力。研究推广中医药经方体质辨识，拓展治未病服务领域。对常住居民中65岁以上和0～36个月儿童、孕产妇、高血压病患者、糖尿病患者开展中医药健康管理服务，提供中医治未病健康指导。</w:t>
      </w:r>
      <w:r>
        <w:rPr>
          <w:rFonts w:hint="eastAsia" w:ascii="仿宋_GB2312" w:hAnsi="仿宋_GB2312" w:eastAsia="仿宋_GB2312" w:cs="仿宋_GB2312"/>
          <w:b w:val="0"/>
          <w:bCs w:val="0"/>
          <w:color w:val="auto"/>
          <w:sz w:val="32"/>
          <w:szCs w:val="32"/>
          <w:highlight w:val="none"/>
          <w:lang w:eastAsia="zh-CN"/>
        </w:rPr>
        <w:t>预期到</w:t>
      </w:r>
      <w:r>
        <w:rPr>
          <w:rFonts w:hint="eastAsia" w:ascii="仿宋_GB2312" w:hAnsi="仿宋_GB2312" w:eastAsia="仿宋_GB2312" w:cs="仿宋_GB2312"/>
          <w:b w:val="0"/>
          <w:bCs w:val="0"/>
          <w:color w:val="auto"/>
          <w:sz w:val="32"/>
          <w:szCs w:val="32"/>
          <w:highlight w:val="none"/>
          <w:lang w:val="en-US" w:eastAsia="zh-CN"/>
        </w:rPr>
        <w:t>2025年，0-36个月儿童中医药健康管理率达85%，65岁及以上老年人中医药健康管理率达75%。</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Start w:id="1308" w:name="_Toc1582"/>
      <w:bookmarkStart w:id="1309" w:name="_Toc25200"/>
      <w:bookmarkStart w:id="1310" w:name="_Toc21997"/>
      <w:bookmarkStart w:id="1311" w:name="_Toc30392"/>
      <w:bookmarkStart w:id="1312" w:name="_Toc28293"/>
      <w:bookmarkStart w:id="1313" w:name="_Toc14233"/>
      <w:bookmarkStart w:id="1314" w:name="_Toc16061"/>
      <w:bookmarkStart w:id="1315" w:name="_Toc9756"/>
      <w:bookmarkStart w:id="1316" w:name="_Toc13991"/>
      <w:bookmarkStart w:id="1317" w:name="_Toc19793"/>
      <w:bookmarkStart w:id="1318" w:name="_Toc3048"/>
      <w:bookmarkStart w:id="1319" w:name="_Toc14564"/>
      <w:bookmarkStart w:id="1320" w:name="_Toc16845"/>
      <w:bookmarkStart w:id="1321" w:name="_Toc27319"/>
      <w:bookmarkStart w:id="1322" w:name="_Toc15440"/>
      <w:bookmarkStart w:id="1323" w:name="_Toc29178"/>
      <w:bookmarkStart w:id="1324" w:name="_Toc32319"/>
      <w:bookmarkStart w:id="1325" w:name="_Toc32691"/>
      <w:bookmarkStart w:id="1326" w:name="_Toc7381"/>
      <w:r>
        <w:rPr>
          <w:rFonts w:hint="eastAsia" w:ascii="仿宋_GB2312" w:hAnsi="仿宋_GB2312" w:eastAsia="仿宋_GB2312" w:cs="仿宋_GB2312"/>
          <w:color w:val="auto"/>
          <w:sz w:val="32"/>
          <w:szCs w:val="32"/>
          <w:highlight w:val="none"/>
          <w:lang w:eastAsia="zh-CN"/>
        </w:rPr>
        <w:t>四是</w:t>
      </w:r>
      <w:r>
        <w:rPr>
          <w:rFonts w:hint="eastAsia" w:ascii="仿宋_GB2312" w:hAnsi="Times New Roman" w:eastAsia="仿宋_GB2312" w:cs="Times New Roman"/>
          <w:b/>
          <w:color w:val="auto"/>
          <w:sz w:val="32"/>
          <w:szCs w:val="32"/>
          <w:highlight w:val="none"/>
          <w:lang w:val="en-US" w:eastAsia="zh-CN"/>
        </w:rPr>
        <w:t>强化中医药人才队伍。</w:t>
      </w:r>
      <w:r>
        <w:rPr>
          <w:rFonts w:hint="eastAsia" w:ascii="仿宋_GB2312" w:hAnsi="仿宋_GB2312" w:eastAsia="仿宋_GB2312" w:cs="仿宋_GB2312"/>
          <w:b w:val="0"/>
          <w:bCs w:val="0"/>
          <w:color w:val="auto"/>
          <w:sz w:val="32"/>
          <w:szCs w:val="32"/>
          <w:highlight w:val="none"/>
          <w:lang w:val="en-US" w:eastAsia="zh-CN"/>
        </w:rPr>
        <w:t>引进省、市级名中医、港澳中医师，建设至少1家名中医工作室，对名老中医的学术经验和理论传承进行深度挖掘整理研究。</w:t>
      </w:r>
      <w:r>
        <w:rPr>
          <w:rFonts w:hint="eastAsia" w:ascii="仿宋_GB2312" w:hAnsi="仿宋_GB2312" w:eastAsia="仿宋_GB2312" w:cs="仿宋_GB2312"/>
          <w:b w:val="0"/>
          <w:bCs w:val="0"/>
          <w:color w:val="auto"/>
          <w:sz w:val="32"/>
          <w:szCs w:val="32"/>
          <w:highlight w:val="none"/>
        </w:rPr>
        <w:t>制定中医药人才梯队建设和培养行动计划</w:t>
      </w:r>
      <w:r>
        <w:rPr>
          <w:rFonts w:hint="eastAsia" w:ascii="仿宋_GB2312" w:hAnsi="仿宋_GB2312" w:eastAsia="仿宋_GB2312" w:cs="仿宋_GB2312"/>
          <w:b w:val="0"/>
          <w:bCs w:val="0"/>
          <w:color w:val="auto"/>
          <w:sz w:val="32"/>
          <w:szCs w:val="32"/>
          <w:highlight w:val="none"/>
          <w:lang w:eastAsia="zh-CN"/>
        </w:rPr>
        <w:t>，</w:t>
      </w:r>
      <w:r>
        <w:rPr>
          <w:rFonts w:ascii="仿宋_GB2312" w:hAnsi="宋体" w:eastAsia="仿宋_GB2312" w:cs="仿宋_GB2312"/>
          <w:color w:val="auto"/>
          <w:kern w:val="0"/>
          <w:sz w:val="31"/>
          <w:szCs w:val="31"/>
          <w:highlight w:val="none"/>
          <w:lang w:val="en-US" w:eastAsia="zh-CN" w:bidi="ar"/>
        </w:rPr>
        <w:t>支持光</w:t>
      </w:r>
      <w:r>
        <w:rPr>
          <w:rFonts w:hint="eastAsia" w:ascii="仿宋_GB2312" w:hAnsi="宋体" w:eastAsia="仿宋_GB2312" w:cs="仿宋_GB2312"/>
          <w:color w:val="auto"/>
          <w:kern w:val="0"/>
          <w:sz w:val="31"/>
          <w:szCs w:val="31"/>
          <w:highlight w:val="none"/>
          <w:lang w:val="en-US" w:eastAsia="zh-CN" w:bidi="ar"/>
        </w:rPr>
        <w:t>明区中医药传承发展研究院建设经方传习中心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开展中医师诊疗服务能力提升项目工作</w:t>
      </w:r>
      <w:r>
        <w:rPr>
          <w:rFonts w:hint="eastAsia" w:ascii="仿宋_GB2312" w:hAnsi="仿宋_GB2312" w:eastAsia="仿宋_GB2312" w:cs="仿宋_GB2312"/>
          <w:color w:val="auto"/>
          <w:sz w:val="32"/>
          <w:szCs w:val="32"/>
          <w:highlight w:val="none"/>
          <w:lang w:eastAsia="zh-CN"/>
        </w:rPr>
        <w:t>、中医药适宜技术培训等，</w:t>
      </w:r>
      <w:r>
        <w:rPr>
          <w:rFonts w:hint="default" w:ascii="仿宋_GB2312" w:hAnsi="仿宋_GB2312" w:eastAsia="仿宋_GB2312" w:cs="仿宋_GB2312"/>
          <w:b w:val="0"/>
          <w:bCs w:val="0"/>
          <w:color w:val="auto"/>
          <w:sz w:val="32"/>
          <w:szCs w:val="32"/>
          <w:highlight w:val="none"/>
          <w:lang w:val="en-US" w:eastAsia="zh-CN"/>
        </w:rPr>
        <w:t>推</w:t>
      </w:r>
      <w:r>
        <w:rPr>
          <w:rFonts w:hint="eastAsia" w:ascii="仿宋_GB2312" w:hAnsi="仿宋_GB2312" w:eastAsia="仿宋_GB2312" w:cs="仿宋_GB2312"/>
          <w:b w:val="0"/>
          <w:bCs w:val="0"/>
          <w:color w:val="auto"/>
          <w:sz w:val="32"/>
          <w:szCs w:val="32"/>
          <w:highlight w:val="none"/>
          <w:lang w:val="en-US" w:eastAsia="zh-CN"/>
        </w:rPr>
        <w:t>进</w:t>
      </w:r>
      <w:r>
        <w:rPr>
          <w:rFonts w:hint="default" w:ascii="仿宋_GB2312" w:hAnsi="仿宋_GB2312" w:eastAsia="仿宋_GB2312" w:cs="仿宋_GB2312"/>
          <w:b w:val="0"/>
          <w:bCs w:val="0"/>
          <w:color w:val="auto"/>
          <w:sz w:val="32"/>
          <w:szCs w:val="32"/>
          <w:highlight w:val="none"/>
          <w:lang w:val="en-US" w:eastAsia="zh-CN"/>
        </w:rPr>
        <w:t>中国科学院大学深圳医院（光明）与广东省中医药职业学院联合承办2年制西学中培训班项目</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鼓励综合医院</w:t>
      </w:r>
      <w:r>
        <w:rPr>
          <w:rFonts w:hint="eastAsia" w:ascii="仿宋_GB2312" w:hAnsi="仿宋_GB2312" w:eastAsia="仿宋_GB2312" w:cs="仿宋_GB2312"/>
          <w:b w:val="0"/>
          <w:bCs w:val="0"/>
          <w:color w:val="auto"/>
          <w:sz w:val="32"/>
          <w:szCs w:val="32"/>
          <w:highlight w:val="none"/>
          <w:lang w:val="en-US" w:eastAsia="zh-CN"/>
        </w:rPr>
        <w:t>、专科医院、社区健康服务中心</w:t>
      </w:r>
      <w:r>
        <w:rPr>
          <w:rFonts w:hint="default" w:ascii="仿宋_GB2312" w:hAnsi="仿宋_GB2312" w:eastAsia="仿宋_GB2312" w:cs="仿宋_GB2312"/>
          <w:b w:val="0"/>
          <w:bCs w:val="0"/>
          <w:color w:val="auto"/>
          <w:sz w:val="32"/>
          <w:szCs w:val="32"/>
          <w:highlight w:val="none"/>
          <w:lang w:val="en-US" w:eastAsia="zh-CN"/>
        </w:rPr>
        <w:t>中医类别医师参加中医全科转岗培训</w:t>
      </w:r>
      <w:r>
        <w:rPr>
          <w:rFonts w:hint="eastAsia" w:ascii="仿宋_GB2312" w:hAnsi="仿宋_GB2312" w:eastAsia="仿宋_GB2312" w:cs="仿宋_GB2312"/>
          <w:b w:val="0"/>
          <w:bCs w:val="0"/>
          <w:color w:val="auto"/>
          <w:sz w:val="32"/>
          <w:szCs w:val="32"/>
          <w:highlight w:val="none"/>
          <w:lang w:val="en-US" w:eastAsia="zh-CN"/>
        </w:rPr>
        <w:t>。</w:t>
      </w:r>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ascii="仿宋_GB2312" w:hAnsi="Times New Roman" w:eastAsia="仿宋_GB2312" w:cs="Times New Roman"/>
          <w:b w:val="0"/>
          <w:bCs/>
          <w:color w:val="auto"/>
          <w:sz w:val="32"/>
          <w:szCs w:val="32"/>
          <w:highlight w:val="none"/>
          <w:lang w:val="en-US" w:eastAsia="zh-CN"/>
        </w:rPr>
      </w:pPr>
      <w:bookmarkStart w:id="1327" w:name="_Toc26507"/>
      <w:bookmarkStart w:id="1328" w:name="_Toc4267"/>
      <w:bookmarkStart w:id="1329" w:name="_Toc10076"/>
      <w:bookmarkStart w:id="1330" w:name="_Toc5325"/>
      <w:bookmarkStart w:id="1331" w:name="_Toc23237"/>
      <w:bookmarkStart w:id="1332" w:name="_Toc11976"/>
      <w:bookmarkStart w:id="1333" w:name="_Toc10297"/>
      <w:bookmarkStart w:id="1334" w:name="_Toc29383"/>
      <w:bookmarkStart w:id="1335" w:name="_Toc32608_WPSOffice_Level3"/>
      <w:bookmarkStart w:id="1336" w:name="_Toc768"/>
      <w:bookmarkStart w:id="1337" w:name="_Toc27656"/>
      <w:bookmarkStart w:id="1338" w:name="_Toc29216"/>
      <w:bookmarkStart w:id="1339" w:name="_Toc22480"/>
      <w:bookmarkStart w:id="1340" w:name="_Toc9574"/>
      <w:bookmarkStart w:id="1341" w:name="_Toc846"/>
      <w:bookmarkStart w:id="1342" w:name="_Toc22053"/>
      <w:bookmarkStart w:id="1343" w:name="_Toc29075"/>
      <w:bookmarkStart w:id="1344" w:name="_Toc12136"/>
      <w:bookmarkStart w:id="1345" w:name="_Toc23303"/>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促</w:t>
      </w:r>
      <w:r>
        <w:rPr>
          <w:rFonts w:hint="eastAsia" w:ascii="仿宋_GB2312" w:hAnsi="仿宋_GB2312" w:eastAsia="仿宋_GB2312" w:cs="仿宋_GB2312"/>
          <w:b/>
          <w:bCs/>
          <w:color w:val="auto"/>
          <w:sz w:val="32"/>
          <w:szCs w:val="32"/>
          <w:highlight w:val="none"/>
        </w:rPr>
        <w:t>进中医药传承创新发展</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Start w:id="1346" w:name="_Toc11036"/>
      <w:bookmarkStart w:id="1347" w:name="_Toc29053"/>
      <w:bookmarkStart w:id="1348" w:name="_Toc8259"/>
      <w:bookmarkStart w:id="1349" w:name="_Toc29675"/>
      <w:bookmarkStart w:id="1350" w:name="_Toc7348"/>
      <w:bookmarkStart w:id="1351" w:name="_Toc17820"/>
      <w:bookmarkStart w:id="1352" w:name="_Toc15672"/>
      <w:bookmarkStart w:id="1353" w:name="_Toc449"/>
      <w:bookmarkStart w:id="1354" w:name="_Toc24062"/>
      <w:bookmarkStart w:id="1355" w:name="_Toc17323"/>
      <w:bookmarkStart w:id="1356" w:name="_Toc30042"/>
      <w:bookmarkStart w:id="1357" w:name="_Toc24767"/>
      <w:bookmarkStart w:id="1358" w:name="_Toc912"/>
      <w:bookmarkStart w:id="1359" w:name="_Toc13601"/>
      <w:bookmarkStart w:id="1360" w:name="_Toc31539"/>
      <w:bookmarkStart w:id="1361" w:name="_Toc4894"/>
      <w:bookmarkStart w:id="1362" w:name="_Toc16985"/>
      <w:bookmarkStart w:id="1363" w:name="_Toc9752"/>
      <w:bookmarkStart w:id="1364" w:name="_Toc26574"/>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推进中医</w:t>
      </w:r>
      <w:r>
        <w:rPr>
          <w:rFonts w:hint="eastAsia" w:ascii="仿宋_GB2312" w:hAnsi="Times New Roman" w:eastAsia="仿宋_GB2312" w:cs="Times New Roman"/>
          <w:b/>
          <w:color w:val="auto"/>
          <w:sz w:val="32"/>
          <w:szCs w:val="32"/>
          <w:highlight w:val="none"/>
        </w:rPr>
        <w:t>药精华传承</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rFonts w:hint="eastAsia" w:ascii="仿宋_GB2312" w:eastAsia="仿宋_GB2312" w:cs="Times New Roman"/>
          <w:b/>
          <w:color w:val="auto"/>
          <w:sz w:val="32"/>
          <w:szCs w:val="32"/>
          <w:highlight w:val="none"/>
          <w:lang w:eastAsia="zh-CN"/>
        </w:rPr>
        <w:t>。</w:t>
      </w:r>
      <w:r>
        <w:rPr>
          <w:rFonts w:hint="eastAsia" w:ascii="仿宋_GB2312" w:eastAsia="仿宋_GB2312" w:cs="Times New Roman"/>
          <w:b w:val="0"/>
          <w:bCs/>
          <w:color w:val="auto"/>
          <w:sz w:val="32"/>
          <w:szCs w:val="32"/>
          <w:highlight w:val="none"/>
          <w:lang w:eastAsia="zh-CN"/>
        </w:rPr>
        <w:t>推进至少1个疗效确切的中医临床经验方的研制，</w:t>
      </w:r>
      <w:r>
        <w:rPr>
          <w:rFonts w:hint="eastAsia" w:ascii="仿宋_GB2312" w:hAnsi="仿宋_GB2312" w:eastAsia="仿宋_GB2312" w:cs="仿宋_GB2312"/>
          <w:color w:val="auto"/>
          <w:sz w:val="32"/>
          <w:szCs w:val="32"/>
          <w:highlight w:val="none"/>
          <w:lang w:val="en-US" w:eastAsia="zh-CN"/>
        </w:rPr>
        <w:t>优先挖掘传承一批临床急需、疗效确切的中医药经典名方、验方及特色制剂，制定相关经典方剂目录。</w:t>
      </w:r>
      <w:r>
        <w:rPr>
          <w:rFonts w:hint="eastAsia" w:ascii="仿宋_GB2312" w:eastAsia="仿宋_GB2312"/>
          <w:color w:val="auto"/>
          <w:sz w:val="32"/>
          <w:szCs w:val="32"/>
          <w:highlight w:val="none"/>
        </w:rPr>
        <w:t>挖掘民间中医诊疗技术和方药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开展中药验方收集、保存、研究评价。加强中医药传统知识保护与利用，</w:t>
      </w:r>
      <w:r>
        <w:rPr>
          <w:rFonts w:hint="eastAsia" w:ascii="仿宋_GB2312" w:eastAsia="仿宋_GB2312"/>
          <w:color w:val="auto"/>
          <w:sz w:val="32"/>
          <w:szCs w:val="32"/>
          <w:highlight w:val="none"/>
          <w:lang w:eastAsia="zh-CN"/>
        </w:rPr>
        <w:t>推进综合医院、专科医院、社区健康服务中心积极使用</w:t>
      </w:r>
      <w:r>
        <w:rPr>
          <w:rFonts w:hint="eastAsia" w:ascii="仿宋_GB2312" w:hAnsi="仿宋_GB2312" w:eastAsia="仿宋_GB2312" w:cs="仿宋_GB2312"/>
          <w:color w:val="auto"/>
          <w:sz w:val="32"/>
          <w:szCs w:val="32"/>
          <w:highlight w:val="none"/>
          <w:lang w:val="en-US" w:eastAsia="zh-CN"/>
        </w:rPr>
        <w:t>中医药经典名方、验方及特色制剂，鼓励具有中医相关资质的医师使用中医经典方剂，每张处方在绩效考核方面给予相应奖励。开展“经方家族”系列活动，</w:t>
      </w:r>
      <w:r>
        <w:rPr>
          <w:rFonts w:ascii="仿宋_GB2312" w:hAnsi="宋体" w:eastAsia="仿宋_GB2312" w:cs="仿宋_GB2312"/>
          <w:color w:val="auto"/>
          <w:kern w:val="0"/>
          <w:sz w:val="31"/>
          <w:szCs w:val="31"/>
          <w:highlight w:val="none"/>
          <w:lang w:val="en-US" w:eastAsia="zh-CN" w:bidi="ar"/>
        </w:rPr>
        <w:t>依托光明“欢乐田园”千亩中药植物</w:t>
      </w:r>
      <w:r>
        <w:rPr>
          <w:rFonts w:hint="eastAsia" w:ascii="仿宋_GB2312" w:hAnsi="宋体" w:eastAsia="仿宋_GB2312" w:cs="仿宋_GB2312"/>
          <w:color w:val="auto"/>
          <w:kern w:val="0"/>
          <w:sz w:val="31"/>
          <w:szCs w:val="31"/>
          <w:highlight w:val="none"/>
          <w:lang w:val="en-US" w:eastAsia="zh-CN" w:bidi="ar"/>
        </w:rPr>
        <w:t>园等打造中医药健康文化旅游基地</w:t>
      </w:r>
      <w:r>
        <w:rPr>
          <w:rFonts w:hint="eastAsia" w:ascii="仿宋_GB2312" w:hAnsi="仿宋_GB2312" w:eastAsia="仿宋_GB2312" w:cs="仿宋_GB2312"/>
          <w:color w:val="auto"/>
          <w:sz w:val="32"/>
          <w:szCs w:val="32"/>
          <w:highlight w:val="none"/>
          <w:lang w:eastAsia="zh-CN"/>
        </w:rPr>
        <w:t>。</w:t>
      </w:r>
      <w:bookmarkStart w:id="1365" w:name="_Toc27800"/>
      <w:bookmarkStart w:id="1366" w:name="_Toc29899"/>
      <w:bookmarkStart w:id="1367" w:name="_Toc4682"/>
      <w:bookmarkStart w:id="1368" w:name="_Toc30829"/>
      <w:bookmarkStart w:id="1369" w:name="_Toc13494"/>
      <w:bookmarkStart w:id="1370" w:name="_Toc10911"/>
      <w:bookmarkStart w:id="1371" w:name="_Toc25139"/>
      <w:bookmarkStart w:id="1372" w:name="_Toc4882"/>
      <w:bookmarkStart w:id="1373" w:name="_Toc21325"/>
      <w:bookmarkStart w:id="1374" w:name="_Toc18842"/>
      <w:bookmarkStart w:id="1375" w:name="_Toc10404"/>
      <w:bookmarkStart w:id="1376" w:name="_Toc1338"/>
      <w:bookmarkStart w:id="1377" w:name="_Toc12097"/>
      <w:bookmarkStart w:id="1378" w:name="_Toc13213"/>
      <w:bookmarkStart w:id="1379" w:name="_Toc25226"/>
      <w:bookmarkStart w:id="1380" w:name="_Toc29700"/>
      <w:bookmarkStart w:id="1381" w:name="_Toc32648"/>
      <w:bookmarkStart w:id="1382" w:name="_Toc17731"/>
      <w:bookmarkStart w:id="1383" w:name="_Toc14220"/>
      <w:r>
        <w:rPr>
          <w:rFonts w:hint="eastAsia" w:ascii="仿宋_GB2312" w:hAnsi="仿宋_GB2312" w:eastAsia="仿宋_GB2312" w:cs="仿宋_GB2312"/>
          <w:b/>
          <w:bCs/>
          <w:color w:val="auto"/>
          <w:sz w:val="32"/>
          <w:szCs w:val="32"/>
          <w:highlight w:val="none"/>
          <w:lang w:eastAsia="zh-CN"/>
        </w:rPr>
        <w:t>二是</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Start w:id="1384" w:name="_Toc28868"/>
      <w:r>
        <w:rPr>
          <w:rFonts w:hint="eastAsia" w:ascii="仿宋_GB2312" w:hAnsi="Times New Roman" w:eastAsia="仿宋_GB2312" w:cs="Times New Roman"/>
          <w:b/>
          <w:color w:val="auto"/>
          <w:sz w:val="32"/>
          <w:szCs w:val="32"/>
          <w:highlight w:val="none"/>
          <w:lang w:eastAsia="zh-CN"/>
        </w:rPr>
        <w:t>提高中医药科研水平</w:t>
      </w:r>
      <w:r>
        <w:rPr>
          <w:rFonts w:hint="eastAsia" w:ascii="仿宋_GB2312" w:eastAsia="仿宋_GB2312" w:cs="Times New Roman"/>
          <w:b/>
          <w:color w:val="auto"/>
          <w:sz w:val="32"/>
          <w:szCs w:val="32"/>
          <w:highlight w:val="none"/>
          <w:lang w:eastAsia="zh-CN"/>
        </w:rPr>
        <w:t>。</w:t>
      </w:r>
      <w:r>
        <w:rPr>
          <w:rFonts w:hint="eastAsia" w:ascii="仿宋_GB2312" w:eastAsia="仿宋_GB2312"/>
          <w:color w:val="auto"/>
          <w:sz w:val="32"/>
          <w:szCs w:val="32"/>
          <w:highlight w:val="none"/>
          <w:lang w:val="en-US" w:eastAsia="zh-CN"/>
        </w:rPr>
        <w:t>支持开展中医药重大专项研究、中医药基础和中医药应用课题研究，培育科研型中医药人才，</w:t>
      </w:r>
      <w:r>
        <w:rPr>
          <w:rFonts w:hint="eastAsia" w:ascii="仿宋_GB2312" w:hAnsi="Times New Roman" w:eastAsia="仿宋_GB2312" w:cs="Times New Roman"/>
          <w:b w:val="0"/>
          <w:bCs w:val="0"/>
          <w:color w:val="auto"/>
          <w:sz w:val="32"/>
          <w:szCs w:val="32"/>
          <w:highlight w:val="none"/>
          <w:lang w:val="en-US" w:eastAsia="zh-CN"/>
        </w:rPr>
        <w:t>为申报省、市级课题创造条件，对获得国家</w:t>
      </w:r>
      <w:r>
        <w:rPr>
          <w:rFonts w:hint="eastAsia" w:ascii="仿宋_GB2312" w:eastAsia="仿宋_GB2312"/>
          <w:b w:val="0"/>
          <w:bCs w:val="0"/>
          <w:color w:val="auto"/>
          <w:sz w:val="32"/>
          <w:szCs w:val="32"/>
          <w:highlight w:val="none"/>
          <w:lang w:val="en-US" w:eastAsia="zh-CN"/>
        </w:rPr>
        <w:t>和广</w:t>
      </w:r>
      <w:r>
        <w:rPr>
          <w:rFonts w:hint="eastAsia" w:ascii="仿宋_GB2312" w:eastAsia="仿宋_GB2312"/>
          <w:color w:val="auto"/>
          <w:sz w:val="32"/>
          <w:szCs w:val="32"/>
          <w:highlight w:val="none"/>
          <w:lang w:val="en-US" w:eastAsia="zh-CN"/>
        </w:rPr>
        <w:t>东省科技计划资助的中医药项目，按照有关政策措施予以配套支持</w:t>
      </w:r>
      <w:r>
        <w:rPr>
          <w:rFonts w:hint="eastAsia" w:ascii="仿宋_GB2312" w:eastAsia="仿宋_GB2312"/>
          <w:color w:val="auto"/>
          <w:sz w:val="32"/>
          <w:szCs w:val="32"/>
          <w:highlight w:val="none"/>
        </w:rPr>
        <w:t>。</w:t>
      </w:r>
      <w:bookmarkEnd w:id="1384"/>
      <w:r>
        <w:rPr>
          <w:rFonts w:ascii="仿宋_GB2312" w:hAnsi="宋体" w:eastAsia="仿宋_GB2312" w:cs="仿宋_GB2312"/>
          <w:color w:val="auto"/>
          <w:kern w:val="0"/>
          <w:sz w:val="31"/>
          <w:szCs w:val="31"/>
          <w:highlight w:val="none"/>
          <w:lang w:val="en-US" w:eastAsia="zh-CN" w:bidi="ar"/>
        </w:rPr>
        <w:t>推进</w:t>
      </w:r>
      <w:r>
        <w:rPr>
          <w:rFonts w:hint="eastAsia" w:ascii="仿宋_GB2312" w:hAnsi="宋体" w:eastAsia="仿宋_GB2312" w:cs="仿宋_GB2312"/>
          <w:color w:val="auto"/>
          <w:kern w:val="0"/>
          <w:sz w:val="31"/>
          <w:szCs w:val="31"/>
          <w:highlight w:val="none"/>
          <w:lang w:val="en-US" w:eastAsia="zh-CN" w:bidi="ar"/>
        </w:rPr>
        <w:t>光明区中医药传承发展研究院、</w:t>
      </w:r>
      <w:r>
        <w:rPr>
          <w:rFonts w:ascii="仿宋_GB2312" w:hAnsi="宋体" w:eastAsia="仿宋_GB2312" w:cs="仿宋_GB2312"/>
          <w:color w:val="auto"/>
          <w:kern w:val="0"/>
          <w:sz w:val="31"/>
          <w:szCs w:val="31"/>
          <w:highlight w:val="none"/>
          <w:lang w:val="en-US" w:eastAsia="zh-CN" w:bidi="ar"/>
        </w:rPr>
        <w:t>光明国际中医</w:t>
      </w:r>
      <w:r>
        <w:rPr>
          <w:rFonts w:hint="eastAsia" w:ascii="仿宋_GB2312" w:hAnsi="宋体" w:eastAsia="仿宋_GB2312" w:cs="仿宋_GB2312"/>
          <w:color w:val="auto"/>
          <w:kern w:val="0"/>
          <w:sz w:val="31"/>
          <w:szCs w:val="31"/>
          <w:highlight w:val="none"/>
          <w:lang w:val="en-US" w:eastAsia="zh-CN" w:bidi="ar"/>
        </w:rPr>
        <w:t>药港等建设自主知识产权的中医药特色创新研发与转化平台，挖掘一批疗效确切的中医临床名方特色制剂。</w:t>
      </w:r>
      <w:r>
        <w:rPr>
          <w:rFonts w:hint="eastAsia" w:ascii="仿宋_GB2312" w:eastAsia="仿宋_GB2312"/>
          <w:b/>
          <w:bCs/>
          <w:color w:val="auto"/>
          <w:sz w:val="32"/>
          <w:szCs w:val="32"/>
          <w:highlight w:val="none"/>
          <w:lang w:eastAsia="zh-CN"/>
        </w:rPr>
        <w:t>三是</w:t>
      </w:r>
      <w:r>
        <w:rPr>
          <w:rFonts w:hint="eastAsia" w:ascii="仿宋_GB2312" w:hAnsi="Times New Roman" w:eastAsia="仿宋_GB2312" w:cs="Times New Roman"/>
          <w:b/>
          <w:bCs/>
          <w:color w:val="auto"/>
          <w:sz w:val="32"/>
          <w:szCs w:val="32"/>
          <w:highlight w:val="none"/>
          <w:lang w:val="en-US" w:eastAsia="zh-CN"/>
        </w:rPr>
        <w:t>争取“四个先行先试和一个突破”中医药政策</w:t>
      </w:r>
      <w:r>
        <w:rPr>
          <w:rFonts w:hint="eastAsia" w:ascii="仿宋_GB2312" w:eastAsia="仿宋_GB2312" w:cs="Times New Roman"/>
          <w:b w:val="0"/>
          <w:bCs/>
          <w:color w:val="auto"/>
          <w:sz w:val="32"/>
          <w:szCs w:val="32"/>
          <w:highlight w:val="none"/>
          <w:lang w:val="en-US" w:eastAsia="zh-CN"/>
        </w:rPr>
        <w:t>。</w:t>
      </w:r>
      <w:r>
        <w:rPr>
          <w:rFonts w:hint="eastAsia" w:ascii="仿宋_GB2312" w:hAnsi="Times New Roman" w:eastAsia="仿宋_GB2312" w:cs="Times New Roman"/>
          <w:b w:val="0"/>
          <w:bCs/>
          <w:color w:val="auto"/>
          <w:sz w:val="32"/>
          <w:szCs w:val="32"/>
          <w:highlight w:val="none"/>
          <w:lang w:val="en-US" w:eastAsia="zh-CN"/>
        </w:rPr>
        <w:t>先行先试中医药进出口政策，简化审批程序；先行先试建立港澳台及境外中医师和其他国家传统医师在深圳执业政策；先行先试中成药及中药材跨境电商服务机制；先行先试中医药跨境流通和认证机制</w:t>
      </w:r>
      <w:r>
        <w:rPr>
          <w:rFonts w:hint="eastAsia" w:ascii="仿宋_GB2312" w:eastAsia="仿宋_GB2312" w:cs="Times New Roman"/>
          <w:b w:val="0"/>
          <w:bCs/>
          <w:color w:val="auto"/>
          <w:sz w:val="32"/>
          <w:szCs w:val="32"/>
          <w:highlight w:val="none"/>
          <w:lang w:val="en-US" w:eastAsia="zh-CN"/>
        </w:rPr>
        <w:t>。</w:t>
      </w:r>
      <w:r>
        <w:rPr>
          <w:rFonts w:hint="eastAsia" w:ascii="仿宋_GB2312" w:eastAsia="仿宋_GB2312" w:cs="Times New Roman"/>
          <w:b/>
          <w:bCs w:val="0"/>
          <w:color w:val="auto"/>
          <w:sz w:val="32"/>
          <w:szCs w:val="32"/>
          <w:highlight w:val="none"/>
          <w:lang w:val="en-US" w:eastAsia="zh-CN"/>
        </w:rPr>
        <w:t>四</w:t>
      </w:r>
      <w:r>
        <w:rPr>
          <w:rFonts w:hint="eastAsia" w:ascii="仿宋_GB2312" w:hAnsi="仿宋_GB2312" w:eastAsia="仿宋_GB2312" w:cs="仿宋_GB2312"/>
          <w:b/>
          <w:bCs w:val="0"/>
          <w:color w:val="auto"/>
          <w:kern w:val="2"/>
          <w:sz w:val="32"/>
          <w:szCs w:val="32"/>
          <w:highlight w:val="none"/>
          <w:lang w:val="en-US" w:eastAsia="zh-CN" w:bidi="ar-SA"/>
        </w:rPr>
        <w:t>是</w:t>
      </w:r>
      <w:r>
        <w:rPr>
          <w:rFonts w:hint="eastAsia" w:ascii="仿宋_GB2312" w:hAnsi="Times New Roman" w:eastAsia="仿宋_GB2312" w:cs="Times New Roman"/>
          <w:b/>
          <w:bCs w:val="0"/>
          <w:color w:val="auto"/>
          <w:sz w:val="32"/>
          <w:szCs w:val="32"/>
          <w:highlight w:val="none"/>
          <w:lang w:val="en-US" w:eastAsia="zh-CN"/>
        </w:rPr>
        <w:t>加强中医药知识产权保护工作</w:t>
      </w:r>
      <w:r>
        <w:rPr>
          <w:rFonts w:hint="eastAsia" w:ascii="仿宋_GB2312" w:eastAsia="仿宋_GB2312" w:cs="Times New Roman"/>
          <w:b/>
          <w:bCs w:val="0"/>
          <w:color w:val="auto"/>
          <w:sz w:val="32"/>
          <w:szCs w:val="32"/>
          <w:highlight w:val="none"/>
          <w:lang w:val="en-US" w:eastAsia="zh-CN"/>
        </w:rPr>
        <w:t>。</w:t>
      </w:r>
      <w:r>
        <w:rPr>
          <w:rFonts w:hint="eastAsia" w:ascii="仿宋_GB2312" w:hAnsi="Times New Roman" w:eastAsia="仿宋_GB2312" w:cs="Times New Roman"/>
          <w:b w:val="0"/>
          <w:bCs/>
          <w:color w:val="auto"/>
          <w:sz w:val="32"/>
          <w:szCs w:val="32"/>
          <w:highlight w:val="none"/>
          <w:lang w:val="en-US" w:eastAsia="zh-CN"/>
        </w:rPr>
        <w:t>以深圳市光明区中医药传承发展研究院为依托，开展中医药知识产权保护工作，包括收集中医药知识产权保护相关政策，整理深圳市中医名医名方、验方、院内制剂、中医药相关专利、非遗保护项目、学术流派，建立深圳市中医药传统知识保护数据库、保护名录，建立中医药知识产权和科技成果转化权益保障机制。</w:t>
      </w:r>
      <w:r>
        <w:rPr>
          <w:rFonts w:hint="eastAsia" w:ascii="仿宋_GB2312" w:eastAsia="仿宋_GB2312" w:cs="Times New Roman"/>
          <w:b/>
          <w:bCs w:val="0"/>
          <w:color w:val="auto"/>
          <w:sz w:val="32"/>
          <w:szCs w:val="32"/>
          <w:highlight w:val="none"/>
          <w:lang w:val="en-US" w:eastAsia="zh-CN"/>
        </w:rPr>
        <w:t>五是</w:t>
      </w:r>
      <w:r>
        <w:rPr>
          <w:rFonts w:hint="eastAsia" w:ascii="仿宋_GB2312" w:hAnsi="仿宋_GB2312" w:eastAsia="仿宋_GB2312" w:cs="仿宋_GB2312"/>
          <w:b/>
          <w:bCs w:val="0"/>
          <w:color w:val="auto"/>
          <w:sz w:val="32"/>
          <w:szCs w:val="32"/>
          <w:highlight w:val="none"/>
          <w:lang w:val="en-US" w:eastAsia="zh-CN"/>
        </w:rPr>
        <w:t>推进粤港医疗机构</w:t>
      </w:r>
      <w:r>
        <w:rPr>
          <w:rFonts w:hint="eastAsia" w:ascii="仿宋_GB2312" w:hAnsi="仿宋_GB2312" w:eastAsia="仿宋_GB2312" w:cs="仿宋_GB2312"/>
          <w:b/>
          <w:color w:val="auto"/>
          <w:sz w:val="32"/>
          <w:szCs w:val="32"/>
          <w:highlight w:val="none"/>
        </w:rPr>
        <w:t>中药</w:t>
      </w:r>
      <w:r>
        <w:rPr>
          <w:rFonts w:hint="eastAsia" w:ascii="仿宋_GB2312" w:hAnsi="仿宋_GB2312" w:eastAsia="仿宋_GB2312" w:cs="仿宋_GB2312"/>
          <w:b/>
          <w:bCs w:val="0"/>
          <w:color w:val="auto"/>
          <w:sz w:val="32"/>
          <w:szCs w:val="32"/>
          <w:highlight w:val="none"/>
          <w:lang w:val="en-US" w:eastAsia="zh-CN"/>
        </w:rPr>
        <w:t>院内制剂中心建设。</w:t>
      </w:r>
      <w:r>
        <w:rPr>
          <w:rFonts w:hint="eastAsia" w:ascii="仿宋_GB2312" w:hAnsi="宋体" w:eastAsia="仿宋_GB2312" w:cs="仿宋_GB2312"/>
          <w:color w:val="auto"/>
          <w:kern w:val="0"/>
          <w:sz w:val="31"/>
          <w:szCs w:val="31"/>
          <w:highlight w:val="none"/>
          <w:lang w:val="en-US" w:eastAsia="zh-CN" w:bidi="ar"/>
        </w:rPr>
        <w:t>依托</w:t>
      </w:r>
      <w:r>
        <w:rPr>
          <w:rFonts w:ascii="仿宋_GB2312" w:hAnsi="宋体" w:eastAsia="仿宋_GB2312" w:cs="仿宋_GB2312"/>
          <w:color w:val="auto"/>
          <w:kern w:val="0"/>
          <w:sz w:val="31"/>
          <w:szCs w:val="31"/>
          <w:highlight w:val="none"/>
          <w:lang w:val="en-US" w:eastAsia="zh-CN" w:bidi="ar"/>
        </w:rPr>
        <w:t>光</w:t>
      </w:r>
      <w:r>
        <w:rPr>
          <w:rFonts w:hint="eastAsia" w:ascii="仿宋_GB2312" w:hAnsi="宋体" w:eastAsia="仿宋_GB2312" w:cs="仿宋_GB2312"/>
          <w:color w:val="auto"/>
          <w:kern w:val="0"/>
          <w:sz w:val="31"/>
          <w:szCs w:val="31"/>
          <w:highlight w:val="none"/>
          <w:lang w:val="en-US" w:eastAsia="zh-CN" w:bidi="ar"/>
        </w:rPr>
        <w:t>明国际中医药港</w:t>
      </w:r>
      <w:r>
        <w:rPr>
          <w:rFonts w:hint="eastAsia" w:ascii="仿宋_GB2312" w:hAnsi="仿宋_GB2312" w:eastAsia="仿宋_GB2312" w:cs="仿宋_GB2312"/>
          <w:bCs/>
          <w:color w:val="auto"/>
          <w:kern w:val="2"/>
          <w:sz w:val="32"/>
          <w:szCs w:val="32"/>
          <w:highlight w:val="none"/>
          <w:lang w:val="en-US" w:eastAsia="zh-CN" w:bidi="ar-SA"/>
        </w:rPr>
        <w:t>建设高产、高效、高标准的</w:t>
      </w:r>
      <w:r>
        <w:rPr>
          <w:rFonts w:ascii="仿宋_GB2312" w:hAnsi="宋体" w:eastAsia="仿宋_GB2312" w:cs="仿宋_GB2312"/>
          <w:color w:val="auto"/>
          <w:kern w:val="0"/>
          <w:sz w:val="31"/>
          <w:szCs w:val="31"/>
          <w:highlight w:val="none"/>
          <w:lang w:val="en-US" w:eastAsia="zh-CN" w:bidi="ar"/>
        </w:rPr>
        <w:t>辐射粤港的医疗机构中药制剂中心，争取先</w:t>
      </w:r>
      <w:r>
        <w:rPr>
          <w:rFonts w:hint="eastAsia" w:ascii="仿宋_GB2312" w:hAnsi="宋体" w:eastAsia="仿宋_GB2312" w:cs="仿宋_GB2312"/>
          <w:color w:val="auto"/>
          <w:kern w:val="0"/>
          <w:sz w:val="31"/>
          <w:szCs w:val="31"/>
          <w:highlight w:val="none"/>
          <w:lang w:val="en-US" w:eastAsia="zh-CN" w:bidi="ar"/>
        </w:rPr>
        <w:t>行先试中药制剂跨区域共享调剂</w:t>
      </w:r>
      <w:r>
        <w:rPr>
          <w:rFonts w:hint="eastAsia" w:ascii="仿宋_GB2312" w:hAnsi="仿宋_GB2312" w:eastAsia="仿宋_GB2312" w:cs="仿宋_GB2312"/>
          <w:bCs/>
          <w:color w:val="auto"/>
          <w:kern w:val="2"/>
          <w:sz w:val="32"/>
          <w:szCs w:val="32"/>
          <w:highlight w:val="none"/>
          <w:lang w:val="en-US" w:eastAsia="zh-CN" w:bidi="ar-SA"/>
        </w:rPr>
        <w:t>。组建区域医疗机构中医药联盟，辐射粤港澳大湾区医疗机构，建立全新的院内制剂资源共享机制与合作模式，通过对院内制剂的相关资源整合，实现对中医临床经验方转化为医疗机构中药制剂的支持，提高院内制剂整体行业科研成果转化水平。</w:t>
      </w:r>
    </w:p>
    <w:p>
      <w:pPr>
        <w:pStyle w:val="17"/>
        <w:keepNext w:val="0"/>
        <w:keepLines w:val="0"/>
        <w:pageBreakBefore w:val="0"/>
        <w:shd w:val="clear" w:color="auto"/>
        <w:kinsoku/>
        <w:wordWrap/>
        <w:overflowPunct/>
        <w:topLinePunct w:val="0"/>
        <w:autoSpaceDN/>
        <w:bidi w:val="0"/>
        <w:spacing w:line="560" w:lineRule="exact"/>
        <w:ind w:firstLine="642" w:firstLineChars="200"/>
        <w:jc w:val="both"/>
        <w:textAlignment w:val="auto"/>
        <w:rPr>
          <w:rFonts w:hint="eastAsia"/>
          <w:highlight w:val="none"/>
          <w:lang w:val="en-US" w:eastAsia="zh-CN"/>
        </w:rPr>
      </w:pPr>
      <w:bookmarkStart w:id="1385" w:name="_Toc20087_WPSOffice_Level3"/>
      <w:r>
        <w:rPr>
          <w:rFonts w:hint="eastAsia" w:ascii="仿宋_GB2312" w:hAnsi="仿宋_GB2312" w:eastAsia="仿宋_GB2312" w:cs="仿宋_GB2312"/>
          <w:b/>
          <w:bCs/>
          <w:color w:val="auto"/>
          <w:kern w:val="2"/>
          <w:sz w:val="32"/>
          <w:szCs w:val="32"/>
          <w:highlight w:val="none"/>
          <w:lang w:val="en-US" w:eastAsia="zh-CN" w:bidi="ar-SA"/>
        </w:rPr>
        <w:t>3.打造光明国际中医药港</w:t>
      </w:r>
      <w:bookmarkEnd w:id="1385"/>
      <w:r>
        <w:rPr>
          <w:rFonts w:hint="eastAsia" w:ascii="仿宋_GB2312" w:hAnsi="仿宋_GB2312" w:eastAsia="仿宋_GB2312" w:cs="仿宋_GB2312"/>
          <w:b/>
          <w:bCs/>
          <w:color w:val="auto"/>
          <w:kern w:val="2"/>
          <w:sz w:val="32"/>
          <w:szCs w:val="32"/>
          <w:highlight w:val="none"/>
          <w:lang w:val="en-US" w:eastAsia="zh-CN" w:bidi="ar-SA"/>
        </w:rPr>
        <w:t>。一是争创</w:t>
      </w:r>
      <w:r>
        <w:rPr>
          <w:rFonts w:hint="eastAsia" w:ascii="仿宋_GB2312" w:hAnsi="仿宋_GB2312" w:eastAsia="仿宋_GB2312" w:cs="仿宋_GB2312"/>
          <w:b/>
          <w:bCs w:val="0"/>
          <w:color w:val="auto"/>
          <w:kern w:val="2"/>
          <w:sz w:val="32"/>
          <w:szCs w:val="32"/>
          <w:highlight w:val="none"/>
          <w:lang w:val="en-US" w:eastAsia="zh-CN" w:bidi="ar-SA"/>
        </w:rPr>
        <w:t>标准膏方制作服务中心。</w:t>
      </w:r>
      <w:r>
        <w:rPr>
          <w:rFonts w:hint="eastAsia" w:ascii="仿宋_GB2312" w:hAnsi="仿宋_GB2312" w:eastAsia="仿宋_GB2312" w:cs="仿宋_GB2312"/>
          <w:bCs/>
          <w:color w:val="auto"/>
          <w:kern w:val="2"/>
          <w:sz w:val="32"/>
          <w:szCs w:val="32"/>
          <w:highlight w:val="none"/>
          <w:lang w:val="en-US" w:eastAsia="zh-CN" w:bidi="ar-SA"/>
        </w:rPr>
        <w:t>与专科中医特色诊疗及中医药大健康平台协同创新， 深入开发膏方产品，开展膏方临床应用研究</w:t>
      </w:r>
      <w:r>
        <w:rPr>
          <w:rFonts w:hint="eastAsia" w:ascii="仿宋_GB2312" w:hAnsi="仿宋_GB2312" w:eastAsia="仿宋_GB2312" w:cs="仿宋_GB2312"/>
          <w:color w:val="auto"/>
          <w:sz w:val="32"/>
          <w:szCs w:val="32"/>
          <w:highlight w:val="none"/>
          <w:lang w:val="en-US" w:eastAsia="zh-CN"/>
        </w:rPr>
        <w:t>。加强对膏方四季应用的科学性研究，初步完成定制膏方加工标准制定工作，实现标准化、集约化、规范化。争创深圳地区的标准膏方制作服务中心，设立膏方技术教育和培训基地，为光明区及周边地区医疗机构提供配药、制膏、包装、配送等一系列的膏方综合性服务。</w:t>
      </w:r>
      <w:r>
        <w:rPr>
          <w:rFonts w:hint="eastAsia" w:ascii="仿宋_GB2312" w:hAnsi="仿宋_GB2312" w:eastAsia="仿宋_GB2312" w:cs="仿宋_GB2312"/>
          <w:b/>
          <w:bCs/>
          <w:color w:val="auto"/>
          <w:sz w:val="32"/>
          <w:szCs w:val="32"/>
          <w:highlight w:val="none"/>
          <w:lang w:val="en-US" w:eastAsia="zh-CN"/>
        </w:rPr>
        <w:t>二是在光明国际中医药港建设深圳市公共卫生应急物资储备基地暨中药材战略储备库。</w:t>
      </w:r>
      <w:r>
        <w:rPr>
          <w:rFonts w:hint="eastAsia" w:ascii="仿宋_GB2312" w:hAnsi="仿宋_GB2312" w:eastAsia="仿宋_GB2312" w:cs="仿宋_GB2312"/>
          <w:color w:val="auto"/>
          <w:sz w:val="32"/>
          <w:szCs w:val="32"/>
          <w:highlight w:val="none"/>
          <w:lang w:val="en-US" w:eastAsia="zh-CN"/>
        </w:rPr>
        <w:t>发挥光明国际中医药港在中药储备和流通上的优势作用，以产能储备、动态储备、智能储备和科研技术储备为原则，以标准化、集约化、规模化和可追溯为特点，实现统一管理、统一调配，探索优质中药材战略储备全新机制，形成质量上乘、供应高效、规模适当、补充及时、管理科学的应急物资储备体系。</w:t>
      </w:r>
      <w:r>
        <w:rPr>
          <w:rFonts w:hint="eastAsia" w:ascii="仿宋_GB2312" w:hAnsi="仿宋_GB2312" w:eastAsia="仿宋_GB2312" w:cs="仿宋_GB2312"/>
          <w:b/>
          <w:bCs/>
          <w:color w:val="auto"/>
          <w:sz w:val="32"/>
          <w:szCs w:val="32"/>
          <w:highlight w:val="none"/>
          <w:lang w:val="en-US" w:eastAsia="zh-CN"/>
        </w:rPr>
        <w:t>三是打造深圳市中药饮片代煎代配中心。</w:t>
      </w:r>
      <w:r>
        <w:rPr>
          <w:rFonts w:hint="eastAsia" w:ascii="仿宋_GB2312" w:hAnsi="仿宋_GB2312" w:eastAsia="仿宋_GB2312" w:cs="仿宋_GB2312"/>
          <w:color w:val="auto"/>
          <w:sz w:val="32"/>
          <w:szCs w:val="32"/>
          <w:highlight w:val="none"/>
          <w:lang w:val="en-US" w:eastAsia="zh-CN"/>
        </w:rPr>
        <w:t>在光明国际中医药港建设智能代煎代配中心，以自动化、智能化煎药机为基础，以计算机、互联网和物联网为保障，用“互联网+”技术，打造中医智慧药房，在保证药品使用各个环节安全化、标准化管理衔接的前提下，通过互联网的技术帮助服务患者，为广大市民提供优质、专业、高效、价廉的中药汤剂代煎服务，制定“互联网+中药药事服务”标准。</w:t>
      </w:r>
      <w:r>
        <w:rPr>
          <w:rFonts w:hint="eastAsia" w:ascii="仿宋_GB2312" w:hAnsi="仿宋_GB2312" w:eastAsia="仿宋_GB2312" w:cs="仿宋_GB2312"/>
          <w:b/>
          <w:bCs/>
          <w:color w:val="auto"/>
          <w:sz w:val="32"/>
          <w:szCs w:val="32"/>
          <w:highlight w:val="none"/>
          <w:lang w:val="en-US" w:eastAsia="zh-CN"/>
        </w:rPr>
        <w:t>四是建设中医药跨境电商平台。</w:t>
      </w:r>
      <w:r>
        <w:rPr>
          <w:rFonts w:hint="eastAsia" w:ascii="仿宋_GB2312" w:hAnsi="仿宋_GB2312" w:eastAsia="仿宋_GB2312" w:cs="仿宋_GB2312"/>
          <w:color w:val="auto"/>
          <w:sz w:val="32"/>
          <w:szCs w:val="32"/>
          <w:highlight w:val="none"/>
          <w:lang w:val="en-US" w:eastAsia="zh-CN"/>
        </w:rPr>
        <w:t>建立光明国际中医药港中医药跨境电商平台，引进一批具有核心竞争力的中医药企业，打通道地药材、中药饮片、配方颗粒剂的开发方剂和中成药出口渠道，为中医药实现“走出去”提供专业指导。</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bCs/>
          <w:color w:val="auto"/>
          <w:kern w:val="2"/>
          <w:sz w:val="32"/>
          <w:szCs w:val="32"/>
          <w:highlight w:val="none"/>
          <w:lang w:val="en-US" w:eastAsia="zh-CN" w:bidi="ar-SA"/>
        </w:rPr>
        <w:t>先行先试中医药进出口政策。</w:t>
      </w:r>
      <w:r>
        <w:rPr>
          <w:rFonts w:hint="eastAsia" w:ascii="仿宋_GB2312" w:hAnsi="宋体" w:eastAsia="仿宋_GB2312" w:cs="仿宋_GB2312"/>
          <w:color w:val="auto"/>
          <w:kern w:val="0"/>
          <w:sz w:val="31"/>
          <w:szCs w:val="31"/>
          <w:highlight w:val="none"/>
          <w:lang w:val="en-US" w:eastAsia="zh-CN" w:bidi="ar"/>
        </w:rPr>
        <w:t>建设</w:t>
      </w:r>
      <w:r>
        <w:rPr>
          <w:rFonts w:ascii="仿宋_GB2312" w:hAnsi="宋体" w:eastAsia="仿宋_GB2312" w:cs="仿宋_GB2312"/>
          <w:color w:val="auto"/>
          <w:kern w:val="0"/>
          <w:sz w:val="31"/>
          <w:szCs w:val="31"/>
          <w:highlight w:val="none"/>
          <w:lang w:val="en-US" w:eastAsia="zh-CN" w:bidi="ar"/>
        </w:rPr>
        <w:t>品质中药国际交易中心及中药材出口集聚区，打造从中药种</w:t>
      </w:r>
      <w:r>
        <w:rPr>
          <w:rFonts w:hint="eastAsia" w:ascii="仿宋_GB2312" w:hAnsi="宋体" w:eastAsia="仿宋_GB2312" w:cs="仿宋_GB2312"/>
          <w:color w:val="auto"/>
          <w:kern w:val="0"/>
          <w:sz w:val="31"/>
          <w:szCs w:val="31"/>
          <w:highlight w:val="none"/>
          <w:lang w:val="en-US" w:eastAsia="zh-CN" w:bidi="ar"/>
        </w:rPr>
        <w:t>植源头到成药的全流程流通体系。</w:t>
      </w:r>
      <w:r>
        <w:rPr>
          <w:rFonts w:hint="eastAsia" w:ascii="仿宋_GB2312" w:hAnsi="仿宋_GB2312" w:eastAsia="仿宋_GB2312" w:cs="仿宋_GB2312"/>
          <w:color w:val="auto"/>
          <w:sz w:val="32"/>
          <w:szCs w:val="32"/>
          <w:highlight w:val="none"/>
          <w:lang w:val="en-US" w:eastAsia="zh-CN"/>
        </w:rPr>
        <w:t>在光明国际中医药港建设海关监管区域，协助企业试点医药产品清单备案、资质监管以及试点产品通关申报监管，建设跨境电商全业态监管功能区。支持“一港多形态，一仓多功能”，内贸和外贸同仓同储，大贸和普贸同仓同储，保税与非贸同仓同储，普货和电商同仓同储。支持9610、9710、9810、1210海关监管模式，叠加中医药（材）跨境电商零售出口、直接出口和出口海外仓等新兴业态，实现“口岸直通+属地检查”通关新模式。加强进出口政策法规辅导，吸引更多中医药企业落户光明国际中医药港。</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Pr>
          <w:rFonts w:hint="eastAsia" w:ascii="仿宋_GB2312" w:hAnsi="仿宋_GB2312" w:eastAsia="仿宋_GB2312" w:cs="仿宋_GB2312"/>
          <w:b/>
          <w:bCs/>
          <w:color w:val="auto"/>
          <w:sz w:val="32"/>
          <w:szCs w:val="32"/>
          <w:highlight w:val="none"/>
          <w:lang w:val="en-US" w:eastAsia="zh-CN"/>
        </w:rPr>
        <w:t>六是</w:t>
      </w:r>
      <w:r>
        <w:rPr>
          <w:rFonts w:ascii="仿宋_GB2312" w:hAnsi="宋体" w:eastAsia="仿宋_GB2312" w:cs="仿宋_GB2312"/>
          <w:b/>
          <w:bCs/>
          <w:color w:val="auto"/>
          <w:kern w:val="0"/>
          <w:sz w:val="31"/>
          <w:szCs w:val="31"/>
          <w:highlight w:val="none"/>
          <w:lang w:val="en-US" w:eastAsia="zh-CN" w:bidi="ar"/>
        </w:rPr>
        <w:t>建</w:t>
      </w:r>
      <w:r>
        <w:rPr>
          <w:rFonts w:ascii="仿宋_GB2312" w:hAnsi="宋体" w:eastAsia="仿宋_GB2312" w:cs="仿宋_GB2312"/>
          <w:b/>
          <w:color w:val="auto"/>
          <w:kern w:val="0"/>
          <w:sz w:val="31"/>
          <w:szCs w:val="31"/>
          <w:highlight w:val="none"/>
          <w:lang w:val="en-US" w:eastAsia="zh-CN" w:bidi="ar"/>
        </w:rPr>
        <w:t>立大湾区中医药通行标准体系。</w:t>
      </w:r>
      <w:r>
        <w:rPr>
          <w:rFonts w:hint="eastAsia" w:ascii="仿宋_GB2312" w:hAnsi="宋体" w:eastAsia="仿宋_GB2312" w:cs="仿宋_GB2312"/>
          <w:color w:val="auto"/>
          <w:kern w:val="0"/>
          <w:sz w:val="31"/>
          <w:szCs w:val="31"/>
          <w:highlight w:val="none"/>
          <w:lang w:val="en-US" w:eastAsia="zh-CN" w:bidi="ar"/>
        </w:rPr>
        <w:t>推动光明国际中医药港设立粤港澳大湾区中医药标准中心，探索粤港澳三地中药标准融合，推动实施中成药、制剂注册标准和检验标准互认。推进广东省粤港医疗机构中药院内制剂调配使用标准化试点工作，探索建立政策、管理运行、检查督导、产品、医保、价格、信息化八项标准。逐步建设、完善中医药产业深圳地标建设，并在产业落地和发展过程中转化为湾区标准、国家标准以及国际标准。推动在港澳审批和注册并在深圳生产的中药产品依法在内地申请上市。</w:t>
      </w:r>
    </w:p>
    <w:p>
      <w:pPr>
        <w:keepNext w:val="0"/>
        <w:keepLines w:val="0"/>
        <w:pageBreakBefore w:val="0"/>
        <w:numPr>
          <w:ilvl w:val="0"/>
          <w:numId w:val="0"/>
        </w:numPr>
        <w:shd w:val="clear"/>
        <w:kinsoku/>
        <w:wordWrap/>
        <w:overflowPunct/>
        <w:topLinePunct w:val="0"/>
        <w:autoSpaceDN/>
        <w:bidi w:val="0"/>
        <w:spacing w:line="560" w:lineRule="exact"/>
        <w:jc w:val="both"/>
        <w:textAlignment w:val="auto"/>
        <w:rPr>
          <w:rFonts w:hint="eastAsia" w:ascii="楷体_GB2312" w:hAnsi="楷体_GB2312" w:eastAsia="楷体_GB2312" w:cs="楷体_GB2312"/>
          <w:bCs w:val="0"/>
          <w:color w:val="auto"/>
          <w:kern w:val="2"/>
          <w:sz w:val="32"/>
          <w:szCs w:val="32"/>
          <w:highlight w:val="none"/>
          <w:lang w:val="en-US" w:eastAsia="zh-CN" w:bidi="ar-SA"/>
        </w:rPr>
      </w:pPr>
      <w:r>
        <w:rPr>
          <w:rFonts w:hint="eastAsia" w:ascii="楷体_GB2312" w:hAnsi="楷体_GB2312" w:eastAsia="楷体_GB2312" w:cs="楷体_GB2312"/>
          <w:bCs w:val="0"/>
          <w:color w:val="auto"/>
          <w:kern w:val="2"/>
          <w:sz w:val="32"/>
          <w:szCs w:val="32"/>
          <w:highlight w:val="none"/>
          <w:lang w:val="en-US" w:eastAsia="zh-CN" w:bidi="ar-SA"/>
        </w:rPr>
        <w:t xml:space="preserve">    （四）提升卫生健康持续发展能力</w:t>
      </w:r>
    </w:p>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highlight w:val="none"/>
          <w:lang w:eastAsia="zh-CN"/>
        </w:rPr>
      </w:pPr>
      <w:bookmarkStart w:id="1386" w:name="_Toc17265_WPSOffice_Level3"/>
      <w:r>
        <w:rPr>
          <w:rFonts w:hint="eastAsia" w:ascii="仿宋_GB2312" w:hAnsi="仿宋_GB2312" w:eastAsia="仿宋_GB2312" w:cs="仿宋_GB2312"/>
          <w:b/>
          <w:bCs w:val="0"/>
          <w:color w:val="auto"/>
          <w:kern w:val="2"/>
          <w:sz w:val="32"/>
          <w:szCs w:val="32"/>
          <w:highlight w:val="none"/>
          <w:lang w:val="en-US" w:eastAsia="zh-CN" w:bidi="ar-SA"/>
        </w:rPr>
        <w:t>1.重视产学研高融合实践</w:t>
      </w:r>
      <w:bookmarkEnd w:id="1386"/>
      <w:bookmarkStart w:id="1387" w:name="_Toc12258"/>
      <w:bookmarkStart w:id="1388" w:name="_Toc26954"/>
      <w:bookmarkStart w:id="1389" w:name="_Toc7427"/>
      <w:bookmarkStart w:id="1390" w:name="_Toc21676"/>
      <w:bookmarkStart w:id="1391" w:name="_Toc16865"/>
      <w:bookmarkStart w:id="1392" w:name="_Toc30352"/>
      <w:bookmarkStart w:id="1393" w:name="_Toc14057"/>
      <w:bookmarkStart w:id="1394" w:name="_Toc16859"/>
      <w:bookmarkStart w:id="1395" w:name="_Toc9244"/>
      <w:bookmarkStart w:id="1396" w:name="_Toc32590"/>
      <w:bookmarkStart w:id="1397" w:name="_Toc7747"/>
      <w:bookmarkStart w:id="1398" w:name="_Toc23553"/>
      <w:bookmarkStart w:id="1399" w:name="_Toc26740"/>
      <w:bookmarkStart w:id="1400" w:name="_Toc5038"/>
      <w:bookmarkStart w:id="1401" w:name="_Toc554"/>
      <w:bookmarkStart w:id="1402" w:name="_Toc23851"/>
      <w:bookmarkStart w:id="1403" w:name="_Toc18576"/>
      <w:bookmarkStart w:id="1404" w:name="_Toc29630"/>
      <w:bookmarkStart w:id="1405" w:name="_Toc32182"/>
      <w:bookmarkStart w:id="1406" w:name="_Toc17893"/>
      <w:bookmarkStart w:id="1407" w:name="_Toc8274"/>
      <w:bookmarkStart w:id="1408" w:name="_Toc3391"/>
      <w:bookmarkStart w:id="1409" w:name="_Toc25815"/>
      <w:bookmarkStart w:id="1410" w:name="_Toc11389"/>
      <w:bookmarkStart w:id="1411" w:name="_Toc11129"/>
      <w:bookmarkStart w:id="1412" w:name="_Toc4963"/>
      <w:bookmarkStart w:id="1413" w:name="_Toc16339"/>
      <w:bookmarkStart w:id="1414" w:name="_Toc15002"/>
      <w:bookmarkStart w:id="1415" w:name="_Toc12117"/>
      <w:bookmarkStart w:id="1416" w:name="_Toc3677"/>
      <w:bookmarkStart w:id="1417" w:name="_Toc8077"/>
      <w:bookmarkStart w:id="1418" w:name="_Toc1808"/>
      <w:bookmarkStart w:id="1419" w:name="_Toc14079"/>
      <w:bookmarkStart w:id="1420" w:name="_Toc11918"/>
      <w:bookmarkStart w:id="1421" w:name="_Toc29046"/>
      <w:bookmarkStart w:id="1422" w:name="_Toc2504"/>
      <w:bookmarkStart w:id="1423" w:name="_Toc24025"/>
      <w:bookmarkStart w:id="1424" w:name="_Toc15391"/>
      <w:bookmarkStart w:id="1425" w:name="_Toc18686"/>
      <w:bookmarkStart w:id="1426" w:name="_Toc11791"/>
      <w:bookmarkStart w:id="1427" w:name="_Toc30543"/>
      <w:bookmarkStart w:id="1428" w:name="_Toc4148"/>
      <w:bookmarkStart w:id="1429" w:name="_Toc5462"/>
      <w:bookmarkStart w:id="1430" w:name="_Toc26810"/>
      <w:bookmarkStart w:id="1431" w:name="_Toc808"/>
      <w:bookmarkStart w:id="1432" w:name="_Toc30336"/>
      <w:bookmarkStart w:id="1433" w:name="_Toc16491"/>
      <w:bookmarkStart w:id="1434" w:name="_Toc4708"/>
      <w:bookmarkStart w:id="1435" w:name="_Toc17063"/>
      <w:bookmarkStart w:id="1436" w:name="_Toc15239"/>
      <w:bookmarkStart w:id="1437" w:name="_Toc21115"/>
      <w:bookmarkStart w:id="1438" w:name="_Toc16328"/>
      <w:bookmarkStart w:id="1439" w:name="_Toc10065"/>
      <w:bookmarkStart w:id="1440" w:name="_Toc1804"/>
      <w:bookmarkStart w:id="1441" w:name="_Toc18848"/>
      <w:bookmarkStart w:id="1442" w:name="_Toc30567"/>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bCs w:val="0"/>
          <w:color w:val="auto"/>
          <w:sz w:val="32"/>
          <w:szCs w:val="32"/>
          <w:highlight w:val="none"/>
          <w:lang w:val="en-US" w:eastAsia="zh-CN"/>
        </w:rPr>
        <w:t>健全卫</w:t>
      </w:r>
      <w:r>
        <w:rPr>
          <w:rFonts w:hint="eastAsia" w:ascii="仿宋_GB2312" w:hAnsi="Times New Roman" w:eastAsia="仿宋_GB2312" w:cs="Times New Roman"/>
          <w:b/>
          <w:color w:val="auto"/>
          <w:sz w:val="32"/>
          <w:szCs w:val="32"/>
          <w:highlight w:val="none"/>
          <w:lang w:val="en-US" w:eastAsia="zh-CN"/>
        </w:rPr>
        <w:t>生科研学术体系</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Start w:id="1443" w:name="_Toc19284"/>
      <w:bookmarkStart w:id="1444" w:name="_Toc16822"/>
      <w:bookmarkStart w:id="1445" w:name="_Toc31188"/>
      <w:bookmarkStart w:id="1446" w:name="_Toc25943"/>
      <w:r>
        <w:rPr>
          <w:rFonts w:hint="eastAsia" w:ascii="仿宋_GB2312" w:eastAsia="仿宋_GB2312" w:cs="Times New Roman"/>
          <w:b/>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建立健全科研项目管理、质量管理、科研奖励、知识产权保护、成果转化推广等制度。加快建成临床医学院、转化医学研究院，设立博士后创新实践基地（市级），增强区域医疗科研综合能力，为科学城建设提供医学科研基础保障。开展区级医疗卫生科学研究，设置临床应用、公共卫生防控策略、卫生政策和管理、社区卫生、博士创新项目、中医药基础、中医药应用等研究项目，计划每年择优评选100项，提高医疗卫生工作者科研积极性，推动区域卫生科研能力发展。</w:t>
      </w:r>
      <w:bookmarkEnd w:id="1443"/>
      <w:bookmarkEnd w:id="1444"/>
      <w:bookmarkEnd w:id="1445"/>
      <w:bookmarkEnd w:id="1446"/>
      <w:bookmarkStart w:id="1447" w:name="_Toc17351"/>
      <w:bookmarkStart w:id="1448" w:name="_Toc891"/>
      <w:bookmarkStart w:id="1449" w:name="_Toc21778"/>
      <w:bookmarkStart w:id="1450" w:name="_Toc1053"/>
      <w:bookmarkStart w:id="1451" w:name="_Toc6826"/>
      <w:bookmarkStart w:id="1452" w:name="_Toc3624"/>
      <w:bookmarkStart w:id="1453" w:name="_Toc5881"/>
      <w:bookmarkStart w:id="1454" w:name="_Toc7793"/>
      <w:bookmarkStart w:id="1455" w:name="_Toc26919"/>
      <w:bookmarkStart w:id="1456" w:name="_Toc10760"/>
      <w:bookmarkStart w:id="1457" w:name="_Toc28685"/>
      <w:bookmarkStart w:id="1458" w:name="_Toc28209"/>
      <w:bookmarkStart w:id="1459" w:name="_Toc20642"/>
      <w:bookmarkStart w:id="1460" w:name="_Toc8129"/>
      <w:bookmarkStart w:id="1461" w:name="_Toc30152"/>
      <w:bookmarkStart w:id="1462" w:name="_Toc6168"/>
      <w:bookmarkStart w:id="1463" w:name="_Toc17405"/>
      <w:bookmarkStart w:id="1464" w:name="_Toc30635"/>
      <w:bookmarkStart w:id="1465" w:name="_Toc212"/>
      <w:bookmarkStart w:id="1466" w:name="_Toc3442"/>
      <w:bookmarkStart w:id="1467" w:name="_Toc24279"/>
      <w:bookmarkStart w:id="1468" w:name="_Toc32218"/>
      <w:bookmarkStart w:id="1469" w:name="_Toc17003"/>
      <w:bookmarkStart w:id="1470" w:name="_Toc18364"/>
      <w:bookmarkStart w:id="1471" w:name="_Toc19780"/>
      <w:bookmarkStart w:id="1472" w:name="_Toc31738"/>
      <w:bookmarkStart w:id="1473" w:name="_Toc11205"/>
      <w:bookmarkStart w:id="1474" w:name="_Toc27737"/>
      <w:bookmarkStart w:id="1475" w:name="_Toc31274"/>
      <w:bookmarkStart w:id="1476" w:name="_Toc27965"/>
      <w:bookmarkStart w:id="1477" w:name="_Toc28150"/>
      <w:bookmarkStart w:id="1478" w:name="_Toc4671"/>
      <w:bookmarkStart w:id="1479" w:name="_Toc21354"/>
      <w:bookmarkStart w:id="1480" w:name="_Toc15512"/>
      <w:bookmarkStart w:id="1481" w:name="_Toc10087"/>
      <w:bookmarkStart w:id="1482" w:name="_Toc32247"/>
      <w:bookmarkStart w:id="1483" w:name="_Toc5746"/>
      <w:bookmarkStart w:id="1484" w:name="_Toc23243"/>
      <w:bookmarkStart w:id="1485" w:name="_Toc29025"/>
      <w:bookmarkStart w:id="1486" w:name="_Toc4911"/>
      <w:bookmarkStart w:id="1487" w:name="_Toc15565"/>
      <w:bookmarkStart w:id="1488" w:name="_Toc15167"/>
      <w:bookmarkStart w:id="1489" w:name="_Toc29541"/>
      <w:bookmarkStart w:id="1490" w:name="_Toc577"/>
      <w:bookmarkStart w:id="1491" w:name="_Toc31190"/>
      <w:bookmarkStart w:id="1492" w:name="_Toc3058"/>
      <w:bookmarkStart w:id="1493" w:name="_Toc21608"/>
      <w:bookmarkStart w:id="1494" w:name="_Toc6388"/>
      <w:bookmarkStart w:id="1495" w:name="_Toc32583"/>
      <w:bookmarkStart w:id="1496" w:name="_Toc15541"/>
      <w:bookmarkStart w:id="1497" w:name="_Toc6757"/>
      <w:bookmarkStart w:id="1498" w:name="_Toc20209"/>
      <w:bookmarkStart w:id="1499" w:name="_Toc7087"/>
      <w:bookmarkStart w:id="1500" w:name="_Toc22809"/>
      <w:bookmarkStart w:id="1501" w:name="_Toc3434"/>
      <w:bookmarkStart w:id="1502" w:name="_Toc13507"/>
      <w:r>
        <w:rPr>
          <w:rFonts w:hint="eastAsia" w:ascii="仿宋_GB2312" w:hAnsi="仿宋_GB2312" w:eastAsia="仿宋_GB2312" w:cs="仿宋_GB2312"/>
          <w:b/>
          <w:bCs w:val="0"/>
          <w:color w:val="auto"/>
          <w:sz w:val="32"/>
          <w:szCs w:val="32"/>
          <w:highlight w:val="none"/>
          <w:lang w:eastAsia="zh-CN"/>
        </w:rPr>
        <w:t>二是</w:t>
      </w:r>
      <w:r>
        <w:rPr>
          <w:rFonts w:hint="eastAsia" w:ascii="仿宋_GB2312" w:hAnsi="Times New Roman" w:eastAsia="仿宋_GB2312" w:cs="Times New Roman"/>
          <w:b/>
          <w:bCs w:val="0"/>
          <w:color w:val="auto"/>
          <w:sz w:val="32"/>
          <w:szCs w:val="32"/>
          <w:highlight w:val="none"/>
          <w:lang w:val="en-US" w:eastAsia="zh-CN"/>
        </w:rPr>
        <w:t>促进</w:t>
      </w:r>
      <w:r>
        <w:rPr>
          <w:rFonts w:hint="eastAsia" w:ascii="仿宋_GB2312" w:hAnsi="Times New Roman" w:eastAsia="仿宋_GB2312" w:cs="Times New Roman"/>
          <w:b/>
          <w:color w:val="auto"/>
          <w:sz w:val="32"/>
          <w:szCs w:val="32"/>
          <w:highlight w:val="none"/>
          <w:lang w:val="en-US" w:eastAsia="zh-CN"/>
        </w:rPr>
        <w:t>医教协同发展</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Pr>
          <w:rFonts w:hint="eastAsia" w:ascii="仿宋_GB2312" w:eastAsia="仿宋_GB2312" w:cs="Times New Roman"/>
          <w:b/>
          <w:color w:val="auto"/>
          <w:sz w:val="32"/>
          <w:szCs w:val="32"/>
          <w:highlight w:val="none"/>
          <w:lang w:val="en-US" w:eastAsia="zh-CN"/>
        </w:rPr>
        <w:t>。</w:t>
      </w:r>
      <w:bookmarkStart w:id="1503" w:name="_Toc25124"/>
      <w:r>
        <w:rPr>
          <w:rFonts w:hint="eastAsia" w:ascii="仿宋_GB2312" w:hAnsi="仿宋_GB2312" w:eastAsia="仿宋_GB2312" w:cs="仿宋_GB2312"/>
          <w:bCs/>
          <w:color w:val="auto"/>
          <w:sz w:val="32"/>
          <w:szCs w:val="32"/>
          <w:highlight w:val="none"/>
        </w:rPr>
        <w:t>加强基础学科与临床学科、辅助诊疗学科的交叉融合，深入推进药物/医疗器械临床试验研究，加快诊疗技术创新突破和应用，提高医疗技术水平。建立健全在职继续教育机制，完善培训质量管理制度和各项具体措施，加强骨干医生培养，鼓励医务人员参加在职教育培训提高医学水平。整合提升临床学科资源，推动临床医学院建设工作，通过科教医融合，以医学精英人才教育与前沿领域研究为核心，培养高端医疗后备人才，提高转化医学研究院、临床模拟培训中心及临床医学院区域影响力，完善医学研究生、本科3+2理论教学和住院医生规范化培训教学设施。力争2025年建成能容纳300余人学习、生活、独立区域的临床医学院。</w:t>
      </w:r>
      <w:bookmarkEnd w:id="1503"/>
      <w:bookmarkStart w:id="1504" w:name="_Toc30714"/>
      <w:bookmarkStart w:id="1505" w:name="_Toc458"/>
      <w:bookmarkStart w:id="1506" w:name="_Toc63"/>
      <w:bookmarkStart w:id="1507" w:name="_Toc14673"/>
      <w:bookmarkStart w:id="1508" w:name="_Toc2450"/>
      <w:bookmarkStart w:id="1509" w:name="_Toc8220"/>
      <w:bookmarkStart w:id="1510" w:name="_Toc5732"/>
      <w:bookmarkStart w:id="1511" w:name="_Toc4969"/>
      <w:bookmarkStart w:id="1512" w:name="_Toc25634"/>
      <w:bookmarkStart w:id="1513" w:name="_Toc4353"/>
      <w:bookmarkStart w:id="1514" w:name="_Toc25140"/>
      <w:bookmarkStart w:id="1515" w:name="_Toc30629"/>
      <w:bookmarkStart w:id="1516" w:name="_Toc27888"/>
      <w:bookmarkStart w:id="1517" w:name="_Toc743"/>
      <w:bookmarkStart w:id="1518" w:name="_Toc21333"/>
      <w:bookmarkStart w:id="1519" w:name="_Toc30127"/>
      <w:bookmarkStart w:id="1520" w:name="_Toc20424"/>
      <w:bookmarkStart w:id="1521" w:name="_Toc28599"/>
      <w:bookmarkStart w:id="1522" w:name="_Toc30870"/>
      <w:bookmarkStart w:id="1523" w:name="_Toc7206"/>
      <w:bookmarkStart w:id="1524" w:name="_Toc13280"/>
      <w:bookmarkStart w:id="1525" w:name="_Toc1178"/>
      <w:bookmarkStart w:id="1526" w:name="_Toc8052"/>
      <w:bookmarkStart w:id="1527" w:name="_Toc12742"/>
      <w:bookmarkStart w:id="1528" w:name="_Toc7106"/>
      <w:bookmarkStart w:id="1529" w:name="_Toc25945"/>
      <w:bookmarkStart w:id="1530" w:name="_Toc10577"/>
      <w:bookmarkStart w:id="1531" w:name="_Toc22775"/>
      <w:bookmarkStart w:id="1532" w:name="_Toc13004"/>
      <w:bookmarkStart w:id="1533" w:name="_Toc8794"/>
      <w:bookmarkStart w:id="1534" w:name="_Toc13124"/>
      <w:bookmarkStart w:id="1535" w:name="_Toc20396"/>
      <w:bookmarkStart w:id="1536" w:name="_Toc14742"/>
      <w:bookmarkStart w:id="1537" w:name="_Toc27278"/>
      <w:bookmarkStart w:id="1538" w:name="_Toc20212"/>
      <w:bookmarkStart w:id="1539" w:name="_Toc7095"/>
      <w:bookmarkStart w:id="1540" w:name="_Toc11858"/>
      <w:bookmarkStart w:id="1541" w:name="_Toc1164"/>
      <w:bookmarkStart w:id="1542" w:name="_Toc25986"/>
      <w:bookmarkStart w:id="1543" w:name="_Toc26769"/>
      <w:bookmarkStart w:id="1544" w:name="_Toc4451"/>
      <w:bookmarkStart w:id="1545" w:name="_Toc15365"/>
      <w:bookmarkStart w:id="1546" w:name="_Toc17705"/>
      <w:bookmarkStart w:id="1547" w:name="_Toc2024"/>
      <w:bookmarkStart w:id="1548" w:name="_Toc18164"/>
      <w:bookmarkStart w:id="1549" w:name="_Toc28663"/>
      <w:bookmarkStart w:id="1550" w:name="_Toc30276"/>
      <w:bookmarkStart w:id="1551" w:name="_Toc29426"/>
      <w:bookmarkStart w:id="1552" w:name="_Toc2480"/>
      <w:bookmarkStart w:id="1553" w:name="_Toc24116"/>
      <w:bookmarkStart w:id="1554" w:name="_Toc30936"/>
      <w:bookmarkStart w:id="1555" w:name="_Toc9737"/>
      <w:bookmarkStart w:id="1556" w:name="_Toc19930"/>
      <w:bookmarkStart w:id="1557" w:name="_Toc8790"/>
      <w:bookmarkStart w:id="1558" w:name="_Toc17706"/>
      <w:bookmarkStart w:id="1559" w:name="_Toc1348"/>
      <w:r>
        <w:rPr>
          <w:rFonts w:hint="eastAsia" w:ascii="仿宋_GB2312" w:hAnsi="仿宋_GB2312" w:eastAsia="仿宋_GB2312" w:cs="仿宋_GB2312"/>
          <w:b/>
          <w:bCs w:val="0"/>
          <w:color w:val="auto"/>
          <w:sz w:val="32"/>
          <w:szCs w:val="32"/>
          <w:highlight w:val="none"/>
          <w:lang w:eastAsia="zh-CN"/>
        </w:rPr>
        <w:t>三是</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Start w:id="1560" w:name="_Toc14583"/>
      <w:r>
        <w:rPr>
          <w:rFonts w:hint="eastAsia" w:ascii="仿宋_GB2312" w:hAnsi="仿宋_GB2312" w:eastAsia="仿宋_GB2312" w:cs="仿宋_GB2312"/>
          <w:b/>
          <w:bCs w:val="0"/>
          <w:color w:val="auto"/>
          <w:sz w:val="32"/>
          <w:szCs w:val="32"/>
          <w:highlight w:val="none"/>
        </w:rPr>
        <w:t>加快研究型医院建设</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聚焦科技成果临床孵化转化，加快推进集科研、临床、教育协同发展的研究型医院建设。</w:t>
      </w:r>
      <w:r>
        <w:rPr>
          <w:rFonts w:hint="eastAsia" w:ascii="仿宋_GB2312" w:hAnsi="仿宋_GB2312" w:eastAsia="仿宋_GB2312" w:cs="仿宋_GB2312"/>
          <w:color w:val="auto"/>
          <w:sz w:val="32"/>
          <w:szCs w:val="40"/>
          <w:highlight w:val="none"/>
        </w:rPr>
        <w:t>以转化医学研究院为抓手，吸引临床医技科室、知名科研机构、高新企业等参与，推动产、学、研、医深度融合发展，将科技成果转移转化打造成光明区生物与生命健康产业的发展特色。</w:t>
      </w:r>
      <w:r>
        <w:rPr>
          <w:rFonts w:hint="eastAsia" w:ascii="仿宋_GB2312" w:hAnsi="仿宋_GB2312" w:eastAsia="仿宋_GB2312" w:cs="仿宋_GB2312"/>
          <w:color w:val="auto"/>
          <w:sz w:val="32"/>
          <w:szCs w:val="40"/>
          <w:highlight w:val="none"/>
          <w:lang w:eastAsia="zh-CN"/>
        </w:rPr>
        <w:t>加强</w:t>
      </w:r>
      <w:r>
        <w:rPr>
          <w:rFonts w:hint="eastAsia" w:ascii="仿宋_GB2312" w:hAnsi="仿宋_GB2312" w:eastAsia="仿宋_GB2312" w:cs="仿宋_GB2312"/>
          <w:bCs/>
          <w:color w:val="auto"/>
          <w:sz w:val="32"/>
          <w:szCs w:val="32"/>
          <w:highlight w:val="none"/>
        </w:rPr>
        <w:t>药物</w:t>
      </w:r>
      <w:r>
        <w:rPr>
          <w:rFonts w:hint="eastAsia" w:ascii="仿宋_GB2312" w:hAnsi="仿宋_GB2312" w:eastAsia="仿宋_GB2312" w:cs="仿宋_GB2312"/>
          <w:bCs/>
          <w:color w:val="auto"/>
          <w:sz w:val="32"/>
          <w:szCs w:val="32"/>
          <w:highlight w:val="none"/>
          <w:lang w:val="en-US" w:eastAsia="zh-CN"/>
        </w:rPr>
        <w:t>/医疗器械</w:t>
      </w:r>
      <w:r>
        <w:rPr>
          <w:rFonts w:hint="eastAsia" w:ascii="仿宋_GB2312" w:hAnsi="仿宋_GB2312" w:eastAsia="仿宋_GB2312" w:cs="仿宋_GB2312"/>
          <w:bCs/>
          <w:color w:val="auto"/>
          <w:sz w:val="32"/>
          <w:szCs w:val="32"/>
          <w:highlight w:val="none"/>
        </w:rPr>
        <w:t>临床试验机构建设，</w:t>
      </w:r>
      <w:r>
        <w:rPr>
          <w:rFonts w:hint="eastAsia" w:ascii="仿宋_GB2312" w:hAnsi="仿宋_GB2312" w:eastAsia="仿宋_GB2312" w:cs="仿宋_GB2312"/>
          <w:bCs/>
          <w:color w:val="auto"/>
          <w:sz w:val="32"/>
          <w:szCs w:val="32"/>
          <w:highlight w:val="none"/>
          <w:lang w:eastAsia="zh-CN"/>
        </w:rPr>
        <w:t>争取</w:t>
      </w:r>
      <w:r>
        <w:rPr>
          <w:rFonts w:hint="eastAsia" w:ascii="仿宋_GB2312" w:hAnsi="仿宋_GB2312" w:eastAsia="仿宋_GB2312" w:cs="仿宋_GB2312"/>
          <w:color w:val="auto"/>
          <w:sz w:val="32"/>
          <w:szCs w:val="40"/>
          <w:highlight w:val="none"/>
        </w:rPr>
        <w:t>2023年5-8个医疗器械、药物、治疗技术等项目进入临床试验或应用转化阶段</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重点临床医技科室拥有孵化项目</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2025年药物临床试验、医疗器械临床试验和干细胞治疗创新平台内涵不断提升。</w:t>
      </w:r>
      <w:bookmarkEnd w:id="1560"/>
      <w:bookmarkStart w:id="1561" w:name="_Toc16344"/>
      <w:r>
        <w:rPr>
          <w:rFonts w:hint="eastAsia" w:ascii="仿宋_GB2312" w:hAnsi="仿宋_GB2312" w:eastAsia="仿宋_GB2312" w:cs="仿宋_GB2312"/>
          <w:b/>
          <w:bCs w:val="0"/>
          <w:color w:val="auto"/>
          <w:sz w:val="32"/>
          <w:szCs w:val="32"/>
          <w:highlight w:val="none"/>
          <w:lang w:eastAsia="zh-CN"/>
        </w:rPr>
        <w:t>四是</w:t>
      </w:r>
      <w:r>
        <w:rPr>
          <w:rFonts w:hint="eastAsia" w:ascii="仿宋_GB2312" w:hAnsi="仿宋_GB2312" w:eastAsia="仿宋_GB2312" w:cs="仿宋_GB2312"/>
          <w:b/>
          <w:bCs w:val="0"/>
          <w:color w:val="auto"/>
          <w:sz w:val="32"/>
          <w:szCs w:val="32"/>
          <w:highlight w:val="none"/>
          <w:lang w:val="en-US" w:eastAsia="zh-CN"/>
        </w:rPr>
        <w:t>创立医院制剂品牌。</w:t>
      </w:r>
      <w:r>
        <w:rPr>
          <w:rFonts w:hint="eastAsia" w:ascii="仿宋_GB2312" w:hAnsi="仿宋_GB2312" w:eastAsia="仿宋_GB2312" w:cs="仿宋_GB2312"/>
          <w:bCs/>
          <w:color w:val="auto"/>
          <w:sz w:val="32"/>
          <w:szCs w:val="32"/>
          <w:highlight w:val="none"/>
        </w:rPr>
        <w:t>依托中山大学附属第七医院（深圳）、中国科学院大学深圳医院（光明）临床科研基础，借鉴北京协和医院“协和硅霜”先进经验，发展医院特色制剂，创立医院产业品牌，重视制剂研发人才队伍建设，加大制剂室研发技术投入。充分发挥和强化医院重点学科优势，围绕临床用药需求，创新医疗技术、开展特色新项目</w:t>
      </w:r>
      <w:bookmarkEnd w:id="1561"/>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shd w:val="clear" w:color="auto"/>
        <w:kinsoku/>
        <w:wordWrap/>
        <w:overflowPunct/>
        <w:topLinePunct w:val="0"/>
        <w:autoSpaceDN/>
        <w:bidi w:val="0"/>
        <w:snapToGrid w:val="0"/>
        <w:spacing w:line="560" w:lineRule="exact"/>
        <w:ind w:firstLine="642" w:firstLineChars="200"/>
        <w:jc w:val="both"/>
        <w:textAlignment w:val="auto"/>
        <w:outlineLvl w:val="2"/>
        <w:rPr>
          <w:rFonts w:hint="eastAsia"/>
          <w:color w:val="auto"/>
          <w:highlight w:val="none"/>
          <w:lang w:eastAsia="zh-CN"/>
        </w:rPr>
      </w:pPr>
      <w:bookmarkStart w:id="1562" w:name="_Toc23581_WPSOffice_Level3"/>
      <w:r>
        <w:rPr>
          <w:rFonts w:hint="eastAsia" w:ascii="仿宋_GB2312" w:hAnsi="仿宋_GB2312" w:eastAsia="仿宋_GB2312" w:cs="仿宋_GB2312"/>
          <w:b/>
          <w:bCs/>
          <w:color w:val="auto"/>
          <w:sz w:val="32"/>
          <w:szCs w:val="32"/>
          <w:highlight w:val="none"/>
          <w:lang w:val="en-US" w:eastAsia="zh-CN"/>
        </w:rPr>
        <w:t>2.构建医疗卫生人才体系</w:t>
      </w:r>
      <w:bookmarkEnd w:id="1562"/>
      <w:bookmarkStart w:id="1563" w:name="_Toc32197"/>
      <w:r>
        <w:rPr>
          <w:rFonts w:hint="eastAsia" w:ascii="仿宋_GB2312" w:hAnsi="仿宋_GB2312" w:eastAsia="仿宋_GB2312" w:cs="仿宋_GB2312"/>
          <w:b/>
          <w:bCs/>
          <w:color w:val="auto"/>
          <w:sz w:val="32"/>
          <w:szCs w:val="32"/>
          <w:highlight w:val="none"/>
          <w:lang w:val="en-US" w:eastAsia="zh-CN"/>
        </w:rPr>
        <w:t>。一是深化公立医院人事薪酬改革</w:t>
      </w:r>
      <w:bookmarkEnd w:id="1563"/>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以推动公立医院高质量发展为核心，贯彻落实《全面深化公立医院人事薪酬制度改革实施意见》，按照以事定岗、以岗定人、以事定费的原则，</w:t>
      </w:r>
      <w:r>
        <w:rPr>
          <w:rFonts w:hint="eastAsia" w:ascii="仿宋_GB2312" w:hAnsi="仿宋_GB2312" w:eastAsia="仿宋_GB2312" w:cs="仿宋_GB2312"/>
          <w:bCs/>
          <w:color w:val="auto"/>
          <w:sz w:val="32"/>
          <w:szCs w:val="32"/>
          <w:highlight w:val="none"/>
        </w:rPr>
        <w:t>健全激励约束机制，探索建立适应我</w:t>
      </w:r>
      <w:r>
        <w:rPr>
          <w:rFonts w:hint="eastAsia"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rPr>
        <w:t>特点的公立医院医务人员薪酬制度，以</w:t>
      </w:r>
      <w:r>
        <w:rPr>
          <w:rFonts w:hint="eastAsia" w:ascii="仿宋_GB2312" w:hAnsi="仿宋_GB2312" w:eastAsia="仿宋_GB2312" w:cs="仿宋_GB2312"/>
          <w:bCs/>
          <w:color w:val="auto"/>
          <w:sz w:val="32"/>
          <w:szCs w:val="32"/>
          <w:highlight w:val="none"/>
          <w:lang w:eastAsia="zh-CN"/>
        </w:rPr>
        <w:t>服务</w:t>
      </w:r>
      <w:r>
        <w:rPr>
          <w:rFonts w:hint="eastAsia" w:ascii="仿宋_GB2312" w:hAnsi="仿宋_GB2312" w:eastAsia="仿宋_GB2312" w:cs="仿宋_GB2312"/>
          <w:bCs/>
          <w:color w:val="auto"/>
          <w:sz w:val="32"/>
          <w:szCs w:val="32"/>
          <w:highlight w:val="none"/>
        </w:rPr>
        <w:t>价值</w:t>
      </w:r>
      <w:r>
        <w:rPr>
          <w:rFonts w:hint="eastAsia" w:ascii="仿宋_GB2312" w:hAnsi="仿宋_GB2312" w:eastAsia="仿宋_GB2312" w:cs="仿宋_GB2312"/>
          <w:bCs/>
          <w:color w:val="auto"/>
          <w:sz w:val="32"/>
          <w:szCs w:val="32"/>
          <w:highlight w:val="none"/>
          <w:lang w:eastAsia="zh-CN"/>
        </w:rPr>
        <w:t>、劳动价值</w:t>
      </w:r>
      <w:r>
        <w:rPr>
          <w:rFonts w:hint="eastAsia" w:ascii="仿宋_GB2312" w:hAnsi="仿宋_GB2312" w:eastAsia="仿宋_GB2312" w:cs="仿宋_GB2312"/>
          <w:bCs/>
          <w:color w:val="auto"/>
          <w:sz w:val="32"/>
          <w:szCs w:val="32"/>
          <w:highlight w:val="none"/>
        </w:rPr>
        <w:t>为导向进行分配，增强公立医院公益性，调动医务人员积极性</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健全与岗位职责、工作业绩、实际贡献紧密联系的分配激励机制，坚持动态调整与合理预期相结合</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在确保医疗机构良性运行、群众整体负担不增加、医疗服务水平</w:t>
      </w:r>
      <w:r>
        <w:rPr>
          <w:rFonts w:hint="eastAsia" w:ascii="仿宋_GB2312" w:hAnsi="仿宋_GB2312" w:eastAsia="仿宋_GB2312" w:cs="仿宋_GB2312"/>
          <w:bCs/>
          <w:color w:val="auto"/>
          <w:sz w:val="32"/>
          <w:szCs w:val="32"/>
          <w:highlight w:val="none"/>
          <w:lang w:eastAsia="zh-CN"/>
        </w:rPr>
        <w:t>稳步</w:t>
      </w:r>
      <w:r>
        <w:rPr>
          <w:rFonts w:hint="eastAsia" w:ascii="仿宋_GB2312" w:hAnsi="仿宋_GB2312" w:eastAsia="仿宋_GB2312" w:cs="仿宋_GB2312"/>
          <w:bCs/>
          <w:color w:val="auto"/>
          <w:sz w:val="32"/>
          <w:szCs w:val="32"/>
          <w:highlight w:val="none"/>
        </w:rPr>
        <w:t>提高的基础上，动态调整公立医院薪酬水平，不断提高医疗服务质量和水平</w:t>
      </w:r>
      <w:r>
        <w:rPr>
          <w:rFonts w:hint="eastAsia" w:ascii="仿宋_GB2312" w:hAnsi="仿宋_GB2312" w:eastAsia="仿宋_GB2312" w:cs="仿宋_GB2312"/>
          <w:bCs/>
          <w:color w:val="auto"/>
          <w:sz w:val="32"/>
          <w:szCs w:val="32"/>
          <w:highlight w:val="none"/>
          <w:lang w:val="en-US" w:eastAsia="zh-CN"/>
        </w:rPr>
        <w:t>，推动卫生健康事业高质量发展。</w:t>
      </w:r>
      <w:r>
        <w:rPr>
          <w:rFonts w:hint="eastAsia" w:ascii="仿宋_GB2312" w:eastAsia="仿宋_GB2312" w:cs="Times New Roman"/>
          <w:b/>
          <w:color w:val="auto"/>
          <w:sz w:val="32"/>
          <w:szCs w:val="32"/>
          <w:highlight w:val="none"/>
          <w:lang w:val="en-US" w:eastAsia="zh-CN"/>
        </w:rPr>
        <w:t>二是实施人才队伍高层次发展</w:t>
      </w:r>
      <w:r>
        <w:rPr>
          <w:rFonts w:hint="eastAsia" w:ascii="仿宋_GB2312" w:hAnsi="Times New Roman" w:eastAsia="仿宋_GB2312" w:cs="Times New Roman"/>
          <w:b/>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依靠制度管人，按照以事定岗、以岗选才的总体原则，不断完善人才引进机制，建立健全岗位激励措施。转变引才思路，从唯人引才转变为以岗引才，以补短板为导向，夯实全科医师、公卫医师以及妇产儿等紧缺岗位。力争到2025年引进不少于40名学科带头人、不少于74名骨干人才、不少于110名紧缺人才。</w:t>
      </w:r>
      <w:r>
        <w:rPr>
          <w:rFonts w:hint="eastAsia" w:ascii="仿宋_GB2312" w:hAnsi="仿宋_GB2312" w:eastAsia="仿宋_GB2312" w:cs="仿宋_GB2312"/>
          <w:b/>
          <w:bCs w:val="0"/>
          <w:color w:val="auto"/>
          <w:sz w:val="32"/>
          <w:szCs w:val="32"/>
          <w:highlight w:val="none"/>
          <w:lang w:val="en-US" w:eastAsia="zh-CN"/>
        </w:rPr>
        <w:t>三是</w:t>
      </w:r>
      <w:r>
        <w:rPr>
          <w:rFonts w:hint="eastAsia" w:ascii="仿宋_GB2312" w:hAnsi="Times New Roman" w:eastAsia="仿宋_GB2312" w:cs="Times New Roman"/>
          <w:b/>
          <w:bCs w:val="0"/>
          <w:color w:val="auto"/>
          <w:sz w:val="32"/>
          <w:szCs w:val="32"/>
          <w:highlight w:val="none"/>
          <w:lang w:val="en-US" w:eastAsia="zh-CN"/>
        </w:rPr>
        <w:t>创</w:t>
      </w:r>
      <w:r>
        <w:rPr>
          <w:rFonts w:hint="eastAsia" w:ascii="仿宋_GB2312" w:hAnsi="Times New Roman" w:eastAsia="仿宋_GB2312" w:cs="Times New Roman"/>
          <w:b/>
          <w:color w:val="auto"/>
          <w:sz w:val="32"/>
          <w:szCs w:val="32"/>
          <w:highlight w:val="none"/>
          <w:lang w:val="en-US" w:eastAsia="zh-CN"/>
        </w:rPr>
        <w:t>新</w:t>
      </w:r>
      <w:r>
        <w:rPr>
          <w:rFonts w:hint="eastAsia" w:ascii="仿宋_GB2312" w:eastAsia="仿宋_GB2312" w:cs="Times New Roman"/>
          <w:b/>
          <w:color w:val="auto"/>
          <w:sz w:val="32"/>
          <w:szCs w:val="32"/>
          <w:highlight w:val="none"/>
          <w:lang w:val="en-US" w:eastAsia="zh-CN"/>
        </w:rPr>
        <w:t>卫生</w:t>
      </w:r>
      <w:r>
        <w:rPr>
          <w:rFonts w:hint="eastAsia" w:ascii="仿宋_GB2312" w:hAnsi="Times New Roman" w:eastAsia="仿宋_GB2312" w:cs="Times New Roman"/>
          <w:b/>
          <w:color w:val="auto"/>
          <w:sz w:val="32"/>
          <w:szCs w:val="32"/>
          <w:highlight w:val="none"/>
          <w:lang w:val="en-US" w:eastAsia="zh-CN"/>
        </w:rPr>
        <w:t>人才评价机制</w:t>
      </w:r>
      <w:r>
        <w:rPr>
          <w:rFonts w:hint="eastAsia" w:ascii="仿宋_GB2312" w:eastAsia="仿宋_GB2312" w:cs="Times New Roman"/>
          <w:b/>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建立健全符合</w:t>
      </w:r>
      <w:r>
        <w:rPr>
          <w:rFonts w:hint="eastAsia" w:ascii="仿宋_GB2312" w:hAnsi="仿宋_GB2312" w:eastAsia="仿宋_GB2312" w:cs="仿宋_GB2312"/>
          <w:bCs/>
          <w:color w:val="auto"/>
          <w:sz w:val="32"/>
          <w:szCs w:val="32"/>
          <w:highlight w:val="none"/>
          <w:lang w:eastAsia="zh-CN"/>
        </w:rPr>
        <w:t>卫生健康</w:t>
      </w:r>
      <w:r>
        <w:rPr>
          <w:rFonts w:hint="eastAsia" w:ascii="仿宋_GB2312" w:hAnsi="仿宋_GB2312" w:eastAsia="仿宋_GB2312" w:cs="仿宋_GB2312"/>
          <w:bCs/>
          <w:color w:val="auto"/>
          <w:sz w:val="32"/>
          <w:szCs w:val="32"/>
          <w:highlight w:val="none"/>
        </w:rPr>
        <w:t>行业特点的人才评价机制，坚持德才兼备</w:t>
      </w:r>
      <w:r>
        <w:rPr>
          <w:rFonts w:hint="eastAsia" w:ascii="仿宋_GB2312" w:hAnsi="仿宋_GB2312" w:eastAsia="仿宋_GB2312" w:cs="仿宋_GB2312"/>
          <w:bCs/>
          <w:color w:val="auto"/>
          <w:sz w:val="32"/>
          <w:szCs w:val="32"/>
          <w:highlight w:val="none"/>
          <w:lang w:eastAsia="zh-CN"/>
        </w:rPr>
        <w:t>，着重政治表现、医德医风</w:t>
      </w:r>
      <w:r>
        <w:rPr>
          <w:rFonts w:hint="eastAsia" w:ascii="仿宋_GB2312" w:hAnsi="仿宋_GB2312" w:eastAsia="仿宋_GB2312" w:cs="仿宋_GB2312"/>
          <w:bCs/>
          <w:color w:val="auto"/>
          <w:sz w:val="32"/>
          <w:szCs w:val="32"/>
          <w:highlight w:val="none"/>
        </w:rPr>
        <w:t>，注重凭能力、实绩和贡献</w:t>
      </w:r>
      <w:r>
        <w:rPr>
          <w:rFonts w:hint="eastAsia" w:ascii="仿宋_GB2312" w:hAnsi="仿宋_GB2312" w:eastAsia="仿宋_GB2312" w:cs="仿宋_GB2312"/>
          <w:bCs/>
          <w:color w:val="auto"/>
          <w:sz w:val="32"/>
          <w:szCs w:val="32"/>
          <w:highlight w:val="none"/>
          <w:lang w:eastAsia="zh-CN"/>
        </w:rPr>
        <w:t>客观</w:t>
      </w:r>
      <w:r>
        <w:rPr>
          <w:rFonts w:hint="eastAsia" w:ascii="仿宋_GB2312" w:hAnsi="仿宋_GB2312" w:eastAsia="仿宋_GB2312" w:cs="仿宋_GB2312"/>
          <w:bCs/>
          <w:color w:val="auto"/>
          <w:sz w:val="32"/>
          <w:szCs w:val="32"/>
          <w:highlight w:val="none"/>
        </w:rPr>
        <w:t>评价人才，克服唯学历、唯职称、唯论文等倾向。改进卫生</w:t>
      </w:r>
      <w:r>
        <w:rPr>
          <w:rFonts w:hint="eastAsia" w:ascii="仿宋_GB2312" w:hAnsi="仿宋_GB2312" w:eastAsia="仿宋_GB2312" w:cs="仿宋_GB2312"/>
          <w:bCs/>
          <w:color w:val="auto"/>
          <w:sz w:val="32"/>
          <w:szCs w:val="32"/>
          <w:highlight w:val="none"/>
          <w:lang w:eastAsia="zh-CN"/>
        </w:rPr>
        <w:t>健康</w:t>
      </w:r>
      <w:r>
        <w:rPr>
          <w:rFonts w:hint="eastAsia" w:ascii="仿宋_GB2312" w:hAnsi="仿宋_GB2312" w:eastAsia="仿宋_GB2312" w:cs="仿宋_GB2312"/>
          <w:bCs/>
          <w:color w:val="auto"/>
          <w:sz w:val="32"/>
          <w:szCs w:val="32"/>
          <w:highlight w:val="none"/>
        </w:rPr>
        <w:t>人才评价方式，建立科学化、社会化、市场化的人才评价制度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拓宽医务人员职业发展空间。</w:t>
      </w:r>
    </w:p>
    <w:p>
      <w:pPr>
        <w:keepNext w:val="0"/>
        <w:keepLines w:val="0"/>
        <w:pageBreakBefore w:val="0"/>
        <w:widowControl/>
        <w:shd w:val="clear" w:color="auto"/>
        <w:kinsoku/>
        <w:wordWrap/>
        <w:overflowPunct/>
        <w:topLinePunct w:val="0"/>
        <w:autoSpaceDN/>
        <w:bidi w:val="0"/>
        <w:spacing w:line="560" w:lineRule="exact"/>
        <w:ind w:firstLine="642" w:firstLineChars="200"/>
        <w:jc w:val="both"/>
        <w:textAlignment w:val="auto"/>
        <w:outlineLvl w:val="0"/>
        <w:rPr>
          <w:rFonts w:hint="eastAsia" w:ascii="仿宋_GB2312" w:hAnsi="仿宋_GB2312" w:eastAsia="仿宋_GB2312" w:cs="仿宋_GB2312"/>
          <w:bCs w:val="0"/>
          <w:color w:val="auto"/>
          <w:kern w:val="2"/>
          <w:sz w:val="32"/>
          <w:szCs w:val="32"/>
          <w:highlight w:val="none"/>
          <w:lang w:val="en-US" w:eastAsia="zh-CN" w:bidi="ar-SA"/>
        </w:rPr>
      </w:pPr>
      <w:bookmarkStart w:id="1564" w:name="_Toc25042_WPSOffice_Level3"/>
      <w:r>
        <w:rPr>
          <w:rFonts w:hint="eastAsia" w:ascii="仿宋_GB2312" w:hAnsi="仿宋_GB2312" w:eastAsia="仿宋_GB2312" w:cs="仿宋_GB2312"/>
          <w:b/>
          <w:bCs w:val="0"/>
          <w:color w:val="auto"/>
          <w:kern w:val="44"/>
          <w:sz w:val="32"/>
          <w:szCs w:val="32"/>
          <w:highlight w:val="none"/>
          <w:lang w:val="en-US" w:eastAsia="zh-CN" w:bidi="ar-SA"/>
        </w:rPr>
        <w:t>3.筑牢医疗卫生法治屏障</w:t>
      </w:r>
      <w:bookmarkEnd w:id="1564"/>
      <w:bookmarkStart w:id="1565" w:name="_Toc26730"/>
      <w:bookmarkStart w:id="1566" w:name="_Toc1949"/>
      <w:bookmarkStart w:id="1567" w:name="_Toc19491"/>
      <w:bookmarkStart w:id="1568" w:name="_Toc29428"/>
      <w:bookmarkStart w:id="1569" w:name="_Toc30173"/>
      <w:bookmarkStart w:id="1570" w:name="_Toc7571"/>
      <w:bookmarkStart w:id="1571" w:name="_Toc3810"/>
      <w:bookmarkStart w:id="1572" w:name="_Toc28747"/>
      <w:bookmarkStart w:id="1573" w:name="_Toc21452"/>
      <w:bookmarkStart w:id="1574" w:name="_Toc32411"/>
      <w:bookmarkStart w:id="1575" w:name="_Toc6792"/>
      <w:bookmarkStart w:id="1576" w:name="_Toc13973"/>
      <w:bookmarkStart w:id="1577" w:name="_Toc10090"/>
      <w:bookmarkStart w:id="1578" w:name="_Toc393"/>
      <w:bookmarkStart w:id="1579" w:name="_Toc15560"/>
      <w:bookmarkStart w:id="1580" w:name="_Toc31362"/>
      <w:bookmarkStart w:id="1581" w:name="_Toc15"/>
      <w:bookmarkStart w:id="1582" w:name="_Toc491"/>
      <w:bookmarkStart w:id="1583" w:name="_Toc28961"/>
      <w:bookmarkStart w:id="1584" w:name="_Toc28316"/>
      <w:bookmarkStart w:id="1585" w:name="_Toc10902"/>
      <w:bookmarkStart w:id="1586" w:name="_Toc18632"/>
      <w:bookmarkStart w:id="1587" w:name="_Toc13282"/>
      <w:bookmarkStart w:id="1588" w:name="_Toc3106"/>
      <w:bookmarkStart w:id="1589" w:name="_Toc15276"/>
      <w:bookmarkStart w:id="1590" w:name="_Toc25273"/>
      <w:bookmarkStart w:id="1591" w:name="_Toc28959"/>
      <w:bookmarkStart w:id="1592" w:name="_Toc27069"/>
      <w:bookmarkStart w:id="1593" w:name="_Toc12469"/>
      <w:bookmarkStart w:id="1594" w:name="_Toc807"/>
      <w:bookmarkStart w:id="1595" w:name="_Toc10455"/>
      <w:bookmarkStart w:id="1596" w:name="_Toc10227"/>
      <w:bookmarkStart w:id="1597" w:name="_Toc10779"/>
      <w:r>
        <w:rPr>
          <w:rFonts w:hint="eastAsia" w:ascii="仿宋_GB2312" w:hAnsi="仿宋_GB2312" w:eastAsia="仿宋_GB2312" w:cs="仿宋_GB2312"/>
          <w:b/>
          <w:bCs w:val="0"/>
          <w:color w:val="auto"/>
          <w:kern w:val="44"/>
          <w:sz w:val="32"/>
          <w:szCs w:val="32"/>
          <w:highlight w:val="none"/>
          <w:lang w:val="en-US" w:eastAsia="zh-CN" w:bidi="ar-SA"/>
        </w:rPr>
        <w:t>。</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Start w:id="1598" w:name="_Toc3045"/>
      <w:bookmarkStart w:id="1599" w:name="_Toc30085"/>
      <w:bookmarkStart w:id="1600" w:name="_Toc20360"/>
      <w:bookmarkStart w:id="1601" w:name="_Toc24282"/>
      <w:bookmarkStart w:id="1602" w:name="_Toc22086"/>
      <w:bookmarkStart w:id="1603" w:name="_Toc15952"/>
      <w:bookmarkStart w:id="1604" w:name="_Toc3798"/>
      <w:bookmarkStart w:id="1605" w:name="_Toc4156"/>
      <w:bookmarkStart w:id="1606" w:name="_Toc26967"/>
      <w:bookmarkStart w:id="1607" w:name="_Toc12662"/>
      <w:bookmarkStart w:id="1608" w:name="_Toc23091"/>
      <w:bookmarkStart w:id="1609" w:name="_Toc981"/>
      <w:bookmarkStart w:id="1610" w:name="_Toc4638"/>
      <w:bookmarkStart w:id="1611" w:name="_Toc31641"/>
      <w:bookmarkStart w:id="1612" w:name="_Toc25079"/>
      <w:bookmarkStart w:id="1613" w:name="_Toc17275"/>
      <w:bookmarkStart w:id="1614" w:name="_Toc14973"/>
      <w:bookmarkStart w:id="1615" w:name="_Toc25782"/>
      <w:bookmarkStart w:id="1616" w:name="_Toc4622"/>
      <w:bookmarkStart w:id="1617" w:name="_Toc29697"/>
      <w:bookmarkStart w:id="1618" w:name="_Toc28646"/>
      <w:bookmarkStart w:id="1619" w:name="_Toc14105"/>
      <w:bookmarkStart w:id="1620" w:name="_Toc17205"/>
      <w:bookmarkStart w:id="1621" w:name="_Toc14209"/>
      <w:bookmarkStart w:id="1622" w:name="_Toc32076"/>
      <w:bookmarkStart w:id="1623" w:name="_Toc21122"/>
      <w:bookmarkStart w:id="1624" w:name="_Toc7973"/>
      <w:bookmarkStart w:id="1625" w:name="_Toc29080"/>
      <w:bookmarkStart w:id="1626" w:name="_Toc24654"/>
      <w:bookmarkStart w:id="1627" w:name="_Toc26671"/>
      <w:bookmarkStart w:id="1628" w:name="_Toc30846"/>
      <w:bookmarkStart w:id="1629" w:name="_Toc11614"/>
      <w:bookmarkStart w:id="1630" w:name="_Toc24056"/>
      <w:bookmarkStart w:id="1631" w:name="_Toc13322"/>
      <w:bookmarkStart w:id="1632" w:name="_Toc1042"/>
      <w:bookmarkStart w:id="1633" w:name="_Toc8443"/>
      <w:bookmarkStart w:id="1634" w:name="_Toc1016"/>
      <w:bookmarkStart w:id="1635" w:name="_Toc5415"/>
      <w:bookmarkStart w:id="1636" w:name="_Toc3816"/>
      <w:bookmarkStart w:id="1637" w:name="_Toc10934"/>
      <w:bookmarkStart w:id="1638" w:name="_Toc19153"/>
      <w:bookmarkStart w:id="1639" w:name="_Toc21568"/>
      <w:bookmarkStart w:id="1640" w:name="_Toc21876"/>
      <w:bookmarkStart w:id="1641" w:name="_Toc17749"/>
      <w:bookmarkStart w:id="1642" w:name="_Toc22710"/>
      <w:bookmarkStart w:id="1643" w:name="_Toc16325"/>
      <w:bookmarkStart w:id="1644" w:name="_Toc32288"/>
      <w:bookmarkStart w:id="1645" w:name="_Toc7161"/>
      <w:bookmarkStart w:id="1646" w:name="_Toc15366"/>
      <w:bookmarkStart w:id="1647" w:name="_Toc19116"/>
      <w:bookmarkStart w:id="1648" w:name="_Toc30326"/>
      <w:bookmarkStart w:id="1649" w:name="_Toc19160"/>
      <w:bookmarkStart w:id="1650" w:name="_Toc23077"/>
      <w:bookmarkStart w:id="1651" w:name="_Toc24857"/>
      <w:bookmarkStart w:id="1652" w:name="_Toc17690"/>
      <w:bookmarkStart w:id="1653" w:name="_Toc21531"/>
      <w:r>
        <w:rPr>
          <w:rFonts w:hint="eastAsia" w:ascii="仿宋_GB2312" w:hAnsi="仿宋_GB2312" w:eastAsia="仿宋_GB2312" w:cs="仿宋_GB2312"/>
          <w:b/>
          <w:bCs w:val="0"/>
          <w:color w:val="auto"/>
          <w:kern w:val="44"/>
          <w:sz w:val="32"/>
          <w:szCs w:val="32"/>
          <w:highlight w:val="none"/>
          <w:lang w:val="en-US" w:eastAsia="zh-CN" w:bidi="ar-SA"/>
        </w:rPr>
        <w:t>一是</w:t>
      </w:r>
      <w:r>
        <w:rPr>
          <w:rFonts w:hint="eastAsia" w:ascii="仿宋_GB2312" w:hAnsi="仿宋_GB2312" w:eastAsia="仿宋_GB2312" w:cs="仿宋_GB2312"/>
          <w:b/>
          <w:bCs w:val="0"/>
          <w:color w:val="auto"/>
          <w:kern w:val="2"/>
          <w:sz w:val="32"/>
          <w:szCs w:val="32"/>
          <w:highlight w:val="none"/>
          <w:lang w:val="en-US" w:eastAsia="zh-CN" w:bidi="ar-SA"/>
        </w:rPr>
        <w:t>深化医疗卫生“放管服”改革。</w:t>
      </w:r>
      <w:r>
        <w:rPr>
          <w:rFonts w:hint="eastAsia" w:ascii="仿宋_GB2312" w:hAnsi="仿宋_GB2312" w:eastAsia="仿宋_GB2312" w:cs="仿宋_GB2312"/>
          <w:bCs w:val="0"/>
          <w:color w:val="auto"/>
          <w:kern w:val="2"/>
          <w:sz w:val="32"/>
          <w:szCs w:val="32"/>
          <w:highlight w:val="none"/>
          <w:lang w:val="en-US" w:eastAsia="zh-CN" w:bidi="ar-SA"/>
        </w:rPr>
        <w:t>根据《广东省深化“放管服”改革着力培育和激发市场主体活力重点工作任务》要求，深化卫生健康领域“放管服”改革，加快推进“互联网+政务服务”改革，加强内部审批流程优化、机制创新和信息共享，压缩审批时限达，提升审批效率，深化政务服务“一网通办”，提升政务服务智能化水平。畅通行政执法投诉和监督渠道，提升行政质量和效率。</w:t>
      </w:r>
      <w:r>
        <w:rPr>
          <w:rFonts w:hint="eastAsia" w:ascii="仿宋_GB2312" w:hAnsi="仿宋_GB2312" w:eastAsia="仿宋_GB2312" w:cs="仿宋_GB2312"/>
          <w:b/>
          <w:bCs/>
          <w:color w:val="auto"/>
          <w:kern w:val="2"/>
          <w:sz w:val="32"/>
          <w:szCs w:val="32"/>
          <w:highlight w:val="none"/>
          <w:lang w:val="en-US" w:eastAsia="zh-CN" w:bidi="ar-SA"/>
        </w:rPr>
        <w:t>二是加强卫生健康法治建设。</w:t>
      </w:r>
      <w:bookmarkStart w:id="1654" w:name="_Toc28743"/>
      <w:bookmarkStart w:id="1655" w:name="_Toc8875"/>
      <w:bookmarkStart w:id="1656" w:name="_Toc1364"/>
      <w:bookmarkStart w:id="1657" w:name="_Toc16689"/>
      <w:bookmarkStart w:id="1658" w:name="_Toc28709"/>
      <w:bookmarkStart w:id="1659" w:name="_Toc1675"/>
      <w:bookmarkStart w:id="1660" w:name="_Toc8925"/>
      <w:bookmarkStart w:id="1661" w:name="_Toc4223"/>
      <w:bookmarkStart w:id="1662" w:name="_Toc12313"/>
      <w:bookmarkStart w:id="1663" w:name="_Toc1699"/>
      <w:bookmarkStart w:id="1664" w:name="_Toc13372"/>
      <w:bookmarkStart w:id="1665" w:name="_Toc31016"/>
      <w:bookmarkStart w:id="1666" w:name="_Toc28219"/>
      <w:bookmarkStart w:id="1667" w:name="_Toc25854"/>
      <w:bookmarkStart w:id="1668" w:name="_Toc927"/>
      <w:bookmarkStart w:id="1669" w:name="_Toc18437"/>
      <w:bookmarkStart w:id="1670" w:name="_Toc3911"/>
      <w:bookmarkStart w:id="1671" w:name="_Toc27843"/>
      <w:bookmarkStart w:id="1672" w:name="_Toc16647"/>
      <w:bookmarkStart w:id="1673" w:name="_Toc1504"/>
      <w:bookmarkStart w:id="1674" w:name="_Toc8374"/>
      <w:bookmarkStart w:id="1675" w:name="_Toc25380"/>
      <w:bookmarkStart w:id="1676" w:name="_Toc31173"/>
      <w:bookmarkStart w:id="1677" w:name="_Toc113"/>
      <w:bookmarkStart w:id="1678" w:name="_Toc32129"/>
      <w:bookmarkStart w:id="1679" w:name="_Toc3489"/>
      <w:bookmarkStart w:id="1680" w:name="_Toc31228"/>
      <w:bookmarkStart w:id="1681" w:name="_Toc25382"/>
      <w:bookmarkStart w:id="1682" w:name="_Toc5918"/>
      <w:bookmarkStart w:id="1683" w:name="_Toc5028"/>
      <w:bookmarkStart w:id="1684" w:name="_Toc3812"/>
      <w:bookmarkStart w:id="1685" w:name="_Toc29580"/>
      <w:bookmarkStart w:id="1686" w:name="_Toc2018"/>
      <w:bookmarkStart w:id="1687" w:name="_Toc23210"/>
      <w:bookmarkStart w:id="1688" w:name="_Toc13220"/>
      <w:bookmarkStart w:id="1689" w:name="_Toc21123"/>
      <w:bookmarkStart w:id="1690" w:name="_Toc8926"/>
      <w:bookmarkStart w:id="1691" w:name="_Toc16237"/>
      <w:bookmarkStart w:id="1692" w:name="_Toc18098"/>
      <w:bookmarkStart w:id="1693" w:name="_Toc3873"/>
      <w:bookmarkStart w:id="1694" w:name="_Toc27595"/>
      <w:bookmarkStart w:id="1695" w:name="_Toc8157"/>
      <w:bookmarkStart w:id="1696" w:name="_Toc17062"/>
      <w:bookmarkStart w:id="1697" w:name="_Toc3698"/>
      <w:bookmarkStart w:id="1698" w:name="_Toc17093"/>
      <w:bookmarkStart w:id="1699" w:name="_Toc13200"/>
      <w:bookmarkStart w:id="1700" w:name="_Toc9076"/>
      <w:bookmarkStart w:id="1701" w:name="_Toc905"/>
      <w:bookmarkStart w:id="1702" w:name="_Toc1530"/>
      <w:bookmarkStart w:id="1703" w:name="_Toc12438"/>
      <w:bookmarkStart w:id="1704" w:name="_Toc7809"/>
      <w:bookmarkStart w:id="1705" w:name="_Toc2571"/>
      <w:bookmarkStart w:id="1706" w:name="_Toc29527"/>
      <w:bookmarkStart w:id="1707" w:name="_Toc24863"/>
      <w:bookmarkStart w:id="1708" w:name="_Toc11154"/>
      <w:bookmarkStart w:id="1709" w:name="_Toc13"/>
      <w:r>
        <w:rPr>
          <w:rFonts w:hint="eastAsia" w:ascii="仿宋_GB2312" w:hAnsi="仿宋_GB2312" w:eastAsia="仿宋_GB2312" w:cs="仿宋_GB2312"/>
          <w:bCs w:val="0"/>
          <w:color w:val="auto"/>
          <w:kern w:val="2"/>
          <w:sz w:val="32"/>
          <w:szCs w:val="32"/>
          <w:highlight w:val="none"/>
          <w:lang w:val="en-US" w:eastAsia="zh-CN" w:bidi="ar-SA"/>
        </w:rPr>
        <w:t>根据《国家卫生健康委关于印发卫生健康法治宣传教育第八个五年规划（2021-2025年）的通知》要求，</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Pr>
          <w:rFonts w:hint="eastAsia" w:ascii="仿宋_GB2312" w:hAnsi="仿宋_GB2312" w:eastAsia="仿宋_GB2312" w:cs="仿宋_GB2312"/>
          <w:b w:val="0"/>
          <w:bCs w:val="0"/>
          <w:color w:val="auto"/>
          <w:kern w:val="2"/>
          <w:sz w:val="32"/>
          <w:szCs w:val="32"/>
          <w:highlight w:val="none"/>
          <w:lang w:val="en-US" w:eastAsia="zh-CN" w:bidi="ar-SA"/>
        </w:rPr>
        <w:t>落实“谁执法谁普法”责任制，紧抓“八五”普法规划工作主线，深入推进卫生健康</w:t>
      </w:r>
      <w:r>
        <w:rPr>
          <w:rFonts w:hint="eastAsia" w:ascii="仿宋_GB2312" w:hAnsi="仿宋_GB2312" w:eastAsia="仿宋_GB2312" w:cs="仿宋_GB2312"/>
          <w:bCs w:val="0"/>
          <w:color w:val="auto"/>
          <w:kern w:val="2"/>
          <w:sz w:val="32"/>
          <w:szCs w:val="32"/>
          <w:highlight w:val="none"/>
          <w:lang w:val="en-US" w:eastAsia="zh-CN" w:bidi="ar-SA"/>
        </w:rPr>
        <w:t>系统法治教育，健全普法依法治理工作机制，加强重点人员法治教育。加强向社会宣传卫生健康领域法律法规和卫生健康标准，提升公民法治素养。落实医疗机构依法执业主体责任，加强公立医院法治建设。</w:t>
      </w:r>
      <w:r>
        <w:rPr>
          <w:rFonts w:hint="eastAsia" w:ascii="仿宋_GB2312" w:hAnsi="仿宋_GB2312" w:eastAsia="仿宋_GB2312" w:cs="仿宋_GB2312"/>
          <w:b/>
          <w:bCs/>
          <w:color w:val="auto"/>
          <w:kern w:val="2"/>
          <w:sz w:val="32"/>
          <w:szCs w:val="32"/>
          <w:highlight w:val="none"/>
          <w:lang w:val="en-US" w:eastAsia="zh-CN" w:bidi="ar-SA"/>
        </w:rPr>
        <w:t>三是提高依法治理能效。</w:t>
      </w:r>
      <w:r>
        <w:rPr>
          <w:rFonts w:hint="eastAsia" w:ascii="仿宋_GB2312" w:hAnsi="仿宋_GB2312" w:eastAsia="仿宋_GB2312" w:cs="仿宋_GB2312"/>
          <w:bCs w:val="0"/>
          <w:color w:val="auto"/>
          <w:kern w:val="2"/>
          <w:sz w:val="32"/>
          <w:szCs w:val="32"/>
          <w:highlight w:val="none"/>
          <w:lang w:val="en-US" w:eastAsia="zh-CN" w:bidi="ar-SA"/>
        </w:rPr>
        <w:t>根据《国务院办公厅关于改革完善医疗卫生行业综合监管制度的指导意见》要求，实施社会办医高水平法治服务，充分利用“诊所服务监管一体化平台”对社会办诊所实施全流程、全要素的智能综合监管，实现社会办诊所100%覆盖。开展专项执法行动，严厉打击无证行医、医疗欺诈等违法行为。健全医疗机构准入与退出机制，归集行政许可、行政处罚、不良执业记分等信息，提升行业信用监管水平。</w:t>
      </w:r>
    </w:p>
    <w:p>
      <w:pPr>
        <w:pStyle w:val="17"/>
        <w:keepNext w:val="0"/>
        <w:keepLines w:val="0"/>
        <w:pageBreakBefore w:val="0"/>
        <w:widowControl w:val="0"/>
        <w:shd w:val="clear" w:color="auto"/>
        <w:kinsoku/>
        <w:wordWrap/>
        <w:overflowPunct/>
        <w:topLinePunct w:val="0"/>
        <w:autoSpaceDE w:val="0"/>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color w:val="auto"/>
          <w:sz w:val="32"/>
          <w:szCs w:val="32"/>
          <w:highlight w:val="none"/>
          <w:lang w:eastAsia="zh-CN"/>
        </w:rPr>
      </w:pPr>
      <w:bookmarkStart w:id="1710" w:name="_Toc24350_WPSOffice_Level3"/>
      <w:r>
        <w:rPr>
          <w:rFonts w:hint="eastAsia" w:ascii="仿宋_GB2312" w:hAnsi="仿宋_GB2312" w:eastAsia="仿宋_GB2312" w:cs="仿宋_GB2312"/>
          <w:b/>
          <w:bCs/>
          <w:color w:val="auto"/>
          <w:sz w:val="32"/>
          <w:szCs w:val="32"/>
          <w:highlight w:val="none"/>
          <w:lang w:val="en-US" w:eastAsia="zh-CN"/>
        </w:rPr>
        <w:t>4.推动医疗服务智慧升级</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710"/>
      <w:bookmarkStart w:id="1711" w:name="_Toc1029"/>
      <w:bookmarkStart w:id="1712" w:name="_Toc28990"/>
      <w:r>
        <w:rPr>
          <w:rFonts w:hint="eastAsia" w:ascii="仿宋_GB2312" w:hAnsi="仿宋_GB2312" w:eastAsia="仿宋_GB2312" w:cs="仿宋_GB2312"/>
          <w:b/>
          <w:bCs/>
          <w:color w:val="auto"/>
          <w:sz w:val="32"/>
          <w:szCs w:val="32"/>
          <w:highlight w:val="none"/>
          <w:lang w:val="en-US" w:eastAsia="zh-CN"/>
        </w:rPr>
        <w:t>。</w:t>
      </w:r>
      <w:bookmarkEnd w:id="1711"/>
      <w:bookmarkEnd w:id="1712"/>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kern w:val="2"/>
          <w:sz w:val="32"/>
          <w:szCs w:val="32"/>
          <w:highlight w:val="none"/>
          <w:lang w:val="en-US" w:eastAsia="zh-CN" w:bidi="ar-SA"/>
        </w:rPr>
        <w:t>加强区域卫生信息化统筹管理。</w:t>
      </w:r>
      <w:r>
        <w:rPr>
          <w:rFonts w:hint="eastAsia" w:ascii="仿宋_GB2312" w:hAnsi="仿宋_GB2312" w:eastAsia="仿宋_GB2312" w:cs="仿宋_GB2312"/>
          <w:bCs w:val="0"/>
          <w:color w:val="auto"/>
          <w:kern w:val="2"/>
          <w:sz w:val="32"/>
          <w:szCs w:val="32"/>
          <w:highlight w:val="none"/>
          <w:lang w:val="en-US" w:eastAsia="zh-CN" w:bidi="ar-SA"/>
        </w:rPr>
        <w:t>编制区域卫生信息化专项行动计划，完善卫生健康信息化实施方案。建立全区标准统一、资源整合、互联互通、监管有力的区域医疗卫生综合服务体系，</w:t>
      </w:r>
      <w:r>
        <w:rPr>
          <w:rFonts w:hint="eastAsia"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lang w:eastAsia="zh-CN"/>
        </w:rPr>
        <w:t>推进区域</w:t>
      </w:r>
      <w:r>
        <w:rPr>
          <w:rFonts w:hint="eastAsia" w:ascii="仿宋_GB2312" w:hAnsi="仿宋_GB2312" w:eastAsia="仿宋_GB2312" w:cs="仿宋_GB2312"/>
          <w:color w:val="auto"/>
          <w:sz w:val="32"/>
          <w:szCs w:val="32"/>
          <w:highlight w:val="none"/>
        </w:rPr>
        <w:t>健康医疗数据汇聚和共享</w:t>
      </w:r>
      <w:r>
        <w:rPr>
          <w:rFonts w:hint="eastAsia" w:ascii="仿宋_GB2312" w:hAnsi="仿宋_GB2312" w:eastAsia="仿宋_GB2312" w:cs="仿宋_GB2312"/>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网络信息安全管理制度，</w:t>
      </w:r>
      <w:r>
        <w:rPr>
          <w:rFonts w:hint="eastAsia" w:ascii="仿宋_GB2312" w:hAnsi="仿宋_GB2312" w:eastAsia="仿宋_GB2312" w:cs="仿宋_GB2312"/>
          <w:bCs w:val="0"/>
          <w:color w:val="auto"/>
          <w:kern w:val="2"/>
          <w:sz w:val="32"/>
          <w:szCs w:val="32"/>
          <w:highlight w:val="none"/>
          <w:lang w:val="en-US" w:eastAsia="zh-CN" w:bidi="ar-SA"/>
        </w:rPr>
        <w:t>严格落实</w:t>
      </w:r>
      <w:r>
        <w:rPr>
          <w:rFonts w:hint="eastAsia" w:ascii="仿宋_GB2312" w:hAnsi="仿宋_GB2312" w:eastAsia="仿宋_GB2312" w:cs="仿宋_GB2312"/>
          <w:color w:val="auto"/>
          <w:sz w:val="32"/>
          <w:szCs w:val="32"/>
          <w:highlight w:val="none"/>
        </w:rPr>
        <w:t>居民医疗卫生信息安全和个人隐私保护制度，确保系统运行安全和信息安全。</w:t>
      </w: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b/>
          <w:bCs w:val="0"/>
          <w:color w:val="auto"/>
          <w:sz w:val="32"/>
          <w:szCs w:val="32"/>
          <w:highlight w:val="none"/>
        </w:rPr>
        <w:t>推动卫生健康数据互联互通。</w:t>
      </w:r>
      <w:r>
        <w:rPr>
          <w:rFonts w:hint="eastAsia" w:ascii="仿宋_GB2312" w:hAnsi="仿宋_GB2312" w:eastAsia="仿宋_GB2312" w:cs="仿宋_GB2312"/>
          <w:bCs w:val="0"/>
          <w:color w:val="auto"/>
          <w:kern w:val="2"/>
          <w:sz w:val="32"/>
          <w:szCs w:val="32"/>
          <w:highlight w:val="none"/>
          <w:lang w:val="en-US" w:eastAsia="zh-CN" w:bidi="ar-SA"/>
        </w:rPr>
        <w:t>升级区域全民健康信息平台，完成辖区内医疗卫生机构接入，实现医疗数据全面归集有效整合，</w:t>
      </w:r>
      <w:r>
        <w:rPr>
          <w:rFonts w:hint="eastAsia" w:ascii="仿宋_GB2312" w:hAnsi="仿宋_GB2312" w:eastAsia="仿宋_GB2312" w:cs="仿宋_GB2312"/>
          <w:color w:val="auto"/>
          <w:sz w:val="32"/>
          <w:szCs w:val="32"/>
          <w:highlight w:val="none"/>
        </w:rPr>
        <w:t>形成卫生健康域数据资产体系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val="0"/>
          <w:color w:val="auto"/>
          <w:kern w:val="2"/>
          <w:sz w:val="32"/>
          <w:szCs w:val="32"/>
          <w:highlight w:val="none"/>
          <w:lang w:val="en-US" w:eastAsia="zh-CN" w:bidi="ar-SA"/>
        </w:rPr>
        <w:t>为临床决策、智慧社区卫生服务、行业监管决策、公共卫生监测预警等提供支持。推进实名制就医，推广电子健康码应用，实现全区就诊信息互联互通共享。</w:t>
      </w:r>
      <w:r>
        <w:rPr>
          <w:rFonts w:hint="eastAsia" w:ascii="仿宋_GB2312" w:hAnsi="仿宋_GB2312" w:eastAsia="仿宋_GB2312" w:cs="仿宋_GB2312"/>
          <w:color w:val="auto"/>
          <w:sz w:val="32"/>
          <w:szCs w:val="32"/>
          <w:highlight w:val="none"/>
        </w:rPr>
        <w:t>推动卫生健康资源目录编制工作，将医疗健康数据接入光明区大数据平台，实现区一级横向</w:t>
      </w:r>
      <w:r>
        <w:rPr>
          <w:rFonts w:hint="eastAsia" w:ascii="仿宋_GB2312" w:hAnsi="仿宋_GB2312" w:eastAsia="仿宋_GB2312" w:cs="仿宋_GB2312"/>
          <w:color w:val="auto"/>
          <w:sz w:val="32"/>
          <w:szCs w:val="32"/>
          <w:highlight w:val="none"/>
          <w:lang w:eastAsia="zh-CN"/>
        </w:rPr>
        <w:t>应用</w:t>
      </w:r>
      <w:r>
        <w:rPr>
          <w:rFonts w:hint="eastAsia" w:ascii="仿宋_GB2312" w:hAnsi="仿宋_GB2312" w:eastAsia="仿宋_GB2312" w:cs="仿宋_GB2312"/>
          <w:color w:val="auto"/>
          <w:sz w:val="32"/>
          <w:szCs w:val="32"/>
          <w:highlight w:val="none"/>
        </w:rPr>
        <w:t>的互联互通和数据共享。</w:t>
      </w:r>
      <w:bookmarkStart w:id="1713" w:name="_Toc24843"/>
      <w:r>
        <w:rPr>
          <w:rFonts w:hint="eastAsia" w:ascii="仿宋_GB2312" w:hAnsi="仿宋_GB2312" w:eastAsia="仿宋_GB2312" w:cs="仿宋_GB2312"/>
          <w:b/>
          <w:bCs w:val="0"/>
          <w:color w:val="auto"/>
          <w:sz w:val="32"/>
          <w:szCs w:val="32"/>
          <w:highlight w:val="none"/>
          <w:lang w:eastAsia="zh-CN"/>
        </w:rPr>
        <w:t>三是</w:t>
      </w:r>
      <w:r>
        <w:rPr>
          <w:rFonts w:hint="eastAsia" w:ascii="仿宋_GB2312" w:hAnsi="仿宋_GB2312" w:eastAsia="仿宋_GB2312" w:cs="仿宋_GB2312"/>
          <w:b/>
          <w:bCs w:val="0"/>
          <w:color w:val="auto"/>
          <w:sz w:val="32"/>
          <w:szCs w:val="32"/>
          <w:highlight w:val="none"/>
          <w:lang w:val="en-US" w:eastAsia="zh-CN"/>
        </w:rPr>
        <w:t>持续提升区域医疗健康信息化水平。</w:t>
      </w:r>
      <w:r>
        <w:rPr>
          <w:rFonts w:hint="eastAsia" w:ascii="仿宋_GB2312" w:hAnsi="黑体" w:eastAsia="仿宋_GB2312" w:cs="Calibri"/>
          <w:color w:val="auto"/>
          <w:sz w:val="32"/>
          <w:szCs w:val="32"/>
          <w:highlight w:val="none"/>
          <w:lang w:eastAsia="zh-CN"/>
        </w:rPr>
        <w:t>持续推进</w:t>
      </w:r>
      <w:r>
        <w:rPr>
          <w:rFonts w:hint="eastAsia" w:ascii="仿宋_GB2312" w:hAnsi="仿宋" w:eastAsia="仿宋_GB2312" w:cs="仿宋_GB2312"/>
          <w:color w:val="auto"/>
          <w:sz w:val="32"/>
          <w:szCs w:val="32"/>
          <w:highlight w:val="none"/>
        </w:rPr>
        <w:t>以电子病历为核心的</w:t>
      </w:r>
      <w:r>
        <w:rPr>
          <w:rFonts w:hint="eastAsia" w:ascii="仿宋_GB2312" w:hAnsi="仿宋" w:eastAsia="仿宋_GB2312" w:cs="仿宋_GB2312"/>
          <w:color w:val="auto"/>
          <w:sz w:val="32"/>
          <w:szCs w:val="32"/>
          <w:highlight w:val="none"/>
          <w:lang w:eastAsia="zh-CN"/>
        </w:rPr>
        <w:t>医院</w:t>
      </w:r>
      <w:r>
        <w:rPr>
          <w:rFonts w:hint="eastAsia" w:ascii="仿宋_GB2312" w:hAnsi="仿宋" w:eastAsia="仿宋_GB2312" w:cs="仿宋_GB2312"/>
          <w:color w:val="auto"/>
          <w:sz w:val="32"/>
          <w:szCs w:val="32"/>
          <w:highlight w:val="none"/>
        </w:rPr>
        <w:t>信息化建设</w:t>
      </w:r>
      <w:r>
        <w:rPr>
          <w:rFonts w:hint="eastAsia" w:ascii="仿宋_GB2312" w:hAnsi="黑体" w:eastAsia="仿宋_GB2312" w:cs="Calibri"/>
          <w:color w:val="auto"/>
          <w:sz w:val="32"/>
          <w:szCs w:val="32"/>
          <w:highlight w:val="none"/>
        </w:rPr>
        <w:t>，完善以患者为中心、全流程闭环的智能化医疗服务模式</w:t>
      </w:r>
      <w:r>
        <w:rPr>
          <w:rFonts w:hint="eastAsia" w:ascii="仿宋_GB2312" w:hAnsi="黑体" w:eastAsia="仿宋_GB2312" w:cs="Calibri"/>
          <w:color w:val="auto"/>
          <w:sz w:val="32"/>
          <w:szCs w:val="32"/>
          <w:highlight w:val="none"/>
          <w:lang w:eastAsia="zh-CN"/>
        </w:rPr>
        <w:t>，</w:t>
      </w:r>
      <w:r>
        <w:rPr>
          <w:rFonts w:hint="eastAsia" w:ascii="仿宋_GB2312" w:hAnsi="仿宋" w:eastAsia="仿宋_GB2312" w:cs="仿宋_GB2312"/>
          <w:color w:val="auto"/>
          <w:sz w:val="32"/>
          <w:szCs w:val="32"/>
          <w:highlight w:val="none"/>
          <w:lang w:eastAsia="zh-CN"/>
        </w:rPr>
        <w:t>2023年区属三级及以上公立医院</w:t>
      </w:r>
      <w:r>
        <w:rPr>
          <w:rFonts w:hint="eastAsia" w:ascii="仿宋_GB2312" w:hAnsi="仿宋" w:eastAsia="仿宋_GB2312" w:cs="仿宋_GB2312"/>
          <w:color w:val="auto"/>
          <w:sz w:val="32"/>
          <w:szCs w:val="32"/>
          <w:highlight w:val="none"/>
          <w:lang w:val="en-US" w:eastAsia="zh-CN"/>
        </w:rPr>
        <w:t>电子病历系统功能应用</w:t>
      </w:r>
      <w:r>
        <w:rPr>
          <w:rFonts w:hint="eastAsia" w:ascii="仿宋_GB2312" w:hAnsi="仿宋" w:eastAsia="仿宋_GB2312" w:cs="仿宋_GB2312"/>
          <w:color w:val="auto"/>
          <w:sz w:val="32"/>
          <w:szCs w:val="32"/>
          <w:highlight w:val="none"/>
          <w:lang w:eastAsia="zh-CN"/>
        </w:rPr>
        <w:t>达到五级</w:t>
      </w:r>
      <w:r>
        <w:rPr>
          <w:rFonts w:hint="eastAsia" w:ascii="仿宋_GB2312" w:hAnsi="仿宋" w:eastAsia="仿宋_GB2312" w:cs="仿宋_GB2312"/>
          <w:color w:val="auto"/>
          <w:sz w:val="32"/>
          <w:szCs w:val="32"/>
          <w:highlight w:val="none"/>
          <w:lang w:val="en-US" w:eastAsia="zh-CN"/>
        </w:rPr>
        <w:t>水平</w:t>
      </w:r>
      <w:r>
        <w:rPr>
          <w:rFonts w:hint="eastAsia" w:ascii="仿宋_GB2312" w:hAnsi="仿宋" w:eastAsia="仿宋_GB2312" w:cs="仿宋_GB2312"/>
          <w:color w:val="auto"/>
          <w:sz w:val="32"/>
          <w:szCs w:val="32"/>
          <w:highlight w:val="none"/>
          <w:lang w:eastAsia="zh-CN"/>
        </w:rPr>
        <w:t>，2025年达到六级水平</w:t>
      </w:r>
      <w:r>
        <w:rPr>
          <w:rFonts w:hint="eastAsia" w:ascii="仿宋_GB2312" w:hAnsi="仿宋" w:eastAsia="仿宋_GB2312" w:cs="仿宋_GB2312"/>
          <w:color w:val="auto"/>
          <w:sz w:val="32"/>
          <w:szCs w:val="32"/>
          <w:highlight w:val="none"/>
          <w:lang w:val="en-US" w:eastAsia="zh-CN"/>
        </w:rPr>
        <w:t>。</w:t>
      </w:r>
      <w:bookmarkEnd w:id="1713"/>
      <w:r>
        <w:rPr>
          <w:rFonts w:hint="eastAsia" w:ascii="仿宋_GB2312" w:hAnsi="仿宋_GB2312" w:eastAsia="仿宋_GB2312" w:cs="仿宋_GB2312"/>
          <w:color w:val="auto"/>
          <w:sz w:val="32"/>
          <w:szCs w:val="32"/>
          <w:highlight w:val="none"/>
        </w:rPr>
        <w:t>建</w:t>
      </w:r>
      <w:r>
        <w:rPr>
          <w:rFonts w:hint="eastAsia" w:ascii="仿宋_GB2312" w:hAnsi="仿宋_GB2312" w:eastAsia="仿宋_GB2312" w:cs="仿宋_GB2312"/>
          <w:color w:val="auto"/>
          <w:sz w:val="32"/>
          <w:szCs w:val="32"/>
          <w:highlight w:val="none"/>
          <w:lang w:eastAsia="zh-CN"/>
        </w:rPr>
        <w:t>立</w:t>
      </w:r>
      <w:r>
        <w:rPr>
          <w:rFonts w:hint="eastAsia" w:ascii="仿宋_GB2312" w:hAnsi="仿宋_GB2312" w:eastAsia="仿宋_GB2312" w:cs="仿宋_GB2312"/>
          <w:color w:val="auto"/>
          <w:sz w:val="32"/>
          <w:szCs w:val="32"/>
          <w:highlight w:val="none"/>
        </w:rPr>
        <w:t>区域妇幼保健服务业务协同体系，实施严格的数据质量控制，为妇幼保健工作的管理和决策提供全面、准确的信息支持。</w:t>
      </w:r>
      <w:r>
        <w:rPr>
          <w:rFonts w:hint="eastAsia" w:ascii="仿宋_GB2312" w:hAnsi="仿宋_GB2312" w:eastAsia="仿宋_GB2312" w:cs="仿宋_GB2312"/>
          <w:color w:val="auto"/>
          <w:sz w:val="32"/>
          <w:szCs w:val="32"/>
          <w:highlight w:val="none"/>
          <w:lang w:eastAsia="zh-CN"/>
        </w:rPr>
        <w:t>探索</w:t>
      </w:r>
      <w:r>
        <w:rPr>
          <w:rFonts w:hint="eastAsia" w:ascii="仿宋_GB2312" w:hAnsi="仿宋_GB2312" w:eastAsia="仿宋_GB2312" w:cs="仿宋_GB2312"/>
          <w:color w:val="auto"/>
          <w:sz w:val="32"/>
          <w:szCs w:val="32"/>
          <w:highlight w:val="none"/>
        </w:rPr>
        <w:t>5G</w:t>
      </w:r>
      <w:r>
        <w:rPr>
          <w:rFonts w:hint="eastAsia" w:ascii="仿宋_GB2312" w:hAnsi="仿宋_GB2312" w:eastAsia="仿宋_GB2312" w:cs="仿宋_GB2312"/>
          <w:color w:val="auto"/>
          <w:sz w:val="32"/>
          <w:szCs w:val="32"/>
          <w:highlight w:val="none"/>
          <w:lang w:eastAsia="zh-CN"/>
        </w:rPr>
        <w:t>和人工智能赋能智慧医疗，推动</w:t>
      </w:r>
      <w:r>
        <w:rPr>
          <w:rFonts w:hint="eastAsia" w:ascii="仿宋_GB2312" w:hAnsi="仿宋_GB2312" w:eastAsia="仿宋_GB2312" w:cs="仿宋_GB2312"/>
          <w:color w:val="auto"/>
          <w:sz w:val="32"/>
          <w:szCs w:val="32"/>
          <w:highlight w:val="none"/>
        </w:rPr>
        <w:t>智能AI心电诊断、远程查房、远程会诊</w:t>
      </w:r>
      <w:r>
        <w:rPr>
          <w:rFonts w:hint="eastAsia" w:ascii="仿宋_GB2312" w:hAnsi="仿宋_GB2312" w:eastAsia="仿宋_GB2312" w:cs="仿宋_GB2312"/>
          <w:color w:val="auto"/>
          <w:sz w:val="32"/>
          <w:szCs w:val="32"/>
          <w:highlight w:val="none"/>
          <w:lang w:eastAsia="zh-CN"/>
        </w:rPr>
        <w:t>在各医疗健康场景中的应用，逐步实现</w:t>
      </w:r>
      <w:r>
        <w:rPr>
          <w:rFonts w:hint="eastAsia" w:ascii="仿宋_GB2312" w:hAnsi="仿宋_GB2312" w:eastAsia="仿宋_GB2312" w:cs="仿宋_GB2312"/>
          <w:color w:val="auto"/>
          <w:sz w:val="32"/>
          <w:szCs w:val="32"/>
          <w:highlight w:val="none"/>
        </w:rPr>
        <w:t>家庭病床、护理院、社康中心和医院</w:t>
      </w:r>
      <w:r>
        <w:rPr>
          <w:rFonts w:hint="eastAsia" w:ascii="仿宋_GB2312" w:hAnsi="仿宋_GB2312" w:eastAsia="仿宋_GB2312" w:cs="仿宋_GB2312"/>
          <w:color w:val="auto"/>
          <w:sz w:val="32"/>
          <w:szCs w:val="32"/>
          <w:highlight w:val="none"/>
          <w:lang w:eastAsia="zh-CN"/>
        </w:rPr>
        <w:t>的医疗</w:t>
      </w:r>
      <w:r>
        <w:rPr>
          <w:rFonts w:hint="eastAsia" w:ascii="仿宋_GB2312" w:hAnsi="仿宋_GB2312" w:eastAsia="仿宋_GB2312" w:cs="仿宋_GB2312"/>
          <w:color w:val="auto"/>
          <w:sz w:val="32"/>
          <w:szCs w:val="32"/>
          <w:highlight w:val="none"/>
        </w:rPr>
        <w:t>全场景</w:t>
      </w:r>
      <w:r>
        <w:rPr>
          <w:rFonts w:hint="eastAsia" w:ascii="仿宋_GB2312" w:hAnsi="仿宋" w:eastAsia="仿宋_GB2312" w:cs="仿宋_GB2312"/>
          <w:color w:val="auto"/>
          <w:sz w:val="32"/>
          <w:szCs w:val="32"/>
          <w:highlight w:val="none"/>
          <w:lang w:val="en-US" w:eastAsia="zh-CN"/>
        </w:rPr>
        <w:t>覆盖</w:t>
      </w:r>
      <w:r>
        <w:rPr>
          <w:rFonts w:hint="eastAsia" w:ascii="仿宋_GB2312" w:hAnsi="仿宋_GB2312" w:eastAsia="仿宋_GB2312" w:cs="仿宋_GB2312"/>
          <w:color w:val="auto"/>
          <w:sz w:val="32"/>
          <w:szCs w:val="32"/>
          <w:highlight w:val="none"/>
        </w:rPr>
        <w:t>，创建“光明模式”的远程会诊，创</w:t>
      </w:r>
      <w:r>
        <w:rPr>
          <w:rFonts w:hint="eastAsia" w:ascii="仿宋_GB2312" w:hAnsi="仿宋_GB2312" w:eastAsia="仿宋_GB2312" w:cs="仿宋_GB2312"/>
          <w:color w:val="auto"/>
          <w:sz w:val="32"/>
          <w:szCs w:val="32"/>
          <w:highlight w:val="none"/>
          <w:lang w:eastAsia="zh-CN"/>
        </w:rPr>
        <w:t>新医养结合、</w:t>
      </w:r>
      <w:r>
        <w:rPr>
          <w:rFonts w:hint="eastAsia" w:ascii="仿宋_GB2312" w:hAnsi="仿宋" w:eastAsia="仿宋_GB2312" w:cs="仿宋_GB2312"/>
          <w:color w:val="auto"/>
          <w:sz w:val="32"/>
          <w:szCs w:val="32"/>
          <w:highlight w:val="none"/>
          <w:lang w:val="en-US" w:eastAsia="zh-CN"/>
        </w:rPr>
        <w:t>慢病管理新模式</w:t>
      </w:r>
      <w:r>
        <w:rPr>
          <w:rFonts w:hint="eastAsia" w:ascii="仿宋_GB2312" w:hAnsi="仿宋_GB2312" w:eastAsia="仿宋_GB2312" w:cs="仿宋_GB2312"/>
          <w:color w:val="auto"/>
          <w:sz w:val="32"/>
          <w:szCs w:val="32"/>
          <w:highlight w:val="none"/>
        </w:rPr>
        <w:t>。</w:t>
      </w:r>
      <w:bookmarkStart w:id="1714" w:name="_Toc29081"/>
      <w:r>
        <w:rPr>
          <w:rFonts w:hint="eastAsia" w:ascii="仿宋_GB2312" w:hAnsi="仿宋_GB2312" w:eastAsia="仿宋_GB2312" w:cs="仿宋_GB2312"/>
          <w:b/>
          <w:bCs w:val="0"/>
          <w:color w:val="auto"/>
          <w:sz w:val="32"/>
          <w:szCs w:val="32"/>
          <w:highlight w:val="none"/>
          <w:lang w:val="en-US" w:eastAsia="zh-CN"/>
        </w:rPr>
        <w:t>四是推动</w:t>
      </w:r>
      <w:r>
        <w:rPr>
          <w:rFonts w:hint="eastAsia" w:ascii="仿宋_GB2312" w:hAnsi="仿宋_GB2312" w:eastAsia="仿宋_GB2312" w:cs="仿宋_GB2312"/>
          <w:b/>
          <w:bCs w:val="0"/>
          <w:color w:val="auto"/>
          <w:sz w:val="32"/>
          <w:szCs w:val="32"/>
          <w:highlight w:val="none"/>
        </w:rPr>
        <w:t>“互联网+</w:t>
      </w:r>
      <w:r>
        <w:rPr>
          <w:rFonts w:hint="eastAsia" w:ascii="仿宋_GB2312" w:hAnsi="仿宋_GB2312" w:eastAsia="仿宋_GB2312" w:cs="仿宋_GB2312"/>
          <w:b/>
          <w:bCs/>
          <w:color w:val="auto"/>
          <w:sz w:val="32"/>
          <w:szCs w:val="32"/>
          <w:highlight w:val="none"/>
          <w:lang w:eastAsia="zh-CN"/>
        </w:rPr>
        <w:t>健康</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highlight w:val="none"/>
        </w:rPr>
        <w:t>便民惠民</w:t>
      </w:r>
      <w:r>
        <w:rPr>
          <w:rFonts w:hint="eastAsia" w:ascii="仿宋_GB2312" w:hAnsi="仿宋_GB2312" w:eastAsia="仿宋_GB2312" w:cs="仿宋_GB2312"/>
          <w:b/>
          <w:bCs w:val="0"/>
          <w:color w:val="auto"/>
          <w:sz w:val="32"/>
          <w:szCs w:val="32"/>
          <w:highlight w:val="none"/>
        </w:rPr>
        <w:t>服务。</w:t>
      </w:r>
      <w:r>
        <w:rPr>
          <w:rFonts w:hint="eastAsia" w:ascii="仿宋_GB2312" w:hAnsi="仿宋_GB2312" w:eastAsia="仿宋_GB2312" w:cs="仿宋_GB2312"/>
          <w:color w:val="auto"/>
          <w:sz w:val="32"/>
          <w:szCs w:val="32"/>
          <w:highlight w:val="none"/>
          <w:lang w:eastAsia="zh-CN"/>
        </w:rPr>
        <w:t>依托</w:t>
      </w:r>
      <w:r>
        <w:rPr>
          <w:rFonts w:hint="eastAsia" w:ascii="仿宋_GB2312" w:hAnsi="仿宋_GB2312" w:eastAsia="仿宋_GB2312" w:cs="仿宋_GB2312"/>
          <w:color w:val="auto"/>
          <w:spacing w:val="15"/>
          <w:sz w:val="32"/>
          <w:szCs w:val="32"/>
          <w:highlight w:val="none"/>
        </w:rPr>
        <w:t>健康深圳APP、微信公众号、小程序、支付宝等</w:t>
      </w:r>
      <w:r>
        <w:rPr>
          <w:rFonts w:hint="eastAsia" w:ascii="仿宋_GB2312" w:hAnsi="仿宋_GB2312" w:eastAsia="仿宋_GB2312" w:cs="仿宋_GB2312"/>
          <w:color w:val="auto"/>
          <w:spacing w:val="15"/>
          <w:sz w:val="32"/>
          <w:szCs w:val="32"/>
          <w:highlight w:val="none"/>
          <w:lang w:eastAsia="zh-CN"/>
        </w:rPr>
        <w:t>应用，</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在线</w:t>
      </w:r>
      <w:r>
        <w:rPr>
          <w:rFonts w:hint="eastAsia" w:ascii="仿宋_GB2312" w:hAnsi="仿宋_GB2312" w:eastAsia="仿宋_GB2312" w:cs="仿宋_GB2312"/>
          <w:color w:val="auto"/>
          <w:sz w:val="32"/>
          <w:szCs w:val="32"/>
          <w:highlight w:val="none"/>
        </w:rPr>
        <w:t>预约、智能</w:t>
      </w:r>
      <w:r>
        <w:rPr>
          <w:rFonts w:hint="eastAsia" w:ascii="仿宋_GB2312" w:hAnsi="仿宋_GB2312" w:eastAsia="仿宋_GB2312" w:cs="仿宋_GB2312"/>
          <w:color w:val="auto"/>
          <w:sz w:val="32"/>
          <w:szCs w:val="32"/>
          <w:highlight w:val="none"/>
          <w:lang w:eastAsia="zh-CN"/>
        </w:rPr>
        <w:t>预</w:t>
      </w:r>
      <w:r>
        <w:rPr>
          <w:rFonts w:hint="eastAsia" w:ascii="仿宋_GB2312" w:hAnsi="仿宋_GB2312" w:eastAsia="仿宋_GB2312" w:cs="仿宋_GB2312"/>
          <w:color w:val="auto"/>
          <w:sz w:val="32"/>
          <w:szCs w:val="32"/>
          <w:highlight w:val="none"/>
        </w:rPr>
        <w:t>诊</w:t>
      </w:r>
      <w:r>
        <w:rPr>
          <w:rFonts w:hint="eastAsia" w:ascii="仿宋_GB2312" w:hAnsi="仿宋_GB2312" w:eastAsia="仿宋_GB2312" w:cs="仿宋_GB2312"/>
          <w:color w:val="auto"/>
          <w:sz w:val="32"/>
          <w:szCs w:val="32"/>
          <w:highlight w:val="none"/>
          <w:lang w:eastAsia="zh-CN"/>
        </w:rPr>
        <w:t>分诊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院内导航、</w:t>
      </w:r>
      <w:r>
        <w:rPr>
          <w:rFonts w:hint="eastAsia" w:ascii="仿宋_GB2312" w:hAnsi="仿宋_GB2312" w:eastAsia="仿宋_GB2312" w:cs="仿宋_GB2312"/>
          <w:color w:val="auto"/>
          <w:sz w:val="32"/>
          <w:szCs w:val="32"/>
          <w:highlight w:val="none"/>
        </w:rPr>
        <w:t>检验检查结果</w:t>
      </w:r>
      <w:r>
        <w:rPr>
          <w:rFonts w:hint="eastAsia" w:ascii="仿宋_GB2312" w:hAnsi="仿宋_GB2312" w:eastAsia="仿宋_GB2312" w:cs="仿宋_GB2312"/>
          <w:color w:val="auto"/>
          <w:sz w:val="32"/>
          <w:szCs w:val="32"/>
          <w:highlight w:val="none"/>
          <w:lang w:eastAsia="zh-CN"/>
        </w:rPr>
        <w:t>通知</w:t>
      </w:r>
      <w:r>
        <w:rPr>
          <w:rFonts w:hint="eastAsia" w:ascii="仿宋_GB2312" w:hAnsi="仿宋_GB2312" w:eastAsia="仿宋_GB2312" w:cs="仿宋_GB2312"/>
          <w:color w:val="auto"/>
          <w:sz w:val="32"/>
          <w:szCs w:val="32"/>
          <w:highlight w:val="none"/>
        </w:rPr>
        <w:t>、移动支付等场景应用</w:t>
      </w:r>
      <w:r>
        <w:rPr>
          <w:rFonts w:hint="eastAsia" w:ascii="仿宋_GB2312" w:hAnsi="仿宋_GB2312" w:eastAsia="仿宋_GB2312" w:cs="仿宋_GB2312"/>
          <w:color w:val="auto"/>
          <w:sz w:val="32"/>
          <w:szCs w:val="32"/>
          <w:highlight w:val="none"/>
          <w:lang w:eastAsia="zh-CN"/>
        </w:rPr>
        <w:t>，对诊前、诊中、诊后环节进行流程优化和智慧创新，</w:t>
      </w:r>
      <w:r>
        <w:rPr>
          <w:rFonts w:hint="eastAsia" w:ascii="仿宋_GB2312" w:hAnsi="仿宋_GB2312" w:eastAsia="仿宋_GB2312" w:cs="仿宋_GB2312"/>
          <w:color w:val="auto"/>
          <w:spacing w:val="15"/>
          <w:sz w:val="32"/>
          <w:szCs w:val="32"/>
          <w:highlight w:val="none"/>
          <w:lang w:eastAsia="zh-CN"/>
        </w:rPr>
        <w:t>不断缩减就医流程和等待时间，改善群众就医体验</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丰富互联网医院的服务内容，提供在线复诊、慢病续方、药品配送和安宁疗护等服务，形成线上线下的服务闭环。</w:t>
      </w:r>
      <w:bookmarkEnd w:id="1714"/>
      <w:r>
        <w:rPr>
          <w:rFonts w:hint="eastAsia" w:ascii="仿宋_GB2312" w:hAnsi="仿宋_GB2312" w:eastAsia="仿宋_GB2312" w:cs="仿宋_GB2312"/>
          <w:color w:val="auto"/>
          <w:sz w:val="32"/>
          <w:szCs w:val="32"/>
          <w:highlight w:val="none"/>
          <w:lang w:eastAsia="zh-CN"/>
        </w:rPr>
        <w:t>推进居家健康管理应用建设，实现</w:t>
      </w:r>
      <w:r>
        <w:rPr>
          <w:rFonts w:hint="eastAsia" w:ascii="仿宋_GB2312" w:hAnsi="仿宋_GB2312" w:eastAsia="仿宋_GB2312" w:cs="仿宋_GB2312"/>
          <w:color w:val="auto"/>
          <w:sz w:val="32"/>
          <w:szCs w:val="32"/>
          <w:highlight w:val="none"/>
        </w:rPr>
        <w:t>居民健康信息数据实时上传</w:t>
      </w:r>
      <w:r>
        <w:rPr>
          <w:rFonts w:hint="eastAsia" w:ascii="仿宋_GB2312" w:hAnsi="仿宋_GB2312" w:eastAsia="仿宋_GB2312" w:cs="仿宋_GB2312"/>
          <w:color w:val="auto"/>
          <w:sz w:val="32"/>
          <w:szCs w:val="32"/>
          <w:highlight w:val="none"/>
          <w:lang w:eastAsia="zh-CN"/>
        </w:rPr>
        <w:t>、调阅和自助提醒等服务，</w:t>
      </w:r>
      <w:r>
        <w:rPr>
          <w:rFonts w:hint="eastAsia" w:ascii="仿宋_GB2312" w:hAnsi="仿宋_GB2312" w:eastAsia="仿宋_GB2312" w:cs="仿宋_GB2312"/>
          <w:color w:val="auto"/>
          <w:sz w:val="32"/>
          <w:szCs w:val="32"/>
          <w:highlight w:val="none"/>
        </w:rPr>
        <w:t>探索居民健康管理移动化</w:t>
      </w:r>
      <w:r>
        <w:rPr>
          <w:rFonts w:hint="eastAsia" w:ascii="仿宋_GB2312" w:hAnsi="仿宋_GB2312" w:eastAsia="仿宋_GB2312" w:cs="仿宋_GB2312"/>
          <w:color w:val="auto"/>
          <w:sz w:val="32"/>
          <w:szCs w:val="32"/>
          <w:highlight w:val="none"/>
          <w:lang w:eastAsia="zh-CN"/>
        </w:rPr>
        <w:t>自主化</w:t>
      </w:r>
      <w:r>
        <w:rPr>
          <w:rFonts w:hint="eastAsia" w:ascii="仿宋_GB2312" w:hAnsi="仿宋_GB2312" w:eastAsia="仿宋_GB2312" w:cs="仿宋_GB2312"/>
          <w:color w:val="auto"/>
          <w:sz w:val="32"/>
          <w:szCs w:val="32"/>
          <w:highlight w:val="none"/>
        </w:rPr>
        <w:t>。</w:t>
      </w:r>
    </w:p>
    <w:p>
      <w:pPr>
        <w:shd w:val="clear"/>
        <w:rPr>
          <w:color w:val="auto"/>
          <w:highlight w:val="none"/>
        </w:rPr>
      </w:pPr>
    </w:p>
    <w:sectPr>
      <w:headerReference r:id="rId4" w:type="default"/>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- 24 -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YxBlMwIAAGUEAAAOAAAAZHJz&#10;L2Uyb0RvYy54bWytVM2O0zAQviPxDpbvNG1Xu6qqpquyVRFSxa60IM6u4zSR/CfbbVIeAN6AExfu&#10;PFefg89O0kULhz1wScee8TfzfTPTxW2rJDkK52ujczoZjSkRmpui1vucfvq4eTOjxAemCyaNFjk9&#10;CU9vl69fLRo7F1NTGVkIRwCi/byxOa1CsPMs87wSivmRsULDWRqnWMDR7bPCsQboSmbT8fgma4wr&#10;rDNceI/bdeekPaJ7CaApy5qLteEHJXToUJ2QLICSr2rr6TJVW5aCh/uy9CIQmVMwDemLJLB38Zst&#10;F2y+d8xWNe9LYC8p4RknxWqNpBeoNQuMHFz9F5SquTPelGHEjco6IkkRsJiMn2nzWDErEhdI7e1F&#10;dP//YPmH44MjdZHTq2tKNFPo+Pn7t/OPX+efXwnuIFBj/RxxjxaRoX1rWozNcO9xGXm3pVPxF4wI&#10;/JD3dJFXtIHw+Gg2nc3GcHH4hgPws6fn1vnwThhFopFTh/4lWdlx60MXOoTEbNpsailTD6UmTU5v&#10;rq7H6cHFA3CpY6xI09DDREpd6dEK7a7tee5McQJNZ7pJ8ZZvapSyZT48MIfRQPlYnnCPTykNUpre&#10;oqQy7su/7mM8OgYvJQ1GLacam0WJfK/RSQCGwXCDsRsMfVB3BrM7wVJankw8cEEOZumM+oyNWsUc&#10;cDHNkSmnYTDvQjfu2EguVqsUhNmzLGz1o+UROsrj7eoQIGdSOYrSKYHuxAOmL/Wp35Q43n+eU9TT&#10;v8P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TYxBlMwIAAGUEAAAOAAAAAAAAAAEAIAAA&#10;ADUBAABkcnMvZTJvRG9jLnhtbFBLBQYAAAAABgAGAFkBAADaBQAAAAA=&#10;">
              <v:fill on="f" focussize="0,0"/>
              <v:stroke on="f" weight="0.5pt"/>
              <v:imagedata o:title=""/>
              <o:lock v:ext="edit" aspectratio="f"/>
              <v:textbox inset="0mm,0mm,0mm,0mm" style="mso-fit-shape-to-text:t;">
                <w:txbxContent>
                  <w:p>
                    <w:pPr>
                      <w:pStyle w:val="9"/>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- 24 -</w:t>
                    </w:r>
                    <w:r>
                      <w:rPr>
                        <w:rFonts w:hint="eastAsia" w:ascii="仿宋_GB2312" w:hAnsi="仿宋_GB2312" w:eastAsia="仿宋_GB2312" w:cs="仿宋_GB2312"/>
                        <w:sz w:val="24"/>
                        <w:szCs w:val="24"/>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595E8"/>
    <w:multiLevelType w:val="singleLevel"/>
    <w:tmpl w:val="4DD595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60379"/>
    <w:rsid w:val="02BE5847"/>
    <w:rsid w:val="04900BFD"/>
    <w:rsid w:val="07570D5D"/>
    <w:rsid w:val="128D0851"/>
    <w:rsid w:val="162A4AC3"/>
    <w:rsid w:val="20617439"/>
    <w:rsid w:val="2F7F8600"/>
    <w:rsid w:val="325503D5"/>
    <w:rsid w:val="39CF038F"/>
    <w:rsid w:val="3CE15E33"/>
    <w:rsid w:val="4ACFC18A"/>
    <w:rsid w:val="59DFF92D"/>
    <w:rsid w:val="5A7B0A4D"/>
    <w:rsid w:val="69BA2E02"/>
    <w:rsid w:val="6D972A67"/>
    <w:rsid w:val="71F60379"/>
    <w:rsid w:val="737BFEF1"/>
    <w:rsid w:val="7BFF708A"/>
    <w:rsid w:val="7E9B52F8"/>
    <w:rsid w:val="7EDF27E5"/>
    <w:rsid w:val="A2FF6628"/>
    <w:rsid w:val="DBA54B73"/>
    <w:rsid w:val="DBBBC0E8"/>
    <w:rsid w:val="F63F37CD"/>
    <w:rsid w:val="F7F56A24"/>
    <w:rsid w:val="FABFCA0C"/>
    <w:rsid w:val="FBF11517"/>
    <w:rsid w:val="FFFF558C"/>
    <w:rsid w:val="FFFFE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qFormat/>
    <w:uiPriority w:val="0"/>
    <w:pPr>
      <w:keepNext/>
      <w:keepLines/>
      <w:spacing w:before="220" w:after="210" w:line="578" w:lineRule="auto"/>
    </w:pPr>
    <w:rPr>
      <w:rFonts w:eastAsia="黑体"/>
      <w:kern w:val="44"/>
      <w:szCs w:val="44"/>
    </w:rPr>
  </w:style>
  <w:style w:type="paragraph" w:styleId="7">
    <w:name w:val="heading 2"/>
    <w:basedOn w:val="1"/>
    <w:next w:val="1"/>
    <w:unhideWhenUsed/>
    <w:qFormat/>
    <w:uiPriority w:val="9"/>
    <w:pPr>
      <w:keepNext/>
      <w:keepLines/>
      <w:spacing w:before="260" w:after="260" w:line="416" w:lineRule="auto"/>
      <w:outlineLvl w:val="1"/>
    </w:pPr>
    <w:rPr>
      <w:rFonts w:ascii="Calibri Light" w:hAnsi="Calibri Light" w:eastAsia="楷体_GB2312"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textAlignment w:val="baseline"/>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5">
    <w:name w:val="Body Text First Indent"/>
    <w:basedOn w:val="6"/>
    <w:qFormat/>
    <w:uiPriority w:val="0"/>
    <w:pPr>
      <w:ind w:firstLine="420" w:firstLineChars="100"/>
    </w:pPr>
  </w:style>
  <w:style w:type="paragraph" w:styleId="6">
    <w:name w:val="Body Text"/>
    <w:basedOn w:val="1"/>
    <w:next w:val="3"/>
    <w:qFormat/>
    <w:uiPriority w:val="0"/>
    <w:pPr>
      <w:spacing w:after="120"/>
    </w:pPr>
  </w:style>
  <w:style w:type="paragraph" w:styleId="8">
    <w:name w:val="Body Text Indent"/>
    <w:basedOn w:val="1"/>
    <w:qFormat/>
    <w:uiPriority w:val="0"/>
    <w:pPr>
      <w:spacing w:line="150" w:lineRule="atLeast"/>
      <w:ind w:firstLine="420" w:firstLineChars="200"/>
      <w:textAlignment w:val="baseline"/>
    </w:pPr>
    <w:rPr>
      <w:rFonts w:ascii="Times New Roman" w:hAnsi="Times New Roman" w:cs="Times New Roma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qFormat/>
    <w:uiPriority w:val="0"/>
    <w:pPr>
      <w:spacing w:line="360" w:lineRule="auto"/>
    </w:pPr>
    <w:rPr>
      <w:rFonts w:eastAsia="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paragraph" w:customStyle="1" w:styleId="17">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18">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2022-02-12T00:30:00Z</dcterms:created>
  <dc:creator>huawei</dc:creator>
  <cp:lastModifiedBy>joanne</cp:lastModifiedBy>
  <cp:lastPrinted>2022-03-03T22:28:00Z</cp:lastPrinted>
  <dcterms:modified xsi:type="dcterms:W3CDTF">2024-12-30T11:44:55Z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E7782C41D72FDF35371772671D8933C7</vt:lpwstr>
  </property>
</Properties>
</file>