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年光明区经济发展专项资金“经认证的</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经营者”（AEO）高级认证奖励</w:t>
      </w: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项目申请指南</w:t>
      </w:r>
    </w:p>
    <w:p>
      <w:pPr>
        <w:spacing w:afterLines="0" w:line="560" w:lineRule="exact"/>
        <w:ind w:firstLine="0" w:firstLineChars="0"/>
        <w:jc w:val="left"/>
        <w:rPr>
          <w:rFonts w:hint="eastAsia" w:ascii="仿宋_GB2312" w:hAnsi="仿宋_GB2312" w:eastAsia="仿宋_GB2312" w:cs="仿宋_GB2312"/>
          <w:sz w:val="32"/>
          <w:szCs w:val="32"/>
          <w:highlight w:val="none"/>
        </w:rPr>
      </w:pPr>
    </w:p>
    <w:p>
      <w:pPr>
        <w:pStyle w:val="8"/>
        <w:widowControl/>
        <w:spacing w:afterLines="0" w:line="560" w:lineRule="exact"/>
        <w:ind w:firstLine="640" w:firstLineChars="200"/>
        <w:rPr>
          <w:rFonts w:hint="eastAsia" w:ascii="黑体" w:hAnsi="黑体" w:eastAsia="黑体" w:cs="黑体"/>
          <w:sz w:val="32"/>
          <w:szCs w:val="32"/>
          <w:highlight w:val="none"/>
        </w:rPr>
      </w:pPr>
      <w:r>
        <w:rPr>
          <w:rFonts w:hint="eastAsia" w:ascii="黑体" w:hAnsi="黑体" w:eastAsia="黑体"/>
          <w:sz w:val="32"/>
          <w:szCs w:val="22"/>
          <w:highlight w:val="none"/>
        </w:rPr>
        <w:t>一、</w:t>
      </w:r>
      <w:r>
        <w:rPr>
          <w:rFonts w:hint="eastAsia" w:ascii="黑体" w:hAnsi="黑体" w:eastAsia="黑体" w:cs="黑体"/>
          <w:sz w:val="32"/>
          <w:szCs w:val="32"/>
          <w:highlight w:val="none"/>
        </w:rPr>
        <w:t>政策依据</w:t>
      </w:r>
    </w:p>
    <w:p>
      <w:pPr>
        <w:spacing w:afterLines="0"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《光明区经济发展专项资金管理办法》（深光府规〔2023〕15号）、《光明区关于推动制造业高质量发展若干措施》（深光府规〔2023〕11号）。</w:t>
      </w:r>
    </w:p>
    <w:p>
      <w:pPr>
        <w:spacing w:afterLines="0" w:line="560" w:lineRule="exact"/>
        <w:ind w:firstLine="640" w:firstLineChars="200"/>
        <w:jc w:val="left"/>
        <w:rPr>
          <w:rFonts w:hint="eastAsia" w:ascii="黑体" w:hAnsi="黑体" w:eastAsia="黑体"/>
          <w:sz w:val="32"/>
          <w:szCs w:val="22"/>
          <w:highlight w:val="none"/>
          <w:lang w:val="en-US" w:eastAsia="zh-CN"/>
        </w:rPr>
      </w:pPr>
      <w:r>
        <w:rPr>
          <w:rFonts w:hint="eastAsia" w:ascii="黑体" w:hAnsi="黑体" w:eastAsia="黑体" w:cs="黑体"/>
          <w:sz w:val="32"/>
          <w:szCs w:val="32"/>
          <w:highlight w:val="none"/>
        </w:rPr>
        <w:t>二、</w:t>
      </w:r>
      <w:r>
        <w:rPr>
          <w:rFonts w:hint="eastAsia" w:ascii="黑体" w:hAnsi="黑体" w:eastAsia="黑体"/>
          <w:sz w:val="32"/>
          <w:szCs w:val="22"/>
          <w:highlight w:val="none"/>
        </w:rPr>
        <w:t>支持</w:t>
      </w:r>
      <w:r>
        <w:rPr>
          <w:rFonts w:hint="eastAsia" w:ascii="黑体" w:hAnsi="黑体" w:eastAsia="黑体"/>
          <w:sz w:val="32"/>
          <w:szCs w:val="22"/>
          <w:highlight w:val="none"/>
          <w:lang w:val="en-US" w:eastAsia="zh-CN"/>
        </w:rPr>
        <w:t>对象</w:t>
      </w:r>
    </w:p>
    <w:p>
      <w:pPr>
        <w:spacing w:afterLines="0"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黑体" w:eastAsia="仿宋_GB2312"/>
          <w:sz w:val="32"/>
          <w:szCs w:val="32"/>
          <w:highlight w:val="none"/>
          <w:lang w:val="en-US" w:eastAsia="zh-CN"/>
        </w:rPr>
        <w:t>2023年</w:t>
      </w:r>
      <w:r>
        <w:rPr>
          <w:rFonts w:hint="eastAsia" w:ascii="仿宋_GB2312" w:hAnsi="黑体" w:eastAsia="仿宋_GB2312"/>
          <w:sz w:val="32"/>
          <w:szCs w:val="32"/>
          <w:highlight w:val="none"/>
        </w:rPr>
        <w:t>新</w:t>
      </w:r>
      <w:r>
        <w:rPr>
          <w:rFonts w:hint="eastAsia" w:ascii="仿宋_GB2312" w:hAnsi="仿宋_GB2312" w:eastAsia="仿宋_GB2312" w:cs="仿宋_GB2312"/>
          <w:sz w:val="32"/>
          <w:szCs w:val="32"/>
          <w:highlight w:val="none"/>
        </w:rPr>
        <w:t>获得“经认证的经营者”（AEO）高级认证资质的企业</w:t>
      </w:r>
      <w:r>
        <w:rPr>
          <w:rFonts w:hint="eastAsia" w:ascii="仿宋_GB2312" w:hAnsi="仿宋_GB2312" w:eastAsia="仿宋_GB2312" w:cs="仿宋_GB2312"/>
          <w:sz w:val="32"/>
          <w:szCs w:val="32"/>
          <w:highlight w:val="none"/>
          <w:lang w:eastAsia="zh-CN"/>
        </w:rPr>
        <w:t>或</w:t>
      </w:r>
      <w:r>
        <w:rPr>
          <w:rFonts w:hint="eastAsia" w:ascii="仿宋_GB2312" w:hAnsi="黑体" w:eastAsia="仿宋_GB2312"/>
          <w:sz w:val="32"/>
          <w:szCs w:val="32"/>
          <w:highlight w:val="none"/>
        </w:rPr>
        <w:t>通过续认证的企业</w:t>
      </w:r>
      <w:r>
        <w:rPr>
          <w:rFonts w:hint="eastAsia" w:ascii="仿宋_GB2312" w:hAnsi="仿宋_GB2312" w:eastAsia="仿宋_GB2312" w:cs="仿宋_GB2312"/>
          <w:sz w:val="32"/>
          <w:szCs w:val="32"/>
          <w:highlight w:val="none"/>
        </w:rPr>
        <w:t>。</w:t>
      </w:r>
    </w:p>
    <w:p>
      <w:pPr>
        <w:spacing w:afterLines="0"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三、资助方式及标准</w:t>
      </w:r>
    </w:p>
    <w:p>
      <w:pPr>
        <w:spacing w:afterLines="0" w:line="560" w:lineRule="exact"/>
        <w:ind w:firstLine="640" w:firstLineChars="200"/>
        <w:jc w:val="left"/>
        <w:rPr>
          <w:rFonts w:ascii="仿宋_GB2312" w:hAnsi="仿宋_GB2312" w:eastAsia="仿宋_GB2312" w:cs="仿宋_GB2312"/>
          <w:sz w:val="32"/>
          <w:szCs w:val="32"/>
          <w:highlight w:val="none"/>
        </w:rPr>
      </w:pPr>
      <w:r>
        <w:rPr>
          <w:rFonts w:hint="eastAsia" w:ascii="仿宋_GB2312" w:eastAsia="仿宋_GB2312"/>
          <w:sz w:val="32"/>
          <w:szCs w:val="32"/>
          <w:highlight w:val="none"/>
        </w:rPr>
        <w:t>事后资助，</w:t>
      </w:r>
      <w:r>
        <w:rPr>
          <w:rFonts w:hint="eastAsia" w:ascii="仿宋_GB2312" w:hAnsi="黑体" w:eastAsia="仿宋_GB2312"/>
          <w:sz w:val="32"/>
          <w:szCs w:val="32"/>
          <w:highlight w:val="none"/>
        </w:rPr>
        <w:t>对</w:t>
      </w:r>
      <w:r>
        <w:rPr>
          <w:rFonts w:hint="eastAsia" w:ascii="仿宋_GB2312" w:hAnsi="黑体" w:eastAsia="仿宋_GB2312"/>
          <w:sz w:val="32"/>
          <w:szCs w:val="32"/>
          <w:highlight w:val="none"/>
          <w:lang w:val="en-US" w:eastAsia="zh-CN"/>
        </w:rPr>
        <w:t>2023年</w:t>
      </w:r>
      <w:r>
        <w:rPr>
          <w:rFonts w:hint="eastAsia" w:ascii="仿宋_GB2312" w:hAnsi="黑体" w:eastAsia="仿宋_GB2312"/>
          <w:sz w:val="32"/>
          <w:szCs w:val="32"/>
          <w:highlight w:val="none"/>
        </w:rPr>
        <w:t>新获得“经认证的经营者”（AEO）高级认证资质的企业，给予30万元奖励；对</w:t>
      </w:r>
      <w:r>
        <w:rPr>
          <w:rFonts w:hint="eastAsia" w:ascii="仿宋_GB2312" w:hAnsi="黑体" w:eastAsia="仿宋_GB2312"/>
          <w:sz w:val="32"/>
          <w:szCs w:val="32"/>
          <w:highlight w:val="none"/>
          <w:lang w:val="en-US" w:eastAsia="zh-CN"/>
        </w:rPr>
        <w:t>2023年</w:t>
      </w:r>
      <w:r>
        <w:rPr>
          <w:rFonts w:hint="eastAsia" w:ascii="仿宋_GB2312" w:hAnsi="黑体" w:eastAsia="仿宋_GB2312"/>
          <w:sz w:val="32"/>
          <w:szCs w:val="32"/>
          <w:highlight w:val="none"/>
        </w:rPr>
        <w:t>通过续认证的企业，给予10万元奖励。</w:t>
      </w:r>
    </w:p>
    <w:p>
      <w:pPr>
        <w:spacing w:afterLines="0"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四、申报条件</w:t>
      </w:r>
    </w:p>
    <w:p>
      <w:pPr>
        <w:spacing w:afterLines="0" w:line="560" w:lineRule="exact"/>
        <w:ind w:firstLine="640" w:firstLineChars="200"/>
        <w:jc w:val="left"/>
        <w:rPr>
          <w:rFonts w:ascii="仿宋_GB2312" w:eastAsia="仿宋_GB2312"/>
          <w:sz w:val="32"/>
          <w:szCs w:val="32"/>
          <w:highlight w:val="none"/>
        </w:rPr>
      </w:pPr>
      <w:r>
        <w:rPr>
          <w:rFonts w:hint="eastAsia" w:ascii="CESI楷体-GB2312" w:hAnsi="CESI楷体-GB2312" w:eastAsia="CESI楷体-GB2312" w:cs="CESI楷体-GB2312"/>
          <w:sz w:val="32"/>
          <w:szCs w:val="32"/>
          <w:highlight w:val="none"/>
          <w:u w:val="none"/>
          <w:lang w:val="en-US" w:eastAsia="zh-CN"/>
        </w:rPr>
        <w:t>（一）</w:t>
      </w:r>
      <w:r>
        <w:rPr>
          <w:rFonts w:hint="eastAsia" w:ascii="仿宋_GB2312" w:hAnsi="仿宋_GB2312" w:eastAsia="仿宋_GB2312" w:cs="仿宋_GB2312"/>
          <w:b w:val="0"/>
          <w:bCs w:val="0"/>
          <w:color w:val="auto"/>
          <w:kern w:val="2"/>
          <w:sz w:val="32"/>
          <w:szCs w:val="22"/>
          <w:highlight w:val="none"/>
          <w:lang w:val="en-US" w:eastAsia="zh-CN" w:bidi="ar-SA"/>
        </w:rPr>
        <w:t>申报主体为依法依规办理登记注册手续和税务登记手续，在光明区从事经营活动的独立法人企业</w:t>
      </w:r>
      <w:r>
        <w:rPr>
          <w:rFonts w:hint="eastAsia" w:ascii="仿宋_GB2312" w:eastAsia="仿宋_GB2312"/>
          <w:sz w:val="32"/>
          <w:szCs w:val="32"/>
          <w:highlight w:val="none"/>
        </w:rPr>
        <w:t>。</w:t>
      </w:r>
    </w:p>
    <w:p>
      <w:pPr>
        <w:spacing w:afterLines="0" w:line="560" w:lineRule="exact"/>
        <w:ind w:firstLine="640" w:firstLineChars="200"/>
        <w:jc w:val="left"/>
        <w:rPr>
          <w:rFonts w:ascii="仿宋_GB2312" w:hAnsi="仿宋_GB2312" w:eastAsia="仿宋_GB2312" w:cs="仿宋_GB2312"/>
          <w:sz w:val="32"/>
          <w:szCs w:val="32"/>
          <w:highlight w:val="none"/>
        </w:rPr>
      </w:pPr>
      <w:r>
        <w:rPr>
          <w:rFonts w:hint="eastAsia" w:ascii="CESI楷体-GB2312" w:hAnsi="CESI楷体-GB2312" w:eastAsia="CESI楷体-GB2312" w:cs="CESI楷体-GB2312"/>
          <w:sz w:val="32"/>
          <w:szCs w:val="32"/>
          <w:highlight w:val="none"/>
          <w:u w:val="none"/>
          <w:lang w:val="en-US" w:eastAsia="zh-CN"/>
        </w:rPr>
        <w:t>（二）</w:t>
      </w:r>
      <w:r>
        <w:rPr>
          <w:rFonts w:hint="eastAsia" w:ascii="仿宋_GB2312" w:hAnsi="仿宋_GB2312" w:eastAsia="仿宋_GB2312" w:cs="仿宋_GB2312"/>
          <w:sz w:val="32"/>
          <w:szCs w:val="32"/>
          <w:highlight w:val="none"/>
        </w:rPr>
        <w:t>申报主体诚实守信、遵纪守法，不存在违反失信惩戒措施基础清单相关规定的情形。</w:t>
      </w:r>
    </w:p>
    <w:p>
      <w:pPr>
        <w:spacing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申报主体</w:t>
      </w:r>
      <w:r>
        <w:rPr>
          <w:rFonts w:hint="eastAsia" w:ascii="仿宋_GB2312" w:hAnsi="黑体" w:eastAsia="仿宋_GB2312"/>
          <w:sz w:val="32"/>
          <w:szCs w:val="32"/>
          <w:highlight w:val="none"/>
        </w:rPr>
        <w:t>新获得“经认证的经营者”（AEO）高级认证资质或通过续认证的</w:t>
      </w:r>
      <w:r>
        <w:rPr>
          <w:rFonts w:hint="eastAsia" w:ascii="仿宋_GB2312" w:hAnsi="仿宋_GB2312" w:eastAsia="仿宋_GB2312" w:cs="仿宋_GB2312"/>
          <w:sz w:val="32"/>
          <w:szCs w:val="32"/>
          <w:highlight w:val="none"/>
        </w:rPr>
        <w:t>时间应当在202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年1月1日至202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年12月31日之间。</w:t>
      </w:r>
    </w:p>
    <w:p>
      <w:pPr>
        <w:adjustRightInd w:val="0"/>
        <w:snapToGrid w:val="0"/>
        <w:spacing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（四）</w:t>
      </w:r>
      <w:r>
        <w:rPr>
          <w:rFonts w:hint="eastAsia" w:ascii="仿宋_GB2312" w:hAnsi="仿宋_GB2312" w:eastAsia="仿宋_GB2312" w:cs="仿宋_GB2312"/>
          <w:b w:val="0"/>
          <w:bCs w:val="0"/>
          <w:color w:val="auto"/>
          <w:kern w:val="2"/>
          <w:sz w:val="32"/>
          <w:szCs w:val="22"/>
          <w:highlight w:val="none"/>
          <w:lang w:val="en-US" w:eastAsia="zh-CN" w:bidi="ar-SA"/>
        </w:rPr>
        <w:t>不存在光明区财政专项资金相关管理文件规定的不予安排资助的情形。</w:t>
      </w:r>
    </w:p>
    <w:p>
      <w:pPr>
        <w:spacing w:afterLines="0"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五、申请材料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879"/>
        <w:gridCol w:w="1578"/>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2879"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材料名称</w:t>
            </w:r>
          </w:p>
        </w:tc>
        <w:tc>
          <w:tcPr>
            <w:tcW w:w="1578"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材料要求</w:t>
            </w:r>
          </w:p>
        </w:tc>
        <w:tc>
          <w:tcPr>
            <w:tcW w:w="1688"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提交方式</w:t>
            </w:r>
          </w:p>
        </w:tc>
        <w:tc>
          <w:tcPr>
            <w:tcW w:w="1688"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2879"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营业执照复印件(多证合一新版,未换领多证合一新版营业执照的,提交原旧版营业执照、组织机构代码证书、税务登记证书)。</w:t>
            </w:r>
          </w:p>
        </w:tc>
        <w:tc>
          <w:tcPr>
            <w:tcW w:w="1578"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9"/>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现场验原件交复印件。</w:t>
            </w:r>
          </w:p>
        </w:tc>
        <w:tc>
          <w:tcPr>
            <w:tcW w:w="1688" w:type="dxa"/>
            <w:noWrap w:val="0"/>
            <w:vAlign w:val="center"/>
          </w:tcPr>
          <w:p>
            <w:pPr>
              <w:pStyle w:val="19"/>
              <w:bidi w:val="0"/>
              <w:ind w:firstLine="0" w:firstLineChars="0"/>
              <w:jc w:val="left"/>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2879"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法定代表人身份证复印件;经办人身份证复印件、法人授权委托书原件(非法定代表人办理需提供后两项，法定代表人办理无需提供)。</w:t>
            </w:r>
          </w:p>
        </w:tc>
        <w:tc>
          <w:tcPr>
            <w:tcW w:w="1578"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9"/>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现场验原件交身份证复印件、法人授权委托书原件（非法定代表人办理）。</w:t>
            </w:r>
          </w:p>
        </w:tc>
        <w:tc>
          <w:tcPr>
            <w:tcW w:w="1688" w:type="dxa"/>
            <w:noWrap w:val="0"/>
            <w:vAlign w:val="center"/>
          </w:tcPr>
          <w:p>
            <w:pPr>
              <w:pStyle w:val="19"/>
              <w:bidi w:val="0"/>
              <w:ind w:firstLine="0" w:firstLineChars="0"/>
              <w:jc w:val="left"/>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noWrap w:val="0"/>
            <w:vAlign w:val="center"/>
          </w:tcPr>
          <w:p>
            <w:pPr>
              <w:pStyle w:val="19"/>
              <w:bidi w:val="0"/>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2879" w:type="dxa"/>
            <w:noWrap w:val="0"/>
            <w:vAlign w:val="center"/>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企业信用信息报告（在深圳信用网查询下载），打印加盖公章。</w:t>
            </w:r>
          </w:p>
        </w:tc>
        <w:tc>
          <w:tcPr>
            <w:tcW w:w="1578" w:type="dxa"/>
            <w:noWrap w:val="0"/>
            <w:vAlign w:val="center"/>
          </w:tcPr>
          <w:p>
            <w:pPr>
              <w:pStyle w:val="19"/>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top"/>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现场交原件。</w:t>
            </w:r>
          </w:p>
        </w:tc>
        <w:tc>
          <w:tcPr>
            <w:tcW w:w="1688" w:type="dxa"/>
            <w:noWrap w:val="0"/>
            <w:vAlign w:val="top"/>
          </w:tcPr>
          <w:p>
            <w:pPr>
              <w:widowControl w:val="0"/>
              <w:bidi w:val="0"/>
              <w:spacing w:line="240" w:lineRule="auto"/>
              <w:ind w:firstLine="0" w:firstLineChars="0"/>
              <w:jc w:val="left"/>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企业信用信息报告查询下载网址：</w:t>
            </w:r>
            <w:r>
              <w:rPr>
                <w:rFonts w:hint="eastAsia" w:ascii="宋体" w:hAnsi="宋体" w:eastAsia="宋体" w:cs="宋体"/>
                <w:kern w:val="2"/>
                <w:sz w:val="21"/>
                <w:szCs w:val="24"/>
                <w:highlight w:val="none"/>
                <w:lang w:val="en-US" w:eastAsia="zh-CN" w:bidi="ar-SA"/>
              </w:rPr>
              <w:fldChar w:fldCharType="begin"/>
            </w:r>
            <w:r>
              <w:rPr>
                <w:rFonts w:hint="eastAsia" w:ascii="宋体" w:hAnsi="宋体" w:eastAsia="宋体" w:cs="宋体"/>
                <w:kern w:val="2"/>
                <w:sz w:val="21"/>
                <w:szCs w:val="24"/>
                <w:highlight w:val="none"/>
                <w:lang w:val="en-US" w:eastAsia="zh-CN" w:bidi="ar-SA"/>
              </w:rPr>
              <w:instrText xml:space="preserve"> HYPERLINK "https://www.szcredit.org.cn/" \l "/index" </w:instrText>
            </w:r>
            <w:r>
              <w:rPr>
                <w:rFonts w:hint="eastAsia" w:ascii="宋体" w:hAnsi="宋体" w:eastAsia="宋体" w:cs="宋体"/>
                <w:kern w:val="2"/>
                <w:sz w:val="21"/>
                <w:szCs w:val="24"/>
                <w:highlight w:val="none"/>
                <w:lang w:val="en-US" w:eastAsia="zh-CN" w:bidi="ar-SA"/>
              </w:rPr>
              <w:fldChar w:fldCharType="separate"/>
            </w:r>
            <w:r>
              <w:rPr>
                <w:rStyle w:val="13"/>
                <w:rFonts w:hint="eastAsia" w:ascii="宋体" w:hAnsi="宋体" w:eastAsia="宋体" w:cs="宋体"/>
                <w:kern w:val="2"/>
                <w:sz w:val="21"/>
                <w:szCs w:val="24"/>
                <w:highlight w:val="none"/>
                <w:lang w:val="en-US" w:eastAsia="zh-CN" w:bidi="ar-SA"/>
              </w:rPr>
              <w:t>企业信用信息报告查询</w:t>
            </w:r>
            <w:r>
              <w:rPr>
                <w:rFonts w:hint="eastAsia" w:ascii="宋体" w:hAnsi="宋体" w:eastAsia="宋体" w:cs="宋体"/>
                <w:kern w:val="2"/>
                <w:sz w:val="21"/>
                <w:szCs w:val="24"/>
                <w:highlight w:val="none"/>
                <w:lang w:val="en-US" w:eastAsia="zh-CN" w:bidi="ar-SA"/>
              </w:rPr>
              <w:fldChar w:fldCharType="end"/>
            </w:r>
            <w:r>
              <w:rPr>
                <w:rFonts w:hint="eastAsia" w:ascii="宋体" w:hAnsi="宋体" w:eastAsia="宋体" w:cs="宋体"/>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4</w:t>
            </w:r>
          </w:p>
        </w:tc>
        <w:tc>
          <w:tcPr>
            <w:tcW w:w="2879"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AEO高级认证企业证书。</w:t>
            </w:r>
          </w:p>
        </w:tc>
        <w:tc>
          <w:tcPr>
            <w:tcW w:w="1578"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top"/>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现场验原件交复印件。</w:t>
            </w:r>
          </w:p>
        </w:tc>
        <w:tc>
          <w:tcPr>
            <w:tcW w:w="1688" w:type="dxa"/>
            <w:noWrap w:val="0"/>
            <w:vAlign w:val="center"/>
          </w:tcPr>
          <w:p>
            <w:pPr>
              <w:widowControl w:val="0"/>
              <w:bidi w:val="0"/>
              <w:spacing w:line="240" w:lineRule="auto"/>
              <w:ind w:firstLine="0" w:firstLineChars="0"/>
              <w:jc w:val="left"/>
              <w:rPr>
                <w:rFonts w:hint="eastAsia" w:ascii="Calibri" w:hAnsi="Calibri"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5</w:t>
            </w:r>
          </w:p>
        </w:tc>
        <w:tc>
          <w:tcPr>
            <w:tcW w:w="2879"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海关部门出具的通过复核决定书扫描件。</w:t>
            </w:r>
          </w:p>
        </w:tc>
        <w:tc>
          <w:tcPr>
            <w:tcW w:w="1578"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top"/>
          </w:tcPr>
          <w:p>
            <w:pPr>
              <w:pStyle w:val="19"/>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现场验原件交复印件。</w:t>
            </w:r>
          </w:p>
        </w:tc>
        <w:tc>
          <w:tcPr>
            <w:tcW w:w="1688" w:type="dxa"/>
            <w:noWrap w:val="0"/>
            <w:vAlign w:val="top"/>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仅通过续认证的企业提供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9"/>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2879"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其他与申报项目有关的说明材料。</w:t>
            </w:r>
          </w:p>
        </w:tc>
        <w:tc>
          <w:tcPr>
            <w:tcW w:w="1578" w:type="dxa"/>
            <w:noWrap w:val="0"/>
            <w:vAlign w:val="top"/>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center"/>
          </w:tcPr>
          <w:p>
            <w:pPr>
              <w:pStyle w:val="19"/>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9"/>
              <w:bidi w:val="0"/>
              <w:ind w:firstLine="0" w:firstLineChars="0"/>
              <w:jc w:val="center"/>
              <w:rPr>
                <w:rFonts w:hint="eastAsia" w:ascii="宋体" w:hAnsi="宋体" w:eastAsia="宋体" w:cs="宋体"/>
                <w:highlight w:val="none"/>
                <w:lang w:val="en" w:eastAsia="zh-CN"/>
              </w:rPr>
            </w:pPr>
            <w:r>
              <w:rPr>
                <w:rFonts w:hint="eastAsia" w:ascii="宋体" w:hAnsi="宋体" w:eastAsia="宋体" w:cs="宋体"/>
                <w:highlight w:val="none"/>
                <w:lang w:val="en-US" w:eastAsia="zh-CN"/>
              </w:rPr>
              <w:t>现场交原件。</w:t>
            </w:r>
          </w:p>
        </w:tc>
        <w:tc>
          <w:tcPr>
            <w:tcW w:w="1688" w:type="dxa"/>
            <w:noWrap w:val="0"/>
            <w:vAlign w:val="top"/>
          </w:tcPr>
          <w:p>
            <w:pPr>
              <w:pStyle w:val="19"/>
              <w:bidi w:val="0"/>
              <w:ind w:firstLine="0" w:firstLineChars="0"/>
              <w:jc w:val="left"/>
              <w:rPr>
                <w:rFonts w:hint="eastAsia" w:ascii="宋体" w:hAnsi="宋体" w:eastAsia="宋体" w:cs="宋体"/>
                <w:highlight w:val="none"/>
                <w:lang w:val="en-US" w:eastAsia="zh-CN"/>
              </w:rPr>
            </w:pPr>
          </w:p>
        </w:tc>
      </w:tr>
    </w:tbl>
    <w:p>
      <w:pPr>
        <w:spacing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登录光明区企业服务门户（</w:t>
      </w:r>
      <w:r>
        <w:rPr>
          <w:rStyle w:val="12"/>
          <w:rFonts w:hint="eastAsia" w:ascii="仿宋_GB2312" w:hAnsi="仿宋_GB2312" w:eastAsia="仿宋_GB2312" w:cs="仿宋_GB2312"/>
          <w:sz w:val="32"/>
          <w:szCs w:val="32"/>
          <w:highlight w:val="none"/>
        </w:rPr>
        <w:t>https://www.gmqyfw.com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进行网络填报。</w:t>
      </w:r>
      <w:r>
        <w:rPr>
          <w:rFonts w:hint="eastAsia" w:ascii="仿宋_GB2312" w:hAnsi="仿宋_GB2312" w:eastAsia="仿宋_GB2312" w:cs="仿宋_GB2312"/>
          <w:sz w:val="32"/>
          <w:szCs w:val="32"/>
          <w:highlight w:val="none"/>
        </w:rPr>
        <w:t>以上电子材料审核通过后</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gmqyfw.com/），导出带水印编号的所有材料，A4纸正反面打印/复印，非空白页（含封面）连续编写页码，加盖申请单位印章，多页的加盖骑缝印章，壹式壹份，胶装成册，提交至光明区工业和信息化局商贸金融科。" </w:instrText>
      </w:r>
      <w:r>
        <w:rPr>
          <w:rFonts w:hint="eastAsia" w:ascii="仿宋_GB2312" w:hAnsi="仿宋_GB2312" w:eastAsia="仿宋_GB2312" w:cs="仿宋_GB2312"/>
          <w:sz w:val="32"/>
          <w:szCs w:val="32"/>
          <w:highlight w:val="none"/>
        </w:rPr>
        <w:fldChar w:fldCharType="separate"/>
      </w:r>
      <w:r>
        <w:rPr>
          <w:rStyle w:val="12"/>
          <w:rFonts w:hint="eastAsia" w:ascii="仿宋_GB2312" w:hAnsi="仿宋_GB2312" w:eastAsia="仿宋_GB2312" w:cs="仿宋_GB2312"/>
          <w:sz w:val="32"/>
          <w:szCs w:val="32"/>
          <w:highlight w:val="none"/>
        </w:rPr>
        <w:t>，导出带水印编号的所有材料，A4纸正反面打印/复印，非空白页（含封面）连续编写页码，加盖申请单位印章，多页的加盖骑缝印章，壹式壹份，胶装成册，提交至光明区</w:t>
      </w:r>
      <w:r>
        <w:rPr>
          <w:rStyle w:val="12"/>
          <w:rFonts w:hint="eastAsia" w:ascii="仿宋_GB2312" w:hAnsi="仿宋_GB2312" w:eastAsia="仿宋_GB2312" w:cs="仿宋_GB2312"/>
          <w:sz w:val="32"/>
          <w:szCs w:val="32"/>
          <w:highlight w:val="none"/>
          <w:lang w:eastAsia="zh-CN"/>
        </w:rPr>
        <w:t>商务</w:t>
      </w:r>
      <w:r>
        <w:rPr>
          <w:rStyle w:val="12"/>
          <w:rFonts w:hint="eastAsia" w:ascii="仿宋_GB2312" w:hAnsi="仿宋_GB2312" w:eastAsia="仿宋_GB2312" w:cs="仿宋_GB2312"/>
          <w:sz w:val="32"/>
          <w:szCs w:val="32"/>
          <w:highlight w:val="none"/>
        </w:rPr>
        <w:t>局</w:t>
      </w:r>
      <w:r>
        <w:rPr>
          <w:rStyle w:val="12"/>
          <w:rFonts w:hint="eastAsia" w:ascii="仿宋_GB2312" w:hAnsi="仿宋_GB2312" w:eastAsia="仿宋_GB2312" w:cs="仿宋_GB2312"/>
          <w:sz w:val="32"/>
          <w:szCs w:val="32"/>
          <w:highlight w:val="none"/>
          <w:lang w:eastAsia="zh-CN"/>
        </w:rPr>
        <w:t>服务贸易</w:t>
      </w:r>
      <w:r>
        <w:rPr>
          <w:rStyle w:val="12"/>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highlight w:val="none"/>
        </w:rPr>
        <w:fldChar w:fldCharType="end"/>
      </w:r>
    </w:p>
    <w:p>
      <w:pPr>
        <w:numPr>
          <w:ilvl w:val="0"/>
          <w:numId w:val="1"/>
        </w:numPr>
        <w:spacing w:afterLines="0"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业务受理</w:t>
      </w:r>
    </w:p>
    <w:p>
      <w:pPr>
        <w:pStyle w:val="2"/>
        <w:numPr>
          <w:ilvl w:val="-1"/>
          <w:numId w:val="0"/>
        </w:numPr>
        <w:ind w:firstLine="640"/>
        <w:rPr>
          <w:highlight w:val="none"/>
        </w:rPr>
      </w:pPr>
      <w:r>
        <w:rPr>
          <w:rFonts w:hint="eastAsia" w:ascii="楷体_GB2312" w:hAnsi="楷体_GB2312" w:eastAsia="楷体_GB2312" w:cs="楷体_GB2312"/>
          <w:highlight w:val="none"/>
          <w:lang w:val="en-US" w:eastAsia="zh-CN"/>
        </w:rPr>
        <w:t>（一）受理时间及地点</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firstLine="640" w:firstLineChars="200"/>
        <w:jc w:val="both"/>
        <w:textAlignment w:val="auto"/>
        <w:rPr>
          <w:rFonts w:hint="default" w:ascii="仿宋_GB2312" w:hAnsi="仿宋_GB2312" w:eastAsia="仿宋_GB2312" w:cs="Times New Roman"/>
          <w:color w:val="auto"/>
          <w:kern w:val="2"/>
          <w:sz w:val="32"/>
          <w:szCs w:val="24"/>
          <w:highlight w:val="none"/>
          <w:lang w:val="en-US" w:eastAsia="zh-CN" w:bidi="ar-SA"/>
        </w:rPr>
      </w:pPr>
      <w:r>
        <w:rPr>
          <w:rFonts w:hint="eastAsia" w:ascii="仿宋_GB2312" w:hAnsi="仿宋_GB2312" w:eastAsia="仿宋_GB2312" w:cs="Times New Roman"/>
          <w:color w:val="auto"/>
          <w:kern w:val="2"/>
          <w:sz w:val="32"/>
          <w:szCs w:val="24"/>
          <w:highlight w:val="none"/>
          <w:lang w:val="en-US" w:eastAsia="zh-CN" w:bidi="ar-SA"/>
        </w:rPr>
        <w:t>1.</w:t>
      </w:r>
      <w:r>
        <w:rPr>
          <w:rFonts w:hint="default" w:ascii="仿宋_GB2312" w:hAnsi="仿宋_GB2312" w:eastAsia="仿宋_GB2312" w:cs="Times New Roman"/>
          <w:color w:val="auto"/>
          <w:kern w:val="2"/>
          <w:sz w:val="32"/>
          <w:szCs w:val="24"/>
          <w:highlight w:val="none"/>
          <w:lang w:val="en-US" w:eastAsia="zh-CN" w:bidi="ar-SA"/>
        </w:rPr>
        <w:t>网络填报受理时间：2025年1月3日（星期五）至2025年1月16日（星期四）18:00（注：超过网络</w:t>
      </w:r>
      <w:bookmarkStart w:id="0" w:name="_GoBack"/>
      <w:bookmarkEnd w:id="0"/>
      <w:r>
        <w:rPr>
          <w:rFonts w:hint="default" w:ascii="仿宋_GB2312" w:hAnsi="仿宋_GB2312" w:eastAsia="仿宋_GB2312" w:cs="Times New Roman"/>
          <w:color w:val="auto"/>
          <w:kern w:val="2"/>
          <w:sz w:val="32"/>
          <w:szCs w:val="24"/>
          <w:highlight w:val="none"/>
          <w:lang w:val="en-US" w:eastAsia="zh-CN" w:bidi="ar-SA"/>
        </w:rPr>
        <w:t>填报受理的截止时间，不再受理新提交申请。网络填报受理截止前已在线提交申请，但后经初审被退回修改的，可于纸质材料受理截止前再次提交修改后的申请进行初审，初审通过后方可提交纸质材料）。</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firstLine="640" w:firstLineChars="200"/>
        <w:jc w:val="both"/>
        <w:textAlignment w:val="auto"/>
        <w:rPr>
          <w:rFonts w:hint="default" w:ascii="仿宋_GB2312" w:hAnsi="仿宋_GB2312" w:eastAsia="仿宋_GB2312" w:cs="Times New Roman"/>
          <w:color w:val="auto"/>
          <w:kern w:val="2"/>
          <w:sz w:val="32"/>
          <w:szCs w:val="24"/>
          <w:highlight w:val="none"/>
          <w:lang w:val="en-US" w:eastAsia="zh-CN" w:bidi="ar-SA"/>
        </w:rPr>
      </w:pPr>
      <w:r>
        <w:rPr>
          <w:rFonts w:hint="default" w:ascii="仿宋_GB2312" w:hAnsi="仿宋_GB2312" w:eastAsia="仿宋_GB2312" w:cs="Times New Roman"/>
          <w:color w:val="auto"/>
          <w:kern w:val="2"/>
          <w:sz w:val="32"/>
          <w:szCs w:val="24"/>
          <w:highlight w:val="none"/>
          <w:lang w:val="en-US" w:eastAsia="zh-CN" w:bidi="ar-SA"/>
        </w:rPr>
        <w:t>2.纸质材料受理时间：202</w:t>
      </w:r>
      <w:r>
        <w:rPr>
          <w:rFonts w:hint="eastAsia" w:ascii="仿宋_GB2312" w:hAnsi="仿宋_GB2312" w:eastAsia="仿宋_GB2312" w:cs="Times New Roman"/>
          <w:color w:val="auto"/>
          <w:kern w:val="2"/>
          <w:sz w:val="32"/>
          <w:szCs w:val="24"/>
          <w:highlight w:val="none"/>
          <w:lang w:val="en-US" w:eastAsia="zh-CN" w:bidi="ar-SA"/>
        </w:rPr>
        <w:t>5</w:t>
      </w:r>
      <w:r>
        <w:rPr>
          <w:rFonts w:hint="default" w:ascii="仿宋_GB2312" w:hAnsi="仿宋_GB2312" w:eastAsia="仿宋_GB2312" w:cs="Times New Roman"/>
          <w:color w:val="auto"/>
          <w:kern w:val="2"/>
          <w:sz w:val="32"/>
          <w:szCs w:val="24"/>
          <w:highlight w:val="none"/>
          <w:lang w:val="en-US" w:eastAsia="zh-CN" w:bidi="ar-SA"/>
        </w:rPr>
        <w:t>年1月</w:t>
      </w:r>
      <w:r>
        <w:rPr>
          <w:rFonts w:hint="eastAsia" w:ascii="仿宋_GB2312" w:hAnsi="仿宋_GB2312" w:eastAsia="仿宋_GB2312" w:cs="Times New Roman"/>
          <w:color w:val="auto"/>
          <w:kern w:val="2"/>
          <w:sz w:val="32"/>
          <w:szCs w:val="24"/>
          <w:highlight w:val="none"/>
          <w:lang w:val="en-US" w:eastAsia="zh-CN" w:bidi="ar-SA"/>
        </w:rPr>
        <w:t>6</w:t>
      </w:r>
      <w:r>
        <w:rPr>
          <w:rFonts w:hint="default" w:ascii="仿宋_GB2312" w:hAnsi="仿宋_GB2312" w:eastAsia="仿宋_GB2312" w:cs="Times New Roman"/>
          <w:color w:val="auto"/>
          <w:kern w:val="2"/>
          <w:sz w:val="32"/>
          <w:szCs w:val="24"/>
          <w:highlight w:val="none"/>
          <w:lang w:val="en-US" w:eastAsia="zh-CN" w:bidi="ar-SA"/>
        </w:rPr>
        <w:t>日（星期一）至2025年1月1</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日（星期五）18:00（注：网上初审通过后请及时提交纸质材料，成功提交纸质材料的项目才算完成申请）。</w:t>
      </w:r>
    </w:p>
    <w:p>
      <w:pPr>
        <w:keepNext w:val="0"/>
        <w:keepLines w:val="0"/>
        <w:pageBreakBefore w:val="0"/>
        <w:widowControl w:val="0"/>
        <w:kinsoku/>
        <w:wordWrap/>
        <w:overflowPunct/>
        <w:topLinePunct w:val="0"/>
        <w:autoSpaceDE/>
        <w:autoSpaceDN/>
        <w:bidi w:val="0"/>
        <w:adjustRightInd/>
        <w:snapToGrid/>
        <w:spacing w:afterLines="0" w:afterAutospacing="0" w:line="560" w:lineRule="exact"/>
        <w:ind w:firstLine="640" w:firstLineChars="200"/>
        <w:jc w:val="both"/>
        <w:textAlignment w:val="auto"/>
        <w:rPr>
          <w:rFonts w:hint="default" w:ascii="仿宋_GB2312" w:hAnsi="仿宋_GB2312" w:eastAsia="仿宋_GB2312" w:cs="Times New Roman"/>
          <w:color w:val="auto"/>
          <w:kern w:val="2"/>
          <w:sz w:val="32"/>
          <w:szCs w:val="24"/>
          <w:highlight w:val="none"/>
          <w:lang w:val="en-US" w:eastAsia="zh-CN" w:bidi="ar-SA"/>
        </w:rPr>
      </w:pPr>
      <w:r>
        <w:rPr>
          <w:rFonts w:hint="default" w:ascii="仿宋_GB2312" w:hAnsi="仿宋_GB2312" w:eastAsia="仿宋_GB2312" w:cs="Times New Roman"/>
          <w:color w:val="auto"/>
          <w:kern w:val="2"/>
          <w:sz w:val="32"/>
          <w:szCs w:val="24"/>
          <w:highlight w:val="none"/>
          <w:lang w:val="en-US" w:eastAsia="zh-CN" w:bidi="ar-SA"/>
        </w:rPr>
        <w:t>纸质材料受理地点：</w:t>
      </w:r>
      <w:r>
        <w:rPr>
          <w:rFonts w:hint="default" w:ascii="仿宋_GB2312" w:hAnsi="仿宋_GB2312" w:eastAsia="仿宋_GB2312" w:cs="Times New Roman"/>
          <w:kern w:val="2"/>
          <w:sz w:val="32"/>
          <w:szCs w:val="24"/>
          <w:highlight w:val="none"/>
          <w:lang w:val="en-US" w:eastAsia="zh-CN" w:bidi="ar-SA"/>
        </w:rPr>
        <w:t>深圳市光明区公共服务平台6</w:t>
      </w:r>
      <w:r>
        <w:rPr>
          <w:rFonts w:hint="eastAsia" w:ascii="仿宋_GB2312" w:hAnsi="仿宋_GB2312" w:eastAsia="仿宋_GB2312" w:cs="Times New Roman"/>
          <w:kern w:val="2"/>
          <w:sz w:val="32"/>
          <w:szCs w:val="24"/>
          <w:highlight w:val="none"/>
          <w:lang w:val="en-US" w:eastAsia="zh-CN" w:bidi="ar-SA"/>
        </w:rPr>
        <w:t>楼</w:t>
      </w:r>
      <w:r>
        <w:rPr>
          <w:rFonts w:hint="default" w:ascii="仿宋_GB2312" w:hAnsi="仿宋_GB2312" w:eastAsia="仿宋_GB2312" w:cs="Times New Roman"/>
          <w:kern w:val="2"/>
          <w:sz w:val="32"/>
          <w:szCs w:val="24"/>
          <w:highlight w:val="none"/>
          <w:lang w:val="en-US" w:eastAsia="zh-CN" w:bidi="ar-SA"/>
        </w:rPr>
        <w:t>670</w:t>
      </w:r>
      <w:r>
        <w:rPr>
          <w:rFonts w:hint="eastAsia" w:ascii="仿宋_GB2312" w:hAnsi="仿宋_GB2312" w:eastAsia="仿宋_GB2312" w:cs="Times New Roman"/>
          <w:kern w:val="2"/>
          <w:sz w:val="32"/>
          <w:szCs w:val="24"/>
          <w:highlight w:val="none"/>
          <w:lang w:val="en-US" w:eastAsia="zh-CN" w:bidi="ar-SA"/>
        </w:rPr>
        <w:t>室</w:t>
      </w:r>
      <w:r>
        <w:rPr>
          <w:rFonts w:hint="default" w:ascii="仿宋_GB2312" w:hAnsi="仿宋_GB2312" w:eastAsia="仿宋_GB2312" w:cs="Times New Roman"/>
          <w:color w:val="auto"/>
          <w:kern w:val="2"/>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仿宋_GB2312" w:hAnsi="仿宋_GB2312" w:eastAsia="仿宋_GB2312" w:cs="Times New Roman"/>
          <w:color w:val="auto"/>
          <w:kern w:val="2"/>
          <w:sz w:val="32"/>
          <w:szCs w:val="24"/>
          <w:highlight w:val="none"/>
          <w:lang w:val="en-US" w:eastAsia="zh-CN" w:bidi="ar-SA"/>
        </w:rPr>
      </w:pPr>
      <w:r>
        <w:rPr>
          <w:rFonts w:hint="default" w:ascii="仿宋_GB2312" w:hAnsi="仿宋_GB2312" w:eastAsia="仿宋_GB2312" w:cs="Times New Roman"/>
          <w:color w:val="auto"/>
          <w:kern w:val="2"/>
          <w:sz w:val="32"/>
          <w:szCs w:val="24"/>
          <w:highlight w:val="none"/>
          <w:lang w:val="en-US" w:eastAsia="zh-CN" w:bidi="ar-SA"/>
        </w:rPr>
        <w:t>业务咨询：882</w:t>
      </w:r>
      <w:r>
        <w:rPr>
          <w:rFonts w:hint="eastAsia" w:ascii="仿宋_GB2312" w:hAnsi="仿宋_GB2312" w:eastAsia="仿宋_GB2312" w:cs="Times New Roman"/>
          <w:color w:val="auto"/>
          <w:kern w:val="2"/>
          <w:sz w:val="32"/>
          <w:szCs w:val="24"/>
          <w:highlight w:val="none"/>
          <w:lang w:val="en-US" w:eastAsia="zh-CN" w:bidi="ar-SA"/>
        </w:rPr>
        <w:t>11643</w:t>
      </w:r>
      <w:r>
        <w:rPr>
          <w:rFonts w:hint="default" w:ascii="仿宋_GB2312" w:hAnsi="仿宋_GB2312" w:eastAsia="仿宋_GB2312" w:cs="Times New Roman"/>
          <w:color w:val="auto"/>
          <w:kern w:val="2"/>
          <w:sz w:val="32"/>
          <w:szCs w:val="24"/>
          <w:highlight w:val="none"/>
          <w:lang w:val="en-US" w:eastAsia="zh-CN" w:bidi="ar-SA"/>
        </w:rPr>
        <w:t>。</w:t>
      </w:r>
    </w:p>
    <w:p>
      <w:pPr>
        <w:pStyle w:val="2"/>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default" w:ascii="仿宋_GB2312" w:hAnsi="仿宋_GB2312" w:eastAsia="仿宋_GB2312" w:cs="Times New Roman"/>
          <w:color w:val="auto"/>
          <w:kern w:val="2"/>
          <w:sz w:val="32"/>
          <w:szCs w:val="24"/>
          <w:highlight w:val="none"/>
          <w:lang w:val="en-US" w:eastAsia="zh-CN" w:bidi="ar-SA"/>
        </w:rPr>
        <w:t>技术支持电话：</w:t>
      </w:r>
      <w:r>
        <w:rPr>
          <w:rFonts w:hint="default" w:ascii="仿宋_GB2312" w:hAnsi="仿宋_GB2312" w:eastAsia="仿宋_GB2312" w:cs="Times New Roman"/>
          <w:kern w:val="2"/>
          <w:sz w:val="32"/>
          <w:szCs w:val="24"/>
          <w:highlight w:val="none"/>
          <w:lang w:val="en-US" w:eastAsia="zh-CN" w:bidi="ar-SA"/>
        </w:rPr>
        <w:t>15217030223</w:t>
      </w:r>
      <w:r>
        <w:rPr>
          <w:rFonts w:hint="eastAsia" w:cs="Times New Roman"/>
          <w:color w:val="auto"/>
          <w:kern w:val="2"/>
          <w:sz w:val="32"/>
          <w:szCs w:val="24"/>
          <w:highlight w:val="none"/>
          <w:lang w:val="en-US" w:eastAsia="zh-CN" w:bidi="ar-SA"/>
        </w:rPr>
        <w:t>；</w:t>
      </w:r>
      <w:r>
        <w:rPr>
          <w:rFonts w:hint="default" w:ascii="仿宋_GB2312" w:hAnsi="仿宋_GB2312" w:eastAsia="仿宋_GB2312" w:cs="Times New Roman"/>
          <w:color w:val="auto"/>
          <w:kern w:val="2"/>
          <w:sz w:val="32"/>
          <w:szCs w:val="24"/>
          <w:highlight w:val="none"/>
          <w:lang w:val="en-US" w:eastAsia="zh-CN" w:bidi="ar-SA"/>
        </w:rPr>
        <w:t>QQ：2577372164。</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kern w:val="2"/>
          <w:sz w:val="32"/>
          <w:szCs w:val="24"/>
          <w:highlight w:val="none"/>
          <w:lang w:val="en-US" w:eastAsia="zh-CN" w:bidi="ar-SA"/>
        </w:rPr>
      </w:pPr>
      <w:r>
        <w:rPr>
          <w:rFonts w:hint="eastAsia" w:ascii="楷体_GB2312" w:hAnsi="楷体_GB2312" w:eastAsia="楷体_GB2312" w:cs="楷体_GB2312"/>
          <w:kern w:val="2"/>
          <w:sz w:val="32"/>
          <w:szCs w:val="24"/>
          <w:highlight w:val="none"/>
          <w:lang w:val="en-US" w:eastAsia="zh-CN" w:bidi="ar-SA"/>
        </w:rPr>
        <w:t>（二）受理机关</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w:t>
      </w:r>
    </w:p>
    <w:p>
      <w:pPr>
        <w:spacing w:afterLines="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、办理流程</w:t>
      </w:r>
    </w:p>
    <w:p>
      <w:pPr>
        <w:adjustRightInd w:val="0"/>
        <w:snapToGrid w:val="0"/>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区商务部门发布申请指南--</w:t>
      </w: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单位网上</w:t>
      </w:r>
      <w:r>
        <w:rPr>
          <w:rFonts w:hint="default" w:ascii="仿宋_GB2312" w:hAnsi="仿宋_GB2312" w:eastAsia="仿宋_GB2312" w:cs="仿宋_GB2312"/>
          <w:sz w:val="32"/>
          <w:szCs w:val="32"/>
          <w:highlight w:val="none"/>
          <w:lang w:val="en"/>
        </w:rPr>
        <w:t>申请</w:t>
      </w:r>
      <w:r>
        <w:rPr>
          <w:rFonts w:hint="default"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eastAsia="zh-CN"/>
        </w:rPr>
        <w:t>申</w:t>
      </w:r>
      <w:r>
        <w:rPr>
          <w:rFonts w:hint="eastAsia" w:ascii="仿宋_GB2312" w:hAnsi="仿宋_GB2312" w:eastAsia="仿宋_GB2312" w:cs="仿宋_GB2312"/>
          <w:sz w:val="32"/>
          <w:szCs w:val="32"/>
          <w:highlight w:val="none"/>
          <w:lang w:val="en" w:eastAsia="zh-CN"/>
        </w:rPr>
        <w:t>报</w:t>
      </w:r>
      <w:r>
        <w:rPr>
          <w:rFonts w:hint="eastAsia" w:ascii="仿宋_GB2312" w:hAnsi="仿宋_GB2312" w:eastAsia="仿宋_GB2312" w:cs="仿宋_GB2312"/>
          <w:sz w:val="32"/>
          <w:szCs w:val="32"/>
          <w:highlight w:val="none"/>
          <w:lang w:val="en-US" w:eastAsia="zh-CN"/>
        </w:rPr>
        <w:t>单位向区商务部门提交纸质版申请材料--区商务部门进行形式审查--区商务部门会同相关部门核查并形成资金扶持初步方案--区商务部门按照不同额度区分依程序报批审定--社会公示--</w:t>
      </w:r>
      <w:r>
        <w:rPr>
          <w:rFonts w:hint="eastAsia" w:ascii="仿宋_GB2312" w:hAnsi="仿宋_GB2312" w:eastAsia="仿宋_GB2312" w:cs="仿宋_GB2312"/>
          <w:kern w:val="2"/>
          <w:sz w:val="32"/>
          <w:szCs w:val="32"/>
          <w:highlight w:val="none"/>
        </w:rPr>
        <w:t>下达项目资金计划</w:t>
      </w:r>
      <w:r>
        <w:rPr>
          <w:rFonts w:hint="default"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rPr>
        <w:t>区</w:t>
      </w:r>
      <w:r>
        <w:rPr>
          <w:rFonts w:hint="eastAsia" w:ascii="仿宋_GB2312" w:hAnsi="仿宋_GB2312" w:eastAsia="仿宋_GB2312" w:cs="仿宋_GB2312"/>
          <w:kern w:val="2"/>
          <w:sz w:val="32"/>
          <w:szCs w:val="32"/>
          <w:highlight w:val="none"/>
          <w:lang w:eastAsia="zh-CN"/>
        </w:rPr>
        <w:t>商务</w:t>
      </w:r>
      <w:r>
        <w:rPr>
          <w:rFonts w:hint="eastAsia" w:ascii="仿宋_GB2312" w:hAnsi="仿宋_GB2312" w:eastAsia="仿宋_GB2312" w:cs="仿宋_GB2312"/>
          <w:kern w:val="2"/>
          <w:sz w:val="32"/>
          <w:szCs w:val="32"/>
          <w:highlight w:val="none"/>
          <w:lang w:val="en-US" w:eastAsia="zh-CN"/>
        </w:rPr>
        <w:t>部门</w:t>
      </w:r>
      <w:r>
        <w:rPr>
          <w:rFonts w:hint="eastAsia" w:ascii="仿宋_GB2312" w:hAnsi="仿宋_GB2312" w:eastAsia="仿宋_GB2312" w:cs="仿宋_GB2312"/>
          <w:kern w:val="2"/>
          <w:sz w:val="32"/>
          <w:szCs w:val="32"/>
          <w:highlight w:val="none"/>
        </w:rPr>
        <w:t>履行拨款程序</w:t>
      </w:r>
      <w:r>
        <w:rPr>
          <w:rFonts w:hint="eastAsia" w:ascii="仿宋_GB2312" w:hAnsi="仿宋_GB2312" w:eastAsia="仿宋_GB2312" w:cs="仿宋_GB2312"/>
          <w:kern w:val="2"/>
          <w:sz w:val="32"/>
          <w:szCs w:val="32"/>
          <w:highlight w:val="none"/>
          <w:lang w:eastAsia="zh-CN"/>
        </w:rPr>
        <w:t>。</w:t>
      </w:r>
    </w:p>
    <w:p>
      <w:pPr>
        <w:spacing w:afterLines="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、收费</w:t>
      </w:r>
    </w:p>
    <w:p>
      <w:pPr>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afterLines="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、年审或年检</w:t>
      </w:r>
    </w:p>
    <w:p>
      <w:pPr>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afterLines="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十、注意事项</w:t>
      </w:r>
    </w:p>
    <w:p>
      <w:pPr>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（一）本指南仅适用于</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申请。</w:t>
      </w:r>
    </w:p>
    <w:p>
      <w:pPr>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（二）申报单位对申报材料的合法性、真实性、准确性和完整性负责。对利用不正当手段骗取或协助骗取专项财政资金情形的，光明区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局核实后将按照区政府专项资金有关规定予以处理，并按照有关法律法规的规定追究相应责任。</w:t>
      </w:r>
    </w:p>
    <w:p>
      <w:pPr>
        <w:spacing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局从未委托任何机构或个人代理本项目的资金申请事宜，请项目单位自主申报项目</w:t>
      </w:r>
      <w:r>
        <w:rPr>
          <w:rFonts w:hint="eastAsia" w:ascii="仿宋_GB2312" w:hAnsi="仿宋_GB2312" w:eastAsia="仿宋_GB2312" w:cs="仿宋_GB2312"/>
          <w:sz w:val="32"/>
          <w:szCs w:val="32"/>
          <w:highlight w:val="none"/>
          <w:lang w:eastAsia="zh-CN"/>
        </w:rPr>
        <w:t>，不得委托中介，一经发现，拒绝受理</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局将严格按照有关标准和程序受理申请，不收取任何费用。如有任何机构或个人假借光明区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局工作人员名义向企业收取费用的，请知情者向光明区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局举报</w:t>
      </w:r>
      <w:r>
        <w:rPr>
          <w:rFonts w:hint="eastAsia" w:ascii="仿宋_GB2312" w:hAnsi="仿宋_GB2312" w:eastAsia="仿宋_GB2312" w:cs="仿宋_GB2312"/>
          <w:sz w:val="32"/>
          <w:szCs w:val="32"/>
          <w:highlight w:val="none"/>
          <w:lang w:eastAsia="zh-CN"/>
        </w:rPr>
        <w:t>（举报电话：</w:t>
      </w:r>
      <w:r>
        <w:rPr>
          <w:rFonts w:hint="eastAsia" w:ascii="仿宋_GB2312" w:hAnsi="仿宋_GB2312" w:eastAsia="仿宋_GB2312" w:cs="仿宋_GB2312"/>
          <w:sz w:val="32"/>
          <w:szCs w:val="32"/>
          <w:highlight w:val="none"/>
          <w:lang w:val="en-US" w:eastAsia="zh-CN"/>
        </w:rPr>
        <w:t>88211643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pStyle w:val="2"/>
        <w:spacing w:line="560" w:lineRule="exact"/>
        <w:ind w:firstLine="640" w:firstLineChars="200"/>
        <w:rPr>
          <w:highlight w:val="none"/>
        </w:rPr>
      </w:pPr>
      <w:r>
        <w:rPr>
          <w:rFonts w:hint="eastAsia"/>
          <w:highlight w:val="none"/>
          <w:lang w:val="en-US" w:eastAsia="zh-CN"/>
        </w:rPr>
        <w:t>（四）申报项目满足光明区多项政策（包括光明区经济发展专项资金政策等）支持条件的，按“就高不重复原则”由申报单位自行选择其中一项政策进行申报；本指南实施期间如遇政策调整的，可进行相应调整。</w:t>
      </w:r>
      <w:r>
        <w:rPr>
          <w:rFonts w:hint="eastAsia"/>
          <w:highlight w:val="none"/>
          <w:lang w:eastAsia="zh-CN"/>
        </w:rPr>
        <w:t>申报</w:t>
      </w:r>
      <w:r>
        <w:rPr>
          <w:rFonts w:hint="eastAsia"/>
          <w:highlight w:val="none"/>
        </w:rPr>
        <w:t>项目资助金额受财政下达年度资金预算控制，视申报情况，</w:t>
      </w:r>
      <w:r>
        <w:rPr>
          <w:rFonts w:hint="eastAsia"/>
          <w:highlight w:val="none"/>
          <w:lang w:eastAsia="zh-CN"/>
        </w:rPr>
        <w:t>光明区商务局</w:t>
      </w:r>
      <w:r>
        <w:rPr>
          <w:rFonts w:hint="eastAsia"/>
          <w:highlight w:val="none"/>
        </w:rPr>
        <w:t>据以对资助金额和拨付进度等进行统一调整，申报单位应无条件同意调整结果。</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5AA"/>
    <w:multiLevelType w:val="singleLevel"/>
    <w:tmpl w:val="FDFE75A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CE"/>
    <w:rsid w:val="00091725"/>
    <w:rsid w:val="00094A40"/>
    <w:rsid w:val="000A5919"/>
    <w:rsid w:val="000B0E5B"/>
    <w:rsid w:val="000B7DAC"/>
    <w:rsid w:val="000E009E"/>
    <w:rsid w:val="000F2CC3"/>
    <w:rsid w:val="000F59CB"/>
    <w:rsid w:val="000F737E"/>
    <w:rsid w:val="0013390D"/>
    <w:rsid w:val="00153A88"/>
    <w:rsid w:val="00196DB8"/>
    <w:rsid w:val="001B08EE"/>
    <w:rsid w:val="00296F41"/>
    <w:rsid w:val="002A18EE"/>
    <w:rsid w:val="002B5CE3"/>
    <w:rsid w:val="00335190"/>
    <w:rsid w:val="00350B83"/>
    <w:rsid w:val="00352DCE"/>
    <w:rsid w:val="0038569B"/>
    <w:rsid w:val="003A5F9C"/>
    <w:rsid w:val="003C70A9"/>
    <w:rsid w:val="004343D9"/>
    <w:rsid w:val="004409BC"/>
    <w:rsid w:val="00447E3A"/>
    <w:rsid w:val="00453E43"/>
    <w:rsid w:val="00494037"/>
    <w:rsid w:val="004943F1"/>
    <w:rsid w:val="004A5A1B"/>
    <w:rsid w:val="004C3840"/>
    <w:rsid w:val="004C476C"/>
    <w:rsid w:val="004D1F6C"/>
    <w:rsid w:val="00514966"/>
    <w:rsid w:val="00540FDD"/>
    <w:rsid w:val="00543920"/>
    <w:rsid w:val="00563529"/>
    <w:rsid w:val="00567B6F"/>
    <w:rsid w:val="005941BD"/>
    <w:rsid w:val="005D2F68"/>
    <w:rsid w:val="00603A53"/>
    <w:rsid w:val="00620D6A"/>
    <w:rsid w:val="00635718"/>
    <w:rsid w:val="00660F8B"/>
    <w:rsid w:val="006776A9"/>
    <w:rsid w:val="006B0B82"/>
    <w:rsid w:val="006D74D7"/>
    <w:rsid w:val="006E13B5"/>
    <w:rsid w:val="006E7061"/>
    <w:rsid w:val="007420C3"/>
    <w:rsid w:val="007509BD"/>
    <w:rsid w:val="00756D8C"/>
    <w:rsid w:val="0077561E"/>
    <w:rsid w:val="00786D42"/>
    <w:rsid w:val="007A53FF"/>
    <w:rsid w:val="007C7727"/>
    <w:rsid w:val="007F3939"/>
    <w:rsid w:val="00802FED"/>
    <w:rsid w:val="0081175E"/>
    <w:rsid w:val="008409F0"/>
    <w:rsid w:val="00841D2E"/>
    <w:rsid w:val="00850B09"/>
    <w:rsid w:val="00852DBB"/>
    <w:rsid w:val="0087192E"/>
    <w:rsid w:val="00892350"/>
    <w:rsid w:val="008A14CB"/>
    <w:rsid w:val="008A2643"/>
    <w:rsid w:val="008A5FE0"/>
    <w:rsid w:val="008C768C"/>
    <w:rsid w:val="008D5D3B"/>
    <w:rsid w:val="0091236F"/>
    <w:rsid w:val="009326AC"/>
    <w:rsid w:val="009525D2"/>
    <w:rsid w:val="0096352C"/>
    <w:rsid w:val="00967754"/>
    <w:rsid w:val="00997C46"/>
    <w:rsid w:val="009A4784"/>
    <w:rsid w:val="009B5033"/>
    <w:rsid w:val="009D1A89"/>
    <w:rsid w:val="009E649E"/>
    <w:rsid w:val="00A55842"/>
    <w:rsid w:val="00A80412"/>
    <w:rsid w:val="00A96DFE"/>
    <w:rsid w:val="00AB4BB5"/>
    <w:rsid w:val="00AC6116"/>
    <w:rsid w:val="00AD0F6A"/>
    <w:rsid w:val="00AE7A05"/>
    <w:rsid w:val="00AF5330"/>
    <w:rsid w:val="00AF5773"/>
    <w:rsid w:val="00B01A43"/>
    <w:rsid w:val="00B02708"/>
    <w:rsid w:val="00B10741"/>
    <w:rsid w:val="00B5686C"/>
    <w:rsid w:val="00B57D93"/>
    <w:rsid w:val="00B82F12"/>
    <w:rsid w:val="00BF715E"/>
    <w:rsid w:val="00C67D4B"/>
    <w:rsid w:val="00C86990"/>
    <w:rsid w:val="00CC1E33"/>
    <w:rsid w:val="00D01712"/>
    <w:rsid w:val="00D43D88"/>
    <w:rsid w:val="00DD4BCF"/>
    <w:rsid w:val="00DD56F4"/>
    <w:rsid w:val="00E328B0"/>
    <w:rsid w:val="00E675F5"/>
    <w:rsid w:val="00E70A34"/>
    <w:rsid w:val="00E72F05"/>
    <w:rsid w:val="00EB4AD6"/>
    <w:rsid w:val="00EB7DFC"/>
    <w:rsid w:val="00EE0EDA"/>
    <w:rsid w:val="00F01E4A"/>
    <w:rsid w:val="00F42075"/>
    <w:rsid w:val="00F56D58"/>
    <w:rsid w:val="00F62B75"/>
    <w:rsid w:val="00F8400C"/>
    <w:rsid w:val="01FA68B8"/>
    <w:rsid w:val="021B3A2A"/>
    <w:rsid w:val="02886C7B"/>
    <w:rsid w:val="040F058F"/>
    <w:rsid w:val="04510006"/>
    <w:rsid w:val="04D719E4"/>
    <w:rsid w:val="065E1F37"/>
    <w:rsid w:val="06622B7C"/>
    <w:rsid w:val="07FE208E"/>
    <w:rsid w:val="08A9580A"/>
    <w:rsid w:val="0B0B1C1E"/>
    <w:rsid w:val="0BC32322"/>
    <w:rsid w:val="0C0A5A69"/>
    <w:rsid w:val="0E7F5FDD"/>
    <w:rsid w:val="0EE3728B"/>
    <w:rsid w:val="108F7B6C"/>
    <w:rsid w:val="10AF1316"/>
    <w:rsid w:val="13B7215B"/>
    <w:rsid w:val="14A52BF6"/>
    <w:rsid w:val="157F597A"/>
    <w:rsid w:val="15FEB82E"/>
    <w:rsid w:val="16CF6256"/>
    <w:rsid w:val="17594179"/>
    <w:rsid w:val="18A96AFD"/>
    <w:rsid w:val="19181ABD"/>
    <w:rsid w:val="19CA7A3D"/>
    <w:rsid w:val="1C0A5BE4"/>
    <w:rsid w:val="1C796200"/>
    <w:rsid w:val="1D5D5E29"/>
    <w:rsid w:val="1DFB1E2C"/>
    <w:rsid w:val="1E285D2A"/>
    <w:rsid w:val="1E6A1E17"/>
    <w:rsid w:val="1FFD86F4"/>
    <w:rsid w:val="203608E5"/>
    <w:rsid w:val="2193744B"/>
    <w:rsid w:val="21A00AD1"/>
    <w:rsid w:val="223234AC"/>
    <w:rsid w:val="24ED7FE2"/>
    <w:rsid w:val="25BC1F73"/>
    <w:rsid w:val="262F2FD5"/>
    <w:rsid w:val="26D53BE4"/>
    <w:rsid w:val="26E21175"/>
    <w:rsid w:val="26F34B33"/>
    <w:rsid w:val="284A6DDD"/>
    <w:rsid w:val="2AC80EC3"/>
    <w:rsid w:val="2CDB38E3"/>
    <w:rsid w:val="2D662E5A"/>
    <w:rsid w:val="2D952542"/>
    <w:rsid w:val="2E0463C4"/>
    <w:rsid w:val="2EA751D3"/>
    <w:rsid w:val="2ED628B2"/>
    <w:rsid w:val="2EE7DAA7"/>
    <w:rsid w:val="2FCE6457"/>
    <w:rsid w:val="30990EFF"/>
    <w:rsid w:val="30FB1CA6"/>
    <w:rsid w:val="327A5E9A"/>
    <w:rsid w:val="33434C60"/>
    <w:rsid w:val="34184AE6"/>
    <w:rsid w:val="342D4F35"/>
    <w:rsid w:val="34F5655A"/>
    <w:rsid w:val="35A42560"/>
    <w:rsid w:val="35B01019"/>
    <w:rsid w:val="35EDFF0D"/>
    <w:rsid w:val="36450C79"/>
    <w:rsid w:val="368A7719"/>
    <w:rsid w:val="36B03BE1"/>
    <w:rsid w:val="36B26EED"/>
    <w:rsid w:val="36BBD575"/>
    <w:rsid w:val="3703019A"/>
    <w:rsid w:val="37560F20"/>
    <w:rsid w:val="37A618EF"/>
    <w:rsid w:val="38355F5B"/>
    <w:rsid w:val="38F1108A"/>
    <w:rsid w:val="39D76688"/>
    <w:rsid w:val="3BE86BC6"/>
    <w:rsid w:val="3C2B00F1"/>
    <w:rsid w:val="3CB1008E"/>
    <w:rsid w:val="3D8974ED"/>
    <w:rsid w:val="3DFA7689"/>
    <w:rsid w:val="3E2F24DF"/>
    <w:rsid w:val="3E817BB6"/>
    <w:rsid w:val="3EF1BA3E"/>
    <w:rsid w:val="3F137A0E"/>
    <w:rsid w:val="3F732C81"/>
    <w:rsid w:val="41C86DDF"/>
    <w:rsid w:val="432F1F7A"/>
    <w:rsid w:val="452F5644"/>
    <w:rsid w:val="472502E2"/>
    <w:rsid w:val="486A3011"/>
    <w:rsid w:val="48EA232B"/>
    <w:rsid w:val="49A92311"/>
    <w:rsid w:val="4A743801"/>
    <w:rsid w:val="4BF723F2"/>
    <w:rsid w:val="4C2C3BDD"/>
    <w:rsid w:val="4C3248A9"/>
    <w:rsid w:val="4CFA2ED7"/>
    <w:rsid w:val="4EEF47E2"/>
    <w:rsid w:val="4F1D7766"/>
    <w:rsid w:val="4F24050E"/>
    <w:rsid w:val="50E101CB"/>
    <w:rsid w:val="50F7511E"/>
    <w:rsid w:val="51E61E99"/>
    <w:rsid w:val="51FC4F17"/>
    <w:rsid w:val="527A0C14"/>
    <w:rsid w:val="542C4DE6"/>
    <w:rsid w:val="54893D71"/>
    <w:rsid w:val="54CD348A"/>
    <w:rsid w:val="56DE7471"/>
    <w:rsid w:val="5736CB55"/>
    <w:rsid w:val="577D6292"/>
    <w:rsid w:val="584F8B20"/>
    <w:rsid w:val="59617559"/>
    <w:rsid w:val="59760B71"/>
    <w:rsid w:val="5C6102AF"/>
    <w:rsid w:val="5C6E7E4B"/>
    <w:rsid w:val="5D2E4FFD"/>
    <w:rsid w:val="5DF04060"/>
    <w:rsid w:val="5E225401"/>
    <w:rsid w:val="5E280148"/>
    <w:rsid w:val="5E74494C"/>
    <w:rsid w:val="5EA875EE"/>
    <w:rsid w:val="5EB57154"/>
    <w:rsid w:val="604726D4"/>
    <w:rsid w:val="63261B00"/>
    <w:rsid w:val="63346CCA"/>
    <w:rsid w:val="633C51D1"/>
    <w:rsid w:val="63D73A51"/>
    <w:rsid w:val="63DA0389"/>
    <w:rsid w:val="64392667"/>
    <w:rsid w:val="64AB6D5D"/>
    <w:rsid w:val="66CF2A00"/>
    <w:rsid w:val="672C3AA3"/>
    <w:rsid w:val="6769575B"/>
    <w:rsid w:val="67DF4938"/>
    <w:rsid w:val="684B2678"/>
    <w:rsid w:val="68BB2521"/>
    <w:rsid w:val="69FB6F8B"/>
    <w:rsid w:val="6A0755C6"/>
    <w:rsid w:val="6AFF1609"/>
    <w:rsid w:val="6D22206E"/>
    <w:rsid w:val="6E4D5518"/>
    <w:rsid w:val="6FFB164C"/>
    <w:rsid w:val="7259666F"/>
    <w:rsid w:val="7297310A"/>
    <w:rsid w:val="734320B2"/>
    <w:rsid w:val="73B64560"/>
    <w:rsid w:val="73BF9151"/>
    <w:rsid w:val="753FB5C1"/>
    <w:rsid w:val="77932CEF"/>
    <w:rsid w:val="77B43FFD"/>
    <w:rsid w:val="77EF232E"/>
    <w:rsid w:val="782923A2"/>
    <w:rsid w:val="796E361D"/>
    <w:rsid w:val="7A0E0601"/>
    <w:rsid w:val="7A7725EE"/>
    <w:rsid w:val="7A9F4A12"/>
    <w:rsid w:val="7BA1691D"/>
    <w:rsid w:val="7BBB6F8D"/>
    <w:rsid w:val="7CFE870A"/>
    <w:rsid w:val="7DBC6F2B"/>
    <w:rsid w:val="7DEF9394"/>
    <w:rsid w:val="7DF0169F"/>
    <w:rsid w:val="7E726AF9"/>
    <w:rsid w:val="7E9CE57A"/>
    <w:rsid w:val="7EF7F6CF"/>
    <w:rsid w:val="7F363412"/>
    <w:rsid w:val="7F4A7872"/>
    <w:rsid w:val="7FEFE20F"/>
    <w:rsid w:val="8F9FE3C8"/>
    <w:rsid w:val="A4DFE6C6"/>
    <w:rsid w:val="A7DF4C72"/>
    <w:rsid w:val="AAEF8858"/>
    <w:rsid w:val="B7EFAD09"/>
    <w:rsid w:val="BDBB61BA"/>
    <w:rsid w:val="BFAE6419"/>
    <w:rsid w:val="CFD76CBF"/>
    <w:rsid w:val="D37682EF"/>
    <w:rsid w:val="DB6DC6EB"/>
    <w:rsid w:val="DBBE960B"/>
    <w:rsid w:val="DFDAB364"/>
    <w:rsid w:val="E7FF129B"/>
    <w:rsid w:val="ED5E45DB"/>
    <w:rsid w:val="EDAFA060"/>
    <w:rsid w:val="EF6F9FBD"/>
    <w:rsid w:val="F2F3B325"/>
    <w:rsid w:val="F5EDCA59"/>
    <w:rsid w:val="F9FFE8FE"/>
    <w:rsid w:val="FAFF36BB"/>
    <w:rsid w:val="FBBF42D3"/>
    <w:rsid w:val="FBBFCF56"/>
    <w:rsid w:val="FBF91838"/>
    <w:rsid w:val="FBFDC87F"/>
    <w:rsid w:val="FDB3291C"/>
    <w:rsid w:val="FDF4ABA3"/>
    <w:rsid w:val="FDF8FDFA"/>
    <w:rsid w:val="FDF9454E"/>
    <w:rsid w:val="FEBE88E7"/>
    <w:rsid w:val="FECEE111"/>
    <w:rsid w:val="FEFD2FB9"/>
    <w:rsid w:val="FFEE8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line="560" w:lineRule="exact"/>
      <w:ind w:firstLine="880" w:firstLineChars="200"/>
    </w:pPr>
    <w:rPr>
      <w:rFonts w:ascii="仿宋_GB2312" w:hAnsi="仿宋_GB2312" w:eastAsia="仿宋_GB2312" w:cs="Times New Roman"/>
      <w:sz w:val="32"/>
      <w:szCs w:val="24"/>
    </w:rPr>
  </w:style>
  <w:style w:type="paragraph" w:styleId="4">
    <w:name w:val="annotation text"/>
    <w:basedOn w:val="1"/>
    <w:qFormat/>
    <w:uiPriority w:val="0"/>
    <w:pPr>
      <w:jc w:val="left"/>
    </w:pPr>
    <w:rPr>
      <w:rFonts w:ascii="Calibri" w:hAnsi="Calibri"/>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Autospacing="1" w:afterAutospacing="1"/>
      <w:jc w:val="left"/>
    </w:pPr>
    <w:rPr>
      <w:rFonts w:ascii="Calibri" w:hAnsi="Calibri"/>
      <w:kern w:val="0"/>
      <w:sz w:val="24"/>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character" w:styleId="15">
    <w:name w:val="annotation reference"/>
    <w:qFormat/>
    <w:uiPriority w:val="0"/>
    <w:rPr>
      <w:sz w:val="21"/>
      <w:szCs w:val="21"/>
    </w:rPr>
  </w:style>
  <w:style w:type="character" w:customStyle="1" w:styleId="16">
    <w:name w:val="批注框文本 字符"/>
    <w:link w:val="5"/>
    <w:qFormat/>
    <w:uiPriority w:val="0"/>
    <w:rPr>
      <w:kern w:val="2"/>
      <w:sz w:val="18"/>
      <w:szCs w:val="18"/>
    </w:rPr>
  </w:style>
  <w:style w:type="character" w:customStyle="1" w:styleId="17">
    <w:name w:val="标题 3 字符1"/>
    <w:qFormat/>
    <w:uiPriority w:val="9"/>
    <w:rPr>
      <w:rFonts w:ascii="公文小标宋简" w:eastAsia="公文小标宋简"/>
      <w:sz w:val="44"/>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表格"/>
    <w:basedOn w:val="1"/>
    <w:qFormat/>
    <w:uiPriority w:val="0"/>
    <w:pPr>
      <w:spacing w:line="240" w:lineRule="auto"/>
      <w:ind w:firstLine="0" w:firstLineChars="0"/>
      <w:jc w:val="center"/>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1166</Words>
  <Characters>440</Characters>
  <Lines>3</Lines>
  <Paragraphs>3</Paragraphs>
  <TotalTime>0</TotalTime>
  <ScaleCrop>false</ScaleCrop>
  <LinksUpToDate>false</LinksUpToDate>
  <CharactersWithSpaces>1603</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huawei</cp:lastModifiedBy>
  <cp:lastPrinted>2023-10-23T22:20:00Z</cp:lastPrinted>
  <dcterms:modified xsi:type="dcterms:W3CDTF">2025-01-03T11:52:19Z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F38FA34701864BE8B7AC67245B39429D</vt:lpwstr>
  </property>
</Properties>
</file>