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bCs/>
          <w:color w:val="auto"/>
          <w:sz w:val="44"/>
          <w:szCs w:val="44"/>
        </w:rPr>
      </w:pPr>
      <w:r>
        <w:rPr>
          <w:rFonts w:hint="eastAsia" w:ascii="方正小标宋简体" w:eastAsia="方正小标宋简体"/>
          <w:bCs/>
          <w:color w:val="auto"/>
          <w:sz w:val="44"/>
          <w:szCs w:val="44"/>
        </w:rPr>
        <w:t>深圳市光明区众创空间管理暂行办法</w:t>
      </w:r>
    </w:p>
    <w:p>
      <w:pPr>
        <w:spacing w:line="560" w:lineRule="exact"/>
        <w:jc w:val="center"/>
        <w:rPr>
          <w:rFonts w:ascii="方正小标宋简体" w:eastAsia="方正小标宋简体"/>
          <w:bCs/>
          <w:color w:val="auto"/>
          <w:sz w:val="44"/>
          <w:szCs w:val="44"/>
        </w:rPr>
      </w:pPr>
      <w:r>
        <w:rPr>
          <w:rFonts w:hint="eastAsia" w:ascii="方正小标宋简体" w:eastAsia="方正小标宋简体"/>
          <w:bCs/>
          <w:color w:val="auto"/>
          <w:sz w:val="44"/>
          <w:szCs w:val="44"/>
        </w:rPr>
        <w:t>（征求意见稿）</w:t>
      </w:r>
      <w:bookmarkStart w:id="0" w:name="_GoBack"/>
      <w:bookmarkEnd w:id="0"/>
    </w:p>
    <w:p>
      <w:pPr>
        <w:spacing w:line="560" w:lineRule="exact"/>
        <w:rPr>
          <w:color w:val="auto"/>
        </w:rPr>
      </w:pPr>
    </w:p>
    <w:p>
      <w:pPr>
        <w:spacing w:line="560" w:lineRule="exact"/>
        <w:jc w:val="center"/>
        <w:rPr>
          <w:rFonts w:ascii="黑体" w:hAnsi="黑体" w:eastAsia="黑体" w:cs="黑体"/>
          <w:color w:val="auto"/>
        </w:rPr>
      </w:pPr>
      <w:r>
        <w:rPr>
          <w:rFonts w:hint="eastAsia" w:ascii="黑体" w:hAnsi="黑体" w:eastAsia="黑体" w:cs="黑体"/>
          <w:color w:val="auto"/>
        </w:rPr>
        <w:t>第一章  总  则</w:t>
      </w:r>
    </w:p>
    <w:p>
      <w:pPr>
        <w:spacing w:line="560" w:lineRule="exact"/>
        <w:ind w:firstLine="640" w:firstLineChars="200"/>
        <w:rPr>
          <w:color w:val="auto"/>
        </w:rPr>
      </w:pPr>
      <w:r>
        <w:rPr>
          <w:rFonts w:hint="eastAsia" w:ascii="楷体_GB2312" w:hAnsi="仿宋" w:eastAsia="楷体_GB2312" w:cs="仿宋"/>
          <w:color w:val="auto"/>
        </w:rPr>
        <w:t xml:space="preserve">第一条 </w:t>
      </w:r>
      <w:r>
        <w:rPr>
          <w:rFonts w:hint="eastAsia"/>
          <w:color w:val="auto"/>
        </w:rPr>
        <w:t xml:space="preserve"> 为贯彻落实《国务院办公厅关于加快众创空间发展服务实体经济转型升级的指导意见》（国办发〔2016〕7号）以及《关于促进科技创新的若干措施》(深发〔2016〕7号)精神，努力营造良好的创新创业生态环境，激发大众创造活力，形成创业主体大众化、孵化主体多元化、建设运营市场化、创业模式多样化的发展新格局，打造光明区经济发展新引擎，结合光明区实际，制定本办法。</w:t>
      </w:r>
    </w:p>
    <w:p>
      <w:pPr>
        <w:spacing w:line="560" w:lineRule="exact"/>
        <w:ind w:firstLine="640" w:firstLineChars="200"/>
        <w:rPr>
          <w:color w:val="auto"/>
        </w:rPr>
      </w:pPr>
      <w:r>
        <w:rPr>
          <w:rFonts w:hint="eastAsia" w:ascii="楷体_GB2312" w:hAnsi="仿宋" w:eastAsia="楷体_GB2312" w:cs="仿宋"/>
          <w:color w:val="auto"/>
        </w:rPr>
        <w:t>第二条</w:t>
      </w:r>
      <w:r>
        <w:rPr>
          <w:rFonts w:hint="eastAsia"/>
          <w:color w:val="auto"/>
        </w:rPr>
        <w:t xml:space="preserve">  本办法所指众创空间是依托广泛的社会资源，为创新创业者提供低成本、便利化的工作空间、网络空间、社交空间和资源共享空间，通过创新与创业、孵化与投资相结合，以专业服务推动创新创业者应用新技术、开发新产品、开拓新市场、培育新业态的各类科技创新创业场所。</w:t>
      </w:r>
    </w:p>
    <w:p>
      <w:pPr>
        <w:spacing w:line="560" w:lineRule="exact"/>
        <w:ind w:firstLine="640" w:firstLineChars="200"/>
        <w:rPr>
          <w:color w:val="auto"/>
        </w:rPr>
      </w:pPr>
      <w:r>
        <w:rPr>
          <w:rFonts w:hint="eastAsia" w:ascii="楷体_GB2312" w:hAnsi="仿宋" w:eastAsia="楷体_GB2312" w:cs="仿宋"/>
          <w:color w:val="auto"/>
        </w:rPr>
        <w:t>第三条</w:t>
      </w:r>
      <w:r>
        <w:rPr>
          <w:rFonts w:hint="eastAsia"/>
          <w:color w:val="auto"/>
        </w:rPr>
        <w:t xml:space="preserve">  支持鼓励企业、科研院所、高校、投资机构、行业组织等社会力量在光明区投资建设或管理运营众创空间，优化配置技术、装备、资本、市场等创新资源，与中小微企业、各类创客群体有机结合，为科技型创新创业提供专业化服务。</w:t>
      </w:r>
    </w:p>
    <w:p>
      <w:pPr>
        <w:spacing w:line="560" w:lineRule="exact"/>
        <w:ind w:firstLine="640" w:firstLineChars="200"/>
        <w:rPr>
          <w:rFonts w:ascii="黑体" w:hAnsi="黑体" w:eastAsia="黑体" w:cs="黑体"/>
          <w:color w:val="auto"/>
        </w:rPr>
      </w:pPr>
      <w:r>
        <w:rPr>
          <w:rFonts w:hint="eastAsia" w:ascii="楷体_GB2312" w:hAnsi="仿宋" w:eastAsia="楷体_GB2312" w:cs="仿宋"/>
          <w:color w:val="auto"/>
        </w:rPr>
        <w:t>第四条</w:t>
      </w:r>
      <w:r>
        <w:rPr>
          <w:rFonts w:hint="eastAsia"/>
          <w:color w:val="auto"/>
        </w:rPr>
        <w:t xml:space="preserve">  光明区科技创新局负责光明区众创空间的申请与认定、管理与绩效评估等工作。众创空间的认定以区人民政府审定同意为准。</w:t>
      </w:r>
    </w:p>
    <w:p>
      <w:pPr>
        <w:spacing w:line="560" w:lineRule="exact"/>
        <w:jc w:val="center"/>
        <w:rPr>
          <w:rFonts w:ascii="黑体" w:hAnsi="黑体" w:eastAsia="黑体" w:cs="黑体"/>
          <w:color w:val="auto"/>
        </w:rPr>
      </w:pPr>
      <w:r>
        <w:rPr>
          <w:rFonts w:hint="eastAsia" w:ascii="黑体" w:hAnsi="黑体" w:eastAsia="黑体" w:cs="黑体"/>
          <w:color w:val="auto"/>
        </w:rPr>
        <w:t>第二章  众创空间申请认定与资助</w:t>
      </w:r>
    </w:p>
    <w:p>
      <w:pPr>
        <w:pStyle w:val="7"/>
        <w:widowControl/>
        <w:spacing w:before="0" w:after="0" w:line="560" w:lineRule="exact"/>
        <w:ind w:firstLine="640" w:firstLineChars="200"/>
        <w:jc w:val="both"/>
        <w:rPr>
          <w:rFonts w:ascii="仿宋_GB2312" w:eastAsia="仿宋_GB2312"/>
          <w:color w:val="auto"/>
          <w:kern w:val="2"/>
          <w:sz w:val="32"/>
          <w:szCs w:val="32"/>
        </w:rPr>
      </w:pPr>
      <w:r>
        <w:rPr>
          <w:rFonts w:hint="eastAsia" w:ascii="楷体_GB2312" w:hAnsi="仿宋" w:eastAsia="楷体_GB2312" w:cs="仿宋"/>
          <w:color w:val="auto"/>
          <w:kern w:val="2"/>
          <w:sz w:val="32"/>
          <w:szCs w:val="32"/>
        </w:rPr>
        <w:t>第五条</w:t>
      </w:r>
      <w:r>
        <w:rPr>
          <w:rFonts w:hint="eastAsia" w:ascii="仿宋_GB2312" w:eastAsia="仿宋_GB2312"/>
          <w:color w:val="auto"/>
          <w:sz w:val="32"/>
          <w:szCs w:val="32"/>
        </w:rPr>
        <w:t xml:space="preserve">  区级</w:t>
      </w:r>
      <w:r>
        <w:rPr>
          <w:rFonts w:hint="eastAsia" w:ascii="仿宋_GB2312" w:eastAsia="仿宋_GB2312"/>
          <w:color w:val="auto"/>
          <w:kern w:val="2"/>
          <w:sz w:val="32"/>
          <w:szCs w:val="32"/>
        </w:rPr>
        <w:t>众创空间申请基本条件：</w:t>
      </w:r>
    </w:p>
    <w:p>
      <w:pPr>
        <w:pStyle w:val="7"/>
        <w:widowControl/>
        <w:spacing w:before="0" w:after="0"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（一）空间发展方向与定位明确，项目来源清晰并具备可持续发展的能力；所在行业符合</w:t>
      </w:r>
      <w:r>
        <w:rPr>
          <w:rFonts w:ascii="仿宋_GB2312" w:hAnsi="宋体" w:eastAsia="仿宋_GB2312" w:cs="宋体"/>
          <w:color w:val="auto"/>
          <w:kern w:val="2"/>
          <w:sz w:val="32"/>
          <w:szCs w:val="32"/>
          <w:shd w:val="clear" w:color="auto" w:fill="auto"/>
        </w:rPr>
        <w:t>《深圳市关于进一步加快发展战略性新兴产业的实施方案》</w:t>
      </w:r>
      <w:r>
        <w:rPr>
          <w:rFonts w:hint="eastAsia" w:ascii="仿宋_GB2312" w:hAnsi="宋体" w:eastAsia="仿宋_GB2312" w:cs="宋体"/>
          <w:color w:val="auto"/>
          <w:kern w:val="2"/>
          <w:sz w:val="32"/>
          <w:szCs w:val="32"/>
          <w:shd w:val="clear" w:color="auto" w:fill="auto"/>
        </w:rPr>
        <w:t>（</w:t>
      </w:r>
      <w:r>
        <w:rPr>
          <w:rFonts w:hint="eastAsia" w:ascii="仿宋_GB2312" w:hAnsi="宋体" w:eastAsia="仿宋_GB2312" w:cs="宋体"/>
          <w:color w:val="auto"/>
          <w:kern w:val="2"/>
          <w:sz w:val="32"/>
          <w:szCs w:val="32"/>
          <w:shd w:val="clear" w:color="auto" w:fill="auto"/>
        </w:rPr>
        <w:t>深府〔</w:t>
      </w:r>
      <w:r>
        <w:rPr>
          <w:rFonts w:ascii="仿宋_GB2312" w:hAnsi="宋体" w:eastAsia="仿宋_GB2312" w:cs="宋体"/>
          <w:color w:val="auto"/>
          <w:kern w:val="2"/>
          <w:sz w:val="32"/>
          <w:szCs w:val="32"/>
          <w:shd w:val="clear" w:color="auto" w:fill="auto"/>
        </w:rPr>
        <w:t>2018〕84号</w:t>
      </w:r>
      <w:r>
        <w:rPr>
          <w:rFonts w:hint="eastAsia" w:ascii="仿宋_GB2312" w:hAnsi="宋体" w:eastAsia="仿宋_GB2312" w:cs="宋体"/>
          <w:color w:val="auto"/>
          <w:kern w:val="2"/>
          <w:sz w:val="32"/>
          <w:szCs w:val="32"/>
          <w:shd w:val="clear" w:color="auto" w:fill="auto"/>
        </w:rPr>
        <w:t>）</w:t>
      </w:r>
      <w:r>
        <w:rPr>
          <w:rFonts w:hint="eastAsia" w:ascii="仿宋_GB2312" w:eastAsia="仿宋_GB2312"/>
          <w:color w:val="auto"/>
          <w:kern w:val="2"/>
          <w:sz w:val="32"/>
          <w:szCs w:val="32"/>
        </w:rPr>
        <w:t>要求及产业发展导向，鼓励支持</w:t>
      </w:r>
      <w:r>
        <w:rPr>
          <w:rStyle w:val="9"/>
          <w:rFonts w:hint="eastAsia" w:ascii="仿宋_GB2312" w:hAnsi="仿宋_GB2312" w:eastAsia="仿宋_GB2312" w:cs="仿宋_GB2312"/>
          <w:bCs/>
          <w:color w:val="auto"/>
          <w:kern w:val="2"/>
          <w:sz w:val="32"/>
          <w:szCs w:val="32"/>
          <w:highlight w:val="none"/>
          <w:shd w:val="clear" w:color="auto" w:fill="FFFFFF"/>
        </w:rPr>
        <w:t>新一代信息技术、高端装备制造、绿色低碳、生物医药、数字经济、新材料、海洋经济</w:t>
      </w:r>
      <w:r>
        <w:rPr>
          <w:rFonts w:hint="eastAsia" w:ascii="仿宋_GB2312" w:eastAsia="仿宋_GB2312"/>
          <w:color w:val="auto"/>
          <w:kern w:val="2"/>
          <w:sz w:val="32"/>
          <w:szCs w:val="32"/>
          <w:highlight w:val="none"/>
        </w:rPr>
        <w:t>等战略</w:t>
      </w:r>
      <w:r>
        <w:rPr>
          <w:rFonts w:hint="eastAsia" w:ascii="仿宋_GB2312" w:eastAsia="仿宋_GB2312"/>
          <w:color w:val="auto"/>
          <w:kern w:val="2"/>
          <w:sz w:val="32"/>
          <w:szCs w:val="32"/>
          <w:highlight w:val="none"/>
          <w:lang w:eastAsia="zh-CN"/>
        </w:rPr>
        <w:t>性</w:t>
      </w:r>
      <w:r>
        <w:rPr>
          <w:rFonts w:hint="eastAsia" w:ascii="仿宋_GB2312" w:eastAsia="仿宋_GB2312"/>
          <w:color w:val="auto"/>
          <w:kern w:val="2"/>
          <w:sz w:val="32"/>
          <w:szCs w:val="32"/>
          <w:highlight w:val="none"/>
        </w:rPr>
        <w:t>新兴产业，具备可持</w:t>
      </w:r>
      <w:r>
        <w:rPr>
          <w:rFonts w:hint="eastAsia" w:ascii="仿宋_GB2312" w:eastAsia="仿宋_GB2312"/>
          <w:color w:val="auto"/>
          <w:kern w:val="2"/>
          <w:sz w:val="32"/>
          <w:szCs w:val="32"/>
        </w:rPr>
        <w:t>续发展的能力；</w:t>
      </w:r>
    </w:p>
    <w:p>
      <w:pPr>
        <w:pStyle w:val="7"/>
        <w:widowControl/>
        <w:spacing w:before="0" w:after="0" w:line="560" w:lineRule="exact"/>
        <w:ind w:firstLine="640" w:firstLineChars="200"/>
        <w:jc w:val="both"/>
        <w:rPr>
          <w:rFonts w:ascii="仿宋_GB2312" w:eastAsia="仿宋_GB2312"/>
          <w:color w:val="auto"/>
          <w:kern w:val="2"/>
          <w:sz w:val="32"/>
          <w:szCs w:val="32"/>
          <w:highlight w:val="darkGray"/>
        </w:rPr>
      </w:pPr>
      <w:r>
        <w:rPr>
          <w:rFonts w:hint="eastAsia" w:ascii="仿宋_GB2312" w:eastAsia="仿宋_GB2312"/>
          <w:color w:val="auto"/>
          <w:kern w:val="2"/>
          <w:sz w:val="32"/>
          <w:szCs w:val="32"/>
        </w:rPr>
        <w:t>（二）众创空间运营管理机构应为注册地、纳税地、统计关系所在地均在光明区的独立法人机构，具有固定的办公场所（产权明晰）且无重大违法违纪行为；</w:t>
      </w:r>
    </w:p>
    <w:p>
      <w:pPr>
        <w:pStyle w:val="7"/>
        <w:widowControl/>
        <w:spacing w:before="0" w:after="0"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三）具备完善的运营管理制度，包括项目遴选、毕业或淘汰机制、信息管理和创业导师工作机制等。配备有专职的创客服务团队，服务团队和主要负责人要具备一定行业背景、经历和相关行业资源，服务人员的知识结构、综合素质、业务技能和服务能力能够满足大众创新创业的服务需求；</w:t>
      </w:r>
    </w:p>
    <w:p>
      <w:pPr>
        <w:pStyle w:val="7"/>
        <w:widowControl/>
        <w:spacing w:before="0" w:after="0"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四）具备完善的服务设施，符合消防、环保和安全生产有关要求，能够为创新创业者提供一定面积的办公空间，提供免费或低成本的办公条件，提供创业工位20个以上。可自主支配的场地面积应在200平方米以上（含200平方米），属租赁场地的，有效租期应不少于3年；</w:t>
      </w:r>
    </w:p>
    <w:p>
      <w:pPr>
        <w:pStyle w:val="7"/>
        <w:widowControl/>
        <w:spacing w:before="0" w:after="0"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五）具有完善的服务体系，建立开放式互联网线上平台，整合内外部创新创业资源，开展创业辅导、对接交流、投资路演等多元化线上线下活动，实现资源共享和有效利用。具备为入驻的创客企业、创客团队和个人创客提供网络、会议室等相关配套服务的能力；</w:t>
      </w:r>
    </w:p>
    <w:p>
      <w:pPr>
        <w:pStyle w:val="7"/>
        <w:widowControl/>
        <w:spacing w:before="0" w:after="0"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（六）具备创业投融资服务功能，具备与天使投资人、创业投资机构合作的能力，完善投融资模式，吸引社会资本投资初创企业；</w:t>
      </w:r>
    </w:p>
    <w:p>
      <w:pPr>
        <w:pStyle w:val="7"/>
        <w:widowControl/>
        <w:spacing w:before="0" w:after="0"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（七）聚集与自身场地和服务条件相匹配的一定数量的个人创客、创业团队和创业企业，众创空间已入驻创客企业或创客团队达到20家以上，其中创客企业所在比例不低于50%。</w:t>
      </w:r>
    </w:p>
    <w:p>
      <w:pPr>
        <w:pStyle w:val="7"/>
        <w:widowControl/>
        <w:spacing w:before="0" w:after="0" w:line="560" w:lineRule="exact"/>
        <w:ind w:firstLine="640" w:firstLineChars="200"/>
        <w:jc w:val="both"/>
        <w:rPr>
          <w:rFonts w:ascii="仿宋_GB2312" w:eastAsia="仿宋_GB2312"/>
          <w:color w:val="auto"/>
          <w:kern w:val="2"/>
          <w:sz w:val="32"/>
          <w:szCs w:val="32"/>
        </w:rPr>
      </w:pPr>
      <w:r>
        <w:rPr>
          <w:rFonts w:hint="eastAsia" w:ascii="楷体_GB2312" w:hAnsi="仿宋" w:eastAsia="楷体_GB2312" w:cs="仿宋"/>
          <w:color w:val="auto"/>
          <w:kern w:val="2"/>
          <w:sz w:val="32"/>
          <w:szCs w:val="32"/>
        </w:rPr>
        <w:t>第六条</w:t>
      </w:r>
      <w:r>
        <w:rPr>
          <w:rFonts w:hint="eastAsia" w:ascii="仿宋_GB2312" w:eastAsia="仿宋_GB2312"/>
          <w:color w:val="auto"/>
          <w:sz w:val="32"/>
          <w:szCs w:val="32"/>
        </w:rPr>
        <w:t xml:space="preserve">  区级</w:t>
      </w:r>
      <w:r>
        <w:rPr>
          <w:rFonts w:hint="eastAsia" w:ascii="仿宋_GB2312" w:eastAsia="仿宋_GB2312"/>
          <w:color w:val="auto"/>
          <w:kern w:val="2"/>
          <w:sz w:val="32"/>
          <w:szCs w:val="32"/>
        </w:rPr>
        <w:t>众创空间申报资料：</w:t>
      </w:r>
    </w:p>
    <w:p>
      <w:pPr>
        <w:pStyle w:val="7"/>
        <w:widowControl/>
        <w:spacing w:before="0" w:after="0"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（一）《深圳市光明区众创空间认定申请书》（需加盖公章）；</w:t>
      </w:r>
    </w:p>
    <w:p>
      <w:pPr>
        <w:pStyle w:val="7"/>
        <w:widowControl/>
        <w:spacing w:before="0" w:after="0"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二）众创空间运营管理机构企业营业执照、组织机构代码证和税务登记证复印件,事业单位提交法人登记证书复印件，社会组织提交社会团体法人登记证书复印件（如已办理三证合一的，仅提供营业执照复印件，需加盖公章，需验原件）；</w:t>
      </w:r>
    </w:p>
    <w:p>
      <w:pPr>
        <w:pStyle w:val="7"/>
        <w:widowControl/>
        <w:spacing w:before="0" w:after="0"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（三）众创空间运营管理机构法定代表人身份证复印件</w:t>
      </w:r>
      <w:r>
        <w:rPr>
          <w:rFonts w:hint="eastAsia" w:ascii="仿宋_GB2312" w:eastAsia="仿宋_GB2312"/>
          <w:color w:val="auto"/>
          <w:kern w:val="2"/>
          <w:sz w:val="32"/>
          <w:szCs w:val="32"/>
        </w:rPr>
        <w:t>、法定代表人身份证明书（需加盖公章）；</w:t>
      </w:r>
    </w:p>
    <w:p>
      <w:pPr>
        <w:pStyle w:val="7"/>
        <w:widowControl/>
        <w:spacing w:before="0" w:after="0"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（四）众创空间自有物业产权证明或租赁合同或其他有效产权证明资料复印件（需加盖公章，需验原件）；</w:t>
      </w:r>
    </w:p>
    <w:p>
      <w:pPr>
        <w:pStyle w:val="7"/>
        <w:widowControl/>
        <w:spacing w:before="0" w:after="0"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（五）众创空间建筑平面图复印件（需加盖公章，需验原件）；</w:t>
      </w:r>
    </w:p>
    <w:p>
      <w:pPr>
        <w:pStyle w:val="7"/>
        <w:widowControl/>
        <w:spacing w:before="0" w:after="0"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（六）众创空间运营管理方案（需加盖公章）；</w:t>
      </w:r>
    </w:p>
    <w:p>
      <w:pPr>
        <w:pStyle w:val="7"/>
        <w:widowControl/>
        <w:spacing w:before="0" w:after="0" w:line="560" w:lineRule="exact"/>
        <w:ind w:firstLine="640" w:firstLineChars="200"/>
        <w:jc w:val="both"/>
        <w:rPr>
          <w:rFonts w:hint="eastAsia" w:ascii="仿宋_GB2312" w:eastAsia="仿宋_GB2312"/>
          <w:color w:val="auto"/>
          <w:kern w:val="2"/>
          <w:sz w:val="32"/>
          <w:szCs w:val="32"/>
        </w:rPr>
      </w:pPr>
      <w:r>
        <w:rPr>
          <w:rFonts w:hint="eastAsia" w:ascii="仿宋_GB2312" w:eastAsia="仿宋_GB2312"/>
          <w:color w:val="auto"/>
          <w:kern w:val="2"/>
          <w:sz w:val="32"/>
          <w:szCs w:val="32"/>
        </w:rPr>
        <w:t>（七）众创空间可行性报告（需加盖公章）；</w:t>
      </w:r>
    </w:p>
    <w:p>
      <w:pPr>
        <w:pStyle w:val="7"/>
        <w:widowControl/>
        <w:spacing w:before="0" w:after="0"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lang w:eastAsia="zh-CN"/>
        </w:rPr>
        <w:t>（八）</w:t>
      </w:r>
      <w:r>
        <w:rPr>
          <w:rFonts w:hint="eastAsia" w:ascii="仿宋_GB2312" w:eastAsia="仿宋_GB2312"/>
          <w:color w:val="auto"/>
          <w:kern w:val="2"/>
          <w:sz w:val="32"/>
          <w:szCs w:val="32"/>
        </w:rPr>
        <w:t>众创空间入驻创客明细清单（需加盖公章）</w:t>
      </w:r>
      <w:r>
        <w:rPr>
          <w:rFonts w:hint="eastAsia" w:ascii="仿宋_GB2312" w:eastAsia="仿宋_GB2312"/>
          <w:color w:val="auto"/>
          <w:kern w:val="2"/>
          <w:sz w:val="32"/>
          <w:szCs w:val="32"/>
          <w:lang w:eastAsia="zh-CN"/>
        </w:rPr>
        <w:t>；</w:t>
      </w:r>
    </w:p>
    <w:p>
      <w:pPr>
        <w:pStyle w:val="7"/>
        <w:widowControl/>
        <w:spacing w:before="0" w:after="0"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（八）其他相关证明材料（需加盖公章，有需要则验原件）。</w:t>
      </w:r>
    </w:p>
    <w:p>
      <w:pPr>
        <w:pStyle w:val="7"/>
        <w:widowControl/>
        <w:spacing w:before="0" w:after="0" w:line="560" w:lineRule="exact"/>
        <w:ind w:firstLine="640" w:firstLineChars="200"/>
        <w:jc w:val="both"/>
        <w:rPr>
          <w:rFonts w:ascii="仿宋_GB2312" w:eastAsia="仿宋_GB2312"/>
          <w:color w:val="auto"/>
          <w:kern w:val="2"/>
          <w:sz w:val="32"/>
          <w:szCs w:val="32"/>
        </w:rPr>
      </w:pPr>
      <w:r>
        <w:rPr>
          <w:rFonts w:hint="eastAsia" w:ascii="楷体_GB2312" w:hAnsi="仿宋" w:eastAsia="楷体_GB2312" w:cs="仿宋"/>
          <w:color w:val="auto"/>
          <w:kern w:val="2"/>
          <w:sz w:val="32"/>
          <w:szCs w:val="32"/>
        </w:rPr>
        <w:t>第七条</w:t>
      </w:r>
      <w:r>
        <w:rPr>
          <w:rFonts w:hint="eastAsia" w:ascii="仿宋_GB2312" w:eastAsia="仿宋_GB2312"/>
          <w:color w:val="auto"/>
          <w:sz w:val="32"/>
          <w:szCs w:val="32"/>
        </w:rPr>
        <w:t xml:space="preserve">  </w:t>
      </w:r>
      <w:r>
        <w:rPr>
          <w:rFonts w:hint="eastAsia" w:ascii="仿宋_GB2312" w:eastAsia="仿宋_GB2312"/>
          <w:color w:val="auto"/>
          <w:kern w:val="2"/>
          <w:sz w:val="32"/>
          <w:szCs w:val="32"/>
        </w:rPr>
        <w:t>众创空间认定申请常年受理，按照以下程序进行认定：</w:t>
      </w:r>
    </w:p>
    <w:p>
      <w:pPr>
        <w:pStyle w:val="7"/>
        <w:widowControl/>
        <w:spacing w:before="0" w:after="0"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（一）受理申报资料进行初审并进行实地考察；</w:t>
      </w:r>
    </w:p>
    <w:p>
      <w:pPr>
        <w:pStyle w:val="7"/>
        <w:widowControl/>
        <w:numPr>
          <w:ilvl w:val="0"/>
          <w:numId w:val="1"/>
        </w:numPr>
        <w:spacing w:before="0" w:after="0"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组织专家评审；</w:t>
      </w:r>
    </w:p>
    <w:p>
      <w:pPr>
        <w:pStyle w:val="7"/>
        <w:widowControl/>
        <w:spacing w:before="0" w:after="0"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（三）根据专家评审结果征求区财政、安全、环保、卫生、消防等相关职能部门的意见；</w:t>
      </w:r>
    </w:p>
    <w:p>
      <w:pPr>
        <w:pStyle w:val="7"/>
        <w:widowControl/>
        <w:spacing w:before="0" w:after="0"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（四）根据各单位反馈意见提出拟认定方案并提请区科技创新局局长办公会议审议；</w:t>
      </w:r>
    </w:p>
    <w:p>
      <w:pPr>
        <w:pStyle w:val="7"/>
        <w:widowControl/>
        <w:spacing w:before="0" w:after="0"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（五）将会议审议意见报区人民政府审定；</w:t>
      </w:r>
    </w:p>
    <w:p>
      <w:pPr>
        <w:pStyle w:val="7"/>
        <w:widowControl/>
        <w:spacing w:before="0" w:after="0"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（六）对区人民政府审定同意的拟认定众创空间，通过光明区政府在线、区科技创新局网站进行公示，公示期为10个工作日；</w:t>
      </w:r>
    </w:p>
    <w:p>
      <w:pPr>
        <w:pStyle w:val="7"/>
        <w:widowControl/>
        <w:spacing w:before="0" w:after="0" w:line="560" w:lineRule="exact"/>
        <w:ind w:firstLine="640" w:firstLineChars="200"/>
        <w:jc w:val="both"/>
        <w:rPr>
          <w:rFonts w:ascii="仿宋_GB2312" w:eastAsia="仿宋_GB2312"/>
          <w:color w:val="auto"/>
          <w:kern w:val="2"/>
          <w:sz w:val="32"/>
          <w:szCs w:val="32"/>
        </w:rPr>
      </w:pPr>
      <w:r>
        <w:rPr>
          <w:rFonts w:hint="eastAsia" w:ascii="仿宋_GB2312" w:eastAsia="仿宋_GB2312"/>
          <w:color w:val="auto"/>
          <w:kern w:val="2"/>
          <w:sz w:val="32"/>
          <w:szCs w:val="32"/>
        </w:rPr>
        <w:t>（七）公示无异议或异议经核查不成立的，由区科技创新局发文正式认定。</w:t>
      </w:r>
    </w:p>
    <w:p>
      <w:pPr>
        <w:pStyle w:val="7"/>
        <w:widowControl/>
        <w:spacing w:before="0" w:after="0" w:line="560" w:lineRule="exact"/>
        <w:ind w:firstLine="640" w:firstLineChars="200"/>
        <w:jc w:val="both"/>
        <w:rPr>
          <w:rFonts w:ascii="仿宋_GB2312" w:eastAsia="仿宋_GB2312"/>
          <w:color w:val="auto"/>
          <w:kern w:val="2"/>
          <w:sz w:val="32"/>
          <w:szCs w:val="32"/>
        </w:rPr>
      </w:pPr>
      <w:r>
        <w:rPr>
          <w:rFonts w:hint="eastAsia" w:ascii="楷体_GB2312" w:hAnsi="仿宋" w:eastAsia="楷体_GB2312" w:cs="仿宋"/>
          <w:color w:val="auto"/>
          <w:kern w:val="2"/>
          <w:sz w:val="32"/>
          <w:szCs w:val="32"/>
        </w:rPr>
        <w:t>第八条</w:t>
      </w:r>
      <w:r>
        <w:rPr>
          <w:rFonts w:hint="eastAsia" w:ascii="仿宋_GB2312" w:eastAsia="仿宋_GB2312"/>
          <w:color w:val="auto"/>
          <w:sz w:val="32"/>
          <w:szCs w:val="32"/>
        </w:rPr>
        <w:t xml:space="preserve">  </w:t>
      </w:r>
      <w:r>
        <w:rPr>
          <w:rFonts w:hint="eastAsia" w:ascii="仿宋_GB2312" w:eastAsia="仿宋_GB2312"/>
          <w:color w:val="auto"/>
          <w:kern w:val="2"/>
          <w:sz w:val="32"/>
          <w:szCs w:val="32"/>
        </w:rPr>
        <w:t>已被国家、省、市科技部门认定为众创空间的，由区科技创新局报请区人民政府同意后，列入区众创空间。</w:t>
      </w:r>
    </w:p>
    <w:p>
      <w:pPr>
        <w:spacing w:line="560" w:lineRule="exact"/>
        <w:ind w:firstLine="640" w:firstLineChars="200"/>
        <w:rPr>
          <w:rFonts w:ascii="黑体" w:hAnsi="黑体" w:eastAsia="黑体" w:cs="黑体"/>
          <w:color w:val="auto"/>
        </w:rPr>
      </w:pPr>
    </w:p>
    <w:p>
      <w:pPr>
        <w:spacing w:line="560" w:lineRule="exact"/>
        <w:jc w:val="center"/>
        <w:rPr>
          <w:rFonts w:ascii="黑体" w:hAnsi="黑体" w:eastAsia="黑体" w:cs="黑体"/>
          <w:color w:val="auto"/>
        </w:rPr>
      </w:pPr>
      <w:r>
        <w:rPr>
          <w:rFonts w:hint="eastAsia" w:ascii="黑体" w:hAnsi="黑体" w:eastAsia="黑体" w:cs="黑体"/>
          <w:color w:val="auto"/>
        </w:rPr>
        <w:t>第三章  众创空间管理与绩效评估</w:t>
      </w:r>
    </w:p>
    <w:p>
      <w:pPr>
        <w:pStyle w:val="7"/>
        <w:widowControl/>
        <w:spacing w:before="0" w:after="0" w:line="560" w:lineRule="exact"/>
        <w:ind w:firstLine="640" w:firstLineChars="200"/>
        <w:jc w:val="both"/>
        <w:rPr>
          <w:rFonts w:ascii="仿宋" w:hAnsi="仿宋" w:eastAsia="仿宋" w:cs="仿宋"/>
          <w:color w:val="auto"/>
          <w:kern w:val="2"/>
          <w:sz w:val="32"/>
          <w:szCs w:val="32"/>
        </w:rPr>
      </w:pPr>
      <w:r>
        <w:rPr>
          <w:rFonts w:hint="eastAsia" w:ascii="楷体_GB2312" w:hAnsi="仿宋" w:eastAsia="楷体_GB2312" w:cs="仿宋"/>
          <w:color w:val="auto"/>
          <w:kern w:val="2"/>
          <w:sz w:val="32"/>
          <w:szCs w:val="32"/>
        </w:rPr>
        <w:t>第九条</w:t>
      </w:r>
      <w:r>
        <w:rPr>
          <w:rFonts w:hint="eastAsia" w:ascii="仿宋_GB2312" w:eastAsia="仿宋_GB2312"/>
          <w:color w:val="auto"/>
          <w:sz w:val="32"/>
          <w:szCs w:val="32"/>
        </w:rPr>
        <w:t xml:space="preserve">  </w:t>
      </w:r>
      <w:r>
        <w:rPr>
          <w:rFonts w:hint="eastAsia" w:ascii="仿宋_GB2312" w:hAnsi="仿宋" w:eastAsia="仿宋_GB2312" w:cs="仿宋"/>
          <w:color w:val="auto"/>
          <w:kern w:val="2"/>
          <w:sz w:val="32"/>
          <w:szCs w:val="32"/>
        </w:rPr>
        <w:t>已认定的众创空间及其运营管理机构，应依法依规自觉接受区行业主管部门的监督，并接受区科技创新局的指导和考核，加强安全生产、环境保护等方面的管理，履行主体责任，保障众创空间安全有序运营。</w:t>
      </w:r>
    </w:p>
    <w:p>
      <w:pPr>
        <w:pStyle w:val="7"/>
        <w:widowControl/>
        <w:spacing w:before="0" w:after="0" w:line="560" w:lineRule="exact"/>
        <w:ind w:firstLine="640" w:firstLineChars="200"/>
        <w:jc w:val="both"/>
        <w:rPr>
          <w:rFonts w:ascii="仿宋" w:hAnsi="仿宋" w:eastAsia="仿宋" w:cs="仿宋"/>
          <w:color w:val="auto"/>
          <w:kern w:val="2"/>
          <w:sz w:val="32"/>
          <w:szCs w:val="32"/>
        </w:rPr>
      </w:pPr>
      <w:r>
        <w:rPr>
          <w:rFonts w:hint="eastAsia" w:ascii="楷体_GB2312" w:hAnsi="仿宋" w:eastAsia="楷体_GB2312" w:cs="仿宋"/>
          <w:color w:val="auto"/>
          <w:kern w:val="2"/>
          <w:sz w:val="32"/>
          <w:szCs w:val="32"/>
        </w:rPr>
        <w:t>第十条</w:t>
      </w:r>
      <w:r>
        <w:rPr>
          <w:rFonts w:hint="eastAsia" w:ascii="仿宋_GB2312" w:eastAsia="仿宋_GB2312"/>
          <w:color w:val="auto"/>
          <w:sz w:val="32"/>
          <w:szCs w:val="32"/>
        </w:rPr>
        <w:t xml:space="preserve">  </w:t>
      </w:r>
      <w:r>
        <w:rPr>
          <w:rFonts w:hint="eastAsia" w:ascii="仿宋_GB2312" w:hAnsi="仿宋" w:eastAsia="仿宋_GB2312" w:cs="仿宋"/>
          <w:color w:val="auto"/>
          <w:kern w:val="2"/>
          <w:sz w:val="32"/>
          <w:szCs w:val="32"/>
        </w:rPr>
        <w:t>各众创空间应将已入驻或申请入驻众创空间的创客企业、创客团队和个人创客情况及时报送区科技创新局。</w:t>
      </w:r>
    </w:p>
    <w:p>
      <w:pPr>
        <w:pStyle w:val="7"/>
        <w:widowControl/>
        <w:spacing w:before="0" w:after="0" w:line="560" w:lineRule="exact"/>
        <w:ind w:firstLine="640" w:firstLineChars="200"/>
        <w:jc w:val="both"/>
        <w:rPr>
          <w:rFonts w:ascii="仿宋" w:hAnsi="仿宋" w:eastAsia="仿宋" w:cs="仿宋"/>
          <w:color w:val="auto"/>
          <w:kern w:val="2"/>
          <w:sz w:val="32"/>
          <w:szCs w:val="32"/>
        </w:rPr>
      </w:pPr>
      <w:r>
        <w:rPr>
          <w:rFonts w:hint="eastAsia" w:ascii="楷体_GB2312" w:hAnsi="仿宋" w:eastAsia="楷体_GB2312" w:cs="仿宋"/>
          <w:color w:val="auto"/>
          <w:kern w:val="2"/>
          <w:sz w:val="32"/>
          <w:szCs w:val="32"/>
        </w:rPr>
        <w:t>第十一条</w:t>
      </w:r>
      <w:r>
        <w:rPr>
          <w:rFonts w:hint="eastAsia" w:ascii="仿宋_GB2312" w:eastAsia="仿宋_GB2312"/>
          <w:color w:val="auto"/>
          <w:sz w:val="32"/>
          <w:szCs w:val="32"/>
        </w:rPr>
        <w:t xml:space="preserve">  </w:t>
      </w:r>
      <w:r>
        <w:rPr>
          <w:rFonts w:hint="eastAsia" w:ascii="仿宋_GB2312" w:hAnsi="仿宋" w:eastAsia="仿宋_GB2312" w:cs="仿宋"/>
          <w:color w:val="auto"/>
          <w:kern w:val="2"/>
          <w:sz w:val="32"/>
          <w:szCs w:val="32"/>
        </w:rPr>
        <w:t>建立众创空间绩效评估制度。按照公开、透明的原则，区科技创新局对认定满一年的众创空间以现场考察或书面审核的方式实施年度绩效评估。</w:t>
      </w:r>
    </w:p>
    <w:p>
      <w:pPr>
        <w:pStyle w:val="7"/>
        <w:widowControl/>
        <w:spacing w:before="0" w:after="0" w:line="560" w:lineRule="exact"/>
        <w:ind w:firstLine="640" w:firstLineChars="200"/>
        <w:jc w:val="both"/>
        <w:rPr>
          <w:rFonts w:ascii="仿宋_GB2312" w:hAnsi="仿宋" w:eastAsia="仿宋_GB2312" w:cs="仿宋"/>
          <w:color w:val="auto"/>
          <w:kern w:val="2"/>
          <w:sz w:val="32"/>
          <w:szCs w:val="32"/>
        </w:rPr>
      </w:pPr>
      <w:r>
        <w:rPr>
          <w:rFonts w:hint="eastAsia" w:ascii="楷体_GB2312" w:hAnsi="仿宋" w:eastAsia="楷体_GB2312" w:cs="仿宋"/>
          <w:color w:val="auto"/>
          <w:kern w:val="2"/>
          <w:sz w:val="32"/>
          <w:szCs w:val="32"/>
        </w:rPr>
        <w:t>第十二条</w:t>
      </w:r>
      <w:r>
        <w:rPr>
          <w:rFonts w:hint="eastAsia" w:ascii="仿宋_GB2312" w:eastAsia="仿宋_GB2312"/>
          <w:color w:val="auto"/>
          <w:sz w:val="32"/>
          <w:szCs w:val="32"/>
        </w:rPr>
        <w:t xml:space="preserve">  </w:t>
      </w:r>
      <w:r>
        <w:rPr>
          <w:rFonts w:hint="eastAsia" w:ascii="仿宋_GB2312" w:hAnsi="仿宋" w:eastAsia="仿宋_GB2312" w:cs="仿宋"/>
          <w:color w:val="auto"/>
          <w:kern w:val="2"/>
          <w:sz w:val="32"/>
          <w:szCs w:val="32"/>
        </w:rPr>
        <w:t>绩效评估主要内容包括：</w:t>
      </w:r>
    </w:p>
    <w:p>
      <w:pPr>
        <w:pStyle w:val="7"/>
        <w:widowControl/>
        <w:spacing w:before="0" w:after="0" w:line="560" w:lineRule="exact"/>
        <w:ind w:firstLine="640" w:firstLineChars="200"/>
        <w:jc w:val="both"/>
        <w:rPr>
          <w:rFonts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（一）集聚创新创业者情况。成功吸引包括大学生、科技人员等在内的创新创业者以及注册成立创业企业的情况；</w:t>
      </w:r>
    </w:p>
    <w:p>
      <w:pPr>
        <w:pStyle w:val="7"/>
        <w:widowControl/>
        <w:spacing w:before="0" w:after="0" w:line="560" w:lineRule="exact"/>
        <w:ind w:firstLine="640" w:firstLineChars="200"/>
        <w:jc w:val="both"/>
        <w:rPr>
          <w:rFonts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（二）提供创新服务情况。提供研发设计、检验检测、技术成果转移转化等技术创新服务的情况；</w:t>
      </w:r>
    </w:p>
    <w:p>
      <w:pPr>
        <w:pStyle w:val="7"/>
        <w:widowControl/>
        <w:spacing w:before="0" w:after="0" w:line="560" w:lineRule="exact"/>
        <w:ind w:firstLine="640" w:firstLineChars="200"/>
        <w:jc w:val="both"/>
        <w:rPr>
          <w:rFonts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（三）提供创业投融资服务情况。通过与天使投资人、创业投资机构建立合作的方式为创新创业者提供投融资服务的情况；</w:t>
      </w:r>
    </w:p>
    <w:p>
      <w:pPr>
        <w:pStyle w:val="7"/>
        <w:widowControl/>
        <w:spacing w:before="0" w:after="0" w:line="560" w:lineRule="exact"/>
        <w:ind w:firstLine="640" w:firstLineChars="200"/>
        <w:jc w:val="both"/>
        <w:rPr>
          <w:rFonts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四）开展创业教育培训及创新创业活动情况。建立创业导师队伍和创业实训体系，开展各类公益讲堂、创业论坛、创业培育孵化、创业人才培训等活动的情况。举办投资路演、宣传推介、创新创业大赛、双创周等各类创新创业活动的情况，此类大型活动每年至少举办两次，其中创新创业大赛和投资路演主题活动每年至少举办一次；</w:t>
      </w:r>
    </w:p>
    <w:p>
      <w:pPr>
        <w:pStyle w:val="7"/>
        <w:widowControl/>
        <w:spacing w:before="0" w:after="0" w:line="560" w:lineRule="exact"/>
        <w:ind w:firstLine="640" w:firstLineChars="200"/>
        <w:jc w:val="both"/>
        <w:rPr>
          <w:rFonts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（五）强化可持续发展能力建设情况。探索建立市场化的众创空间可持续发展商业模式，建立健全众创空间各项运营管理制度，提升众创空间服务能力和建设发展水平的情况</w:t>
      </w:r>
      <w:r>
        <w:rPr>
          <w:rFonts w:hint="eastAsia" w:ascii="仿宋_GB2312" w:hAnsi="仿宋" w:eastAsia="仿宋_GB2312" w:cs="仿宋"/>
          <w:color w:val="auto"/>
          <w:kern w:val="2"/>
          <w:sz w:val="32"/>
          <w:szCs w:val="32"/>
          <w:lang w:eastAsia="zh-CN"/>
        </w:rPr>
        <w:t>；</w:t>
      </w:r>
    </w:p>
    <w:p>
      <w:pPr>
        <w:pStyle w:val="7"/>
        <w:widowControl/>
        <w:spacing w:before="0" w:after="0" w:line="560" w:lineRule="exact"/>
        <w:ind w:firstLine="640" w:firstLineChars="200"/>
        <w:jc w:val="both"/>
        <w:rPr>
          <w:rFonts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（六）专业领域服务情况。提供符合行业特征专业领域的技术、信息及资源对接等个性化、定制化服务的情况；</w:t>
      </w:r>
    </w:p>
    <w:p>
      <w:pPr>
        <w:pStyle w:val="7"/>
        <w:widowControl/>
        <w:spacing w:before="0" w:after="0" w:line="560" w:lineRule="exact"/>
        <w:ind w:firstLine="640" w:firstLineChars="200"/>
        <w:jc w:val="both"/>
        <w:rPr>
          <w:rFonts w:ascii="仿宋" w:hAnsi="仿宋" w:eastAsia="仿宋" w:cs="仿宋"/>
          <w:color w:val="auto"/>
          <w:kern w:val="2"/>
          <w:sz w:val="32"/>
          <w:szCs w:val="32"/>
        </w:rPr>
      </w:pPr>
      <w:r>
        <w:rPr>
          <w:rFonts w:hint="eastAsia" w:ascii="仿宋_GB2312" w:hAnsi="仿宋" w:eastAsia="仿宋_GB2312" w:cs="仿宋"/>
          <w:color w:val="auto"/>
          <w:kern w:val="2"/>
          <w:sz w:val="32"/>
          <w:szCs w:val="32"/>
        </w:rPr>
        <w:t>（七）其他富有特色的创新创业服务情况。众创空间整合优势资源，创新性地为创新创业者提供有效服务，构筑创业孵化链条，搭建国际创新创业平台，促进众创空间依托主体业务转型升级和持续创新等的情况。</w:t>
      </w:r>
    </w:p>
    <w:p>
      <w:pPr>
        <w:pStyle w:val="7"/>
        <w:widowControl/>
        <w:spacing w:before="0" w:after="0" w:line="560" w:lineRule="exact"/>
        <w:ind w:firstLine="640" w:firstLineChars="200"/>
        <w:jc w:val="both"/>
        <w:rPr>
          <w:rFonts w:ascii="仿宋" w:hAnsi="仿宋" w:eastAsia="仿宋" w:cs="仿宋"/>
          <w:color w:val="auto"/>
          <w:kern w:val="2"/>
          <w:sz w:val="32"/>
          <w:szCs w:val="32"/>
        </w:rPr>
      </w:pPr>
      <w:r>
        <w:rPr>
          <w:rFonts w:hint="eastAsia" w:ascii="楷体_GB2312" w:hAnsi="仿宋" w:eastAsia="楷体_GB2312" w:cs="仿宋"/>
          <w:color w:val="auto"/>
          <w:kern w:val="2"/>
          <w:sz w:val="32"/>
          <w:szCs w:val="32"/>
        </w:rPr>
        <w:t>第十三条</w:t>
      </w:r>
      <w:r>
        <w:rPr>
          <w:rFonts w:hint="eastAsia" w:ascii="仿宋" w:hAnsi="仿宋" w:eastAsia="仿宋" w:cs="仿宋"/>
          <w:color w:val="auto"/>
          <w:kern w:val="2"/>
          <w:sz w:val="32"/>
          <w:szCs w:val="32"/>
        </w:rPr>
        <w:t xml:space="preserve">  </w:t>
      </w:r>
      <w:r>
        <w:rPr>
          <w:rFonts w:hint="eastAsia" w:ascii="仿宋_GB2312" w:hAnsi="仿宋" w:eastAsia="仿宋_GB2312" w:cs="仿宋"/>
          <w:color w:val="auto"/>
          <w:kern w:val="2"/>
          <w:sz w:val="32"/>
          <w:szCs w:val="32"/>
        </w:rPr>
        <w:t>绩效评估程序。参加评估的众创空间应当对照本办法第十</w:t>
      </w:r>
      <w:r>
        <w:rPr>
          <w:rFonts w:hint="eastAsia" w:ascii="仿宋_GB2312" w:hAnsi="仿宋" w:eastAsia="仿宋_GB2312" w:cs="仿宋"/>
          <w:color w:val="auto"/>
          <w:kern w:val="2"/>
          <w:sz w:val="32"/>
          <w:szCs w:val="32"/>
        </w:rPr>
        <w:t>二</w:t>
      </w:r>
      <w:r>
        <w:rPr>
          <w:rFonts w:hint="eastAsia" w:ascii="仿宋_GB2312" w:hAnsi="仿宋" w:eastAsia="仿宋_GB2312" w:cs="仿宋"/>
          <w:color w:val="auto"/>
          <w:kern w:val="2"/>
          <w:sz w:val="32"/>
          <w:szCs w:val="32"/>
        </w:rPr>
        <w:t>条之规定，报送绩效评估自评材料至区科技创新局，由区科技创新局组织专家评审，并公示评估结果。</w:t>
      </w:r>
    </w:p>
    <w:p>
      <w:pPr>
        <w:pStyle w:val="7"/>
        <w:widowControl/>
        <w:spacing w:before="0" w:after="0" w:line="560" w:lineRule="exact"/>
        <w:ind w:firstLine="640" w:firstLineChars="200"/>
        <w:jc w:val="both"/>
        <w:rPr>
          <w:rFonts w:ascii="仿宋" w:hAnsi="仿宋" w:eastAsia="仿宋" w:cs="仿宋"/>
          <w:color w:val="auto"/>
          <w:kern w:val="2"/>
          <w:sz w:val="32"/>
          <w:szCs w:val="32"/>
        </w:rPr>
      </w:pPr>
      <w:r>
        <w:rPr>
          <w:rFonts w:hint="eastAsia" w:ascii="楷体_GB2312" w:hAnsi="仿宋" w:eastAsia="楷体_GB2312" w:cs="仿宋"/>
          <w:color w:val="auto"/>
          <w:kern w:val="2"/>
          <w:sz w:val="32"/>
          <w:szCs w:val="32"/>
        </w:rPr>
        <w:t>第十四条</w:t>
      </w:r>
      <w:r>
        <w:rPr>
          <w:rFonts w:hint="eastAsia" w:ascii="仿宋_GB2312" w:eastAsia="仿宋_GB2312"/>
          <w:color w:val="auto"/>
          <w:sz w:val="32"/>
          <w:szCs w:val="32"/>
        </w:rPr>
        <w:t xml:space="preserve">  </w:t>
      </w:r>
      <w:r>
        <w:rPr>
          <w:rFonts w:hint="eastAsia" w:ascii="仿宋_GB2312" w:hAnsi="仿宋" w:eastAsia="仿宋_GB2312" w:cs="仿宋"/>
          <w:color w:val="auto"/>
          <w:kern w:val="2"/>
          <w:sz w:val="32"/>
          <w:szCs w:val="32"/>
        </w:rPr>
        <w:t>对首次考核不合格的，责令其限期整改；拒不接受考核或考核不合格的，取消当年众创空间资助资格；</w:t>
      </w:r>
      <w:r>
        <w:rPr>
          <w:rFonts w:hint="eastAsia" w:ascii="仿宋_GB2312" w:hAnsi="仿宋" w:eastAsia="仿宋_GB2312" w:cs="仿宋"/>
          <w:color w:val="auto"/>
          <w:kern w:val="2"/>
          <w:sz w:val="32"/>
          <w:szCs w:val="32"/>
        </w:rPr>
        <w:t>连续两年考核不合格的，自动取消众创空间认定</w:t>
      </w:r>
      <w:r>
        <w:rPr>
          <w:rFonts w:hint="eastAsia" w:ascii="仿宋_GB2312" w:hAnsi="仿宋" w:eastAsia="仿宋_GB2312" w:cs="仿宋"/>
          <w:color w:val="auto"/>
          <w:kern w:val="2"/>
          <w:sz w:val="32"/>
          <w:szCs w:val="32"/>
        </w:rPr>
        <w:t>。</w:t>
      </w:r>
    </w:p>
    <w:p>
      <w:pPr>
        <w:pStyle w:val="7"/>
        <w:widowControl/>
        <w:spacing w:before="0" w:after="0" w:line="560" w:lineRule="exact"/>
        <w:ind w:firstLine="640" w:firstLineChars="200"/>
        <w:jc w:val="both"/>
        <w:rPr>
          <w:rFonts w:ascii="仿宋_GB2312" w:hAnsi="仿宋" w:eastAsia="仿宋_GB2312" w:cs="仿宋"/>
          <w:color w:val="auto"/>
          <w:kern w:val="2"/>
          <w:sz w:val="32"/>
          <w:szCs w:val="32"/>
        </w:rPr>
      </w:pPr>
      <w:r>
        <w:rPr>
          <w:rFonts w:hint="eastAsia" w:ascii="楷体_GB2312" w:hAnsi="仿宋" w:eastAsia="楷体_GB2312" w:cs="仿宋"/>
          <w:color w:val="auto"/>
          <w:kern w:val="2"/>
          <w:sz w:val="32"/>
          <w:szCs w:val="32"/>
        </w:rPr>
        <w:t>第十五条</w:t>
      </w:r>
      <w:r>
        <w:rPr>
          <w:rFonts w:hint="eastAsia" w:ascii="仿宋" w:hAnsi="仿宋" w:eastAsia="仿宋" w:cs="仿宋"/>
          <w:color w:val="auto"/>
          <w:kern w:val="2"/>
          <w:sz w:val="32"/>
          <w:szCs w:val="32"/>
        </w:rPr>
        <w:t xml:space="preserve">  </w:t>
      </w:r>
      <w:r>
        <w:rPr>
          <w:rFonts w:hint="eastAsia" w:ascii="仿宋_GB2312" w:hAnsi="仿宋" w:eastAsia="仿宋_GB2312" w:cs="仿宋"/>
          <w:color w:val="auto"/>
          <w:kern w:val="2"/>
          <w:sz w:val="32"/>
          <w:szCs w:val="32"/>
        </w:rPr>
        <w:t xml:space="preserve">经认定的众创空间在运营期间发生以下变更情形的，应在5-10个工作日内将变更情况汇报至区科技创新局备案： </w:t>
      </w:r>
    </w:p>
    <w:p>
      <w:pPr>
        <w:pStyle w:val="7"/>
        <w:widowControl/>
        <w:spacing w:before="0" w:after="0" w:line="560" w:lineRule="exact"/>
        <w:ind w:firstLine="640" w:firstLineChars="200"/>
        <w:jc w:val="both"/>
        <w:rPr>
          <w:rFonts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（一）众创空间的功能、产权、空间面积发生变更；</w:t>
      </w:r>
    </w:p>
    <w:p>
      <w:pPr>
        <w:pStyle w:val="7"/>
        <w:widowControl/>
        <w:spacing w:before="0" w:after="0" w:line="560" w:lineRule="exact"/>
        <w:ind w:firstLine="640" w:firstLineChars="200"/>
        <w:jc w:val="both"/>
        <w:rPr>
          <w:rFonts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（二）众创空间的运营场所发生变更；</w:t>
      </w:r>
    </w:p>
    <w:p>
      <w:pPr>
        <w:pStyle w:val="7"/>
        <w:widowControl/>
        <w:spacing w:before="0" w:after="0" w:line="560" w:lineRule="exact"/>
        <w:ind w:firstLine="640" w:firstLineChars="200"/>
        <w:jc w:val="both"/>
        <w:rPr>
          <w:rFonts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（三）众创空间的基础设施发生变更；</w:t>
      </w:r>
    </w:p>
    <w:p>
      <w:pPr>
        <w:pStyle w:val="7"/>
        <w:widowControl/>
        <w:spacing w:before="0" w:after="0" w:line="560" w:lineRule="exact"/>
        <w:ind w:firstLine="640" w:firstLineChars="200"/>
        <w:jc w:val="both"/>
        <w:rPr>
          <w:rFonts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（四）众创空间运营管理机构的企事业性质、股权、法定代表人、主要管理人员发生变更；</w:t>
      </w:r>
    </w:p>
    <w:p>
      <w:pPr>
        <w:pStyle w:val="7"/>
        <w:widowControl/>
        <w:spacing w:before="0" w:after="0" w:line="560" w:lineRule="exact"/>
        <w:ind w:firstLine="640" w:firstLineChars="200"/>
        <w:jc w:val="both"/>
        <w:rPr>
          <w:rFonts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（五）众创空间整体转让运营，运营管理机构发生变更；</w:t>
      </w:r>
    </w:p>
    <w:p>
      <w:pPr>
        <w:pStyle w:val="7"/>
        <w:widowControl/>
        <w:spacing w:before="0" w:after="0" w:line="560" w:lineRule="exact"/>
        <w:ind w:firstLine="640" w:firstLineChars="200"/>
        <w:jc w:val="both"/>
        <w:rPr>
          <w:rFonts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（六）影响众创空间经营的其他变更事项。</w:t>
      </w:r>
    </w:p>
    <w:p>
      <w:pPr>
        <w:pStyle w:val="7"/>
        <w:widowControl/>
        <w:spacing w:before="0" w:after="0" w:line="560" w:lineRule="exact"/>
        <w:ind w:firstLine="640" w:firstLineChars="200"/>
        <w:jc w:val="both"/>
        <w:rPr>
          <w:rFonts w:ascii="仿宋" w:hAnsi="仿宋" w:eastAsia="仿宋" w:cs="仿宋"/>
          <w:color w:val="auto"/>
          <w:kern w:val="2"/>
          <w:sz w:val="32"/>
          <w:szCs w:val="32"/>
        </w:rPr>
      </w:pPr>
    </w:p>
    <w:p>
      <w:pPr>
        <w:spacing w:line="560" w:lineRule="exact"/>
        <w:ind w:firstLine="640" w:firstLineChars="200"/>
        <w:jc w:val="center"/>
        <w:rPr>
          <w:rFonts w:ascii="黑体" w:hAnsi="黑体" w:eastAsia="黑体" w:cs="黑体"/>
          <w:color w:val="auto"/>
        </w:rPr>
      </w:pPr>
      <w:r>
        <w:rPr>
          <w:rFonts w:hint="eastAsia" w:ascii="黑体" w:hAnsi="黑体" w:eastAsia="黑体" w:cs="黑体"/>
          <w:color w:val="auto"/>
        </w:rPr>
        <w:t>第四章  众创空间认定取消</w:t>
      </w:r>
    </w:p>
    <w:p>
      <w:pPr>
        <w:pStyle w:val="7"/>
        <w:widowControl/>
        <w:spacing w:before="0" w:after="0" w:line="560" w:lineRule="exact"/>
        <w:ind w:firstLine="640" w:firstLineChars="200"/>
        <w:jc w:val="both"/>
        <w:rPr>
          <w:rFonts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第十六条</w:t>
      </w:r>
      <w:r>
        <w:rPr>
          <w:rFonts w:ascii="仿宋_GB2312" w:hAnsi="仿宋" w:eastAsia="仿宋_GB2312" w:cs="仿宋"/>
          <w:color w:val="auto"/>
          <w:kern w:val="2"/>
          <w:sz w:val="32"/>
          <w:szCs w:val="32"/>
        </w:rPr>
        <w:t xml:space="preserve">  </w:t>
      </w:r>
      <w:r>
        <w:rPr>
          <w:rFonts w:hint="eastAsia" w:ascii="仿宋_GB2312" w:hAnsi="仿宋" w:eastAsia="仿宋_GB2312" w:cs="仿宋"/>
          <w:color w:val="auto"/>
          <w:kern w:val="2"/>
          <w:sz w:val="32"/>
          <w:szCs w:val="32"/>
        </w:rPr>
        <w:t>经认定的众创空间存在以下情形之一的，取消其认定资格：</w:t>
      </w:r>
    </w:p>
    <w:p>
      <w:pPr>
        <w:pStyle w:val="7"/>
        <w:widowControl/>
        <w:spacing w:before="0" w:after="0" w:line="560" w:lineRule="exact"/>
        <w:ind w:firstLine="640" w:firstLineChars="200"/>
        <w:jc w:val="both"/>
        <w:rPr>
          <w:rFonts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（一）提供虚假材料；</w:t>
      </w:r>
    </w:p>
    <w:p>
      <w:pPr>
        <w:pStyle w:val="7"/>
        <w:widowControl/>
        <w:spacing w:before="0" w:after="0" w:line="560" w:lineRule="exact"/>
        <w:ind w:firstLine="640" w:firstLineChars="200"/>
        <w:jc w:val="both"/>
        <w:rPr>
          <w:rFonts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（二）发生重大违法违纪行为，即在安全生产、环境保护、人力资源、市场监管、消防、社保、统计、财税等方面受到较大数额罚款以上处罚的严重违法行为或犯罪行为。其中，较大数额罚款是指对单位处</w:t>
      </w:r>
      <w:r>
        <w:rPr>
          <w:rFonts w:ascii="仿宋_GB2312" w:hAnsi="仿宋" w:eastAsia="仿宋_GB2312" w:cs="仿宋"/>
          <w:color w:val="auto"/>
          <w:kern w:val="2"/>
          <w:sz w:val="32"/>
          <w:szCs w:val="32"/>
        </w:rPr>
        <w:t>5万元以上（不含5万元）的罚款；较大数额罚款以上处罚包括：较大数额罚款、没收违法所得或非法财物、责令停产停业、暂扣或者吊销许可证或执照、行政拘留</w:t>
      </w:r>
      <w:r>
        <w:rPr>
          <w:rFonts w:hint="eastAsia" w:ascii="仿宋_GB2312" w:hAnsi="仿宋" w:eastAsia="仿宋_GB2312" w:cs="仿宋"/>
          <w:color w:val="auto"/>
          <w:kern w:val="2"/>
          <w:sz w:val="32"/>
          <w:szCs w:val="32"/>
        </w:rPr>
        <w:t>；</w:t>
      </w:r>
    </w:p>
    <w:p>
      <w:pPr>
        <w:pStyle w:val="7"/>
        <w:widowControl/>
        <w:spacing w:before="0" w:after="0" w:line="560" w:lineRule="exact"/>
        <w:ind w:firstLine="640" w:firstLineChars="200"/>
        <w:jc w:val="both"/>
        <w:rPr>
          <w:rFonts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（三）众创空间及其运营管理机构发生重大变更未及时备案，或因变更事项导致不再符合众创空间认定条件；</w:t>
      </w:r>
    </w:p>
    <w:p>
      <w:pPr>
        <w:pStyle w:val="7"/>
        <w:widowControl/>
        <w:numPr>
          <w:ilvl w:val="0"/>
          <w:numId w:val="2"/>
        </w:numPr>
        <w:spacing w:before="0" w:after="0" w:line="560" w:lineRule="exact"/>
        <w:ind w:firstLine="640" w:firstLineChars="200"/>
        <w:jc w:val="both"/>
        <w:rPr>
          <w:rFonts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自愿向区科技创新局提交《关于停止运营众创空间的函》。</w:t>
      </w:r>
    </w:p>
    <w:p>
      <w:pPr>
        <w:pStyle w:val="7"/>
        <w:widowControl/>
        <w:spacing w:before="0" w:after="0" w:line="560" w:lineRule="exact"/>
        <w:ind w:firstLine="640" w:firstLineChars="200"/>
        <w:jc w:val="both"/>
        <w:rPr>
          <w:rFonts w:ascii="黑体" w:hAnsi="黑体" w:eastAsia="黑体" w:cs="黑体"/>
          <w:color w:val="auto"/>
          <w:sz w:val="32"/>
          <w:szCs w:val="32"/>
        </w:rPr>
      </w:pPr>
      <w:r>
        <w:rPr>
          <w:rFonts w:hint="eastAsia" w:ascii="仿宋_GB2312" w:hAnsi="仿宋" w:eastAsia="仿宋_GB2312" w:cs="仿宋"/>
          <w:color w:val="auto"/>
          <w:kern w:val="2"/>
          <w:sz w:val="32"/>
          <w:szCs w:val="32"/>
        </w:rPr>
        <w:t>因本条第一款第（一）项、第（二）项事由被取消认定资格的众创空间，自资格取消之日起3年内，不再受理其众创空间认定，同时纳入诚信档案，以示惩戒。</w:t>
      </w:r>
    </w:p>
    <w:p>
      <w:pPr>
        <w:pStyle w:val="7"/>
        <w:widowControl/>
        <w:spacing w:before="0" w:after="0" w:line="560" w:lineRule="exact"/>
        <w:ind w:firstLine="640" w:firstLineChars="200"/>
        <w:jc w:val="both"/>
        <w:rPr>
          <w:rFonts w:ascii="黑体" w:hAnsi="黑体" w:eastAsia="黑体" w:cs="黑体"/>
          <w:color w:val="auto"/>
          <w:sz w:val="32"/>
          <w:szCs w:val="32"/>
        </w:rPr>
      </w:pPr>
    </w:p>
    <w:p>
      <w:pPr>
        <w:pStyle w:val="7"/>
        <w:widowControl/>
        <w:spacing w:before="0" w:after="0" w:line="560" w:lineRule="exact"/>
        <w:ind w:firstLine="640" w:firstLineChars="200"/>
        <w:jc w:val="center"/>
        <w:rPr>
          <w:rFonts w:ascii="黑体" w:hAnsi="黑体" w:eastAsia="黑体" w:cs="黑体"/>
          <w:color w:val="auto"/>
          <w:sz w:val="32"/>
          <w:szCs w:val="32"/>
        </w:rPr>
      </w:pPr>
      <w:r>
        <w:rPr>
          <w:rFonts w:hint="eastAsia" w:ascii="黑体" w:hAnsi="黑体" w:eastAsia="黑体" w:cs="黑体"/>
          <w:color w:val="auto"/>
          <w:sz w:val="32"/>
          <w:szCs w:val="32"/>
        </w:rPr>
        <w:t>第五章  附  则</w:t>
      </w:r>
    </w:p>
    <w:p>
      <w:pPr>
        <w:pStyle w:val="7"/>
        <w:widowControl/>
        <w:spacing w:before="0" w:after="0" w:line="560" w:lineRule="exact"/>
        <w:ind w:firstLine="640" w:firstLineChars="200"/>
        <w:jc w:val="both"/>
        <w:rPr>
          <w:rFonts w:ascii="仿宋" w:hAnsi="仿宋" w:eastAsia="仿宋" w:cs="仿宋"/>
          <w:color w:val="auto"/>
          <w:kern w:val="2"/>
          <w:sz w:val="32"/>
          <w:szCs w:val="32"/>
        </w:rPr>
      </w:pPr>
      <w:r>
        <w:rPr>
          <w:rFonts w:hint="eastAsia" w:ascii="楷体_GB2312" w:hAnsi="仿宋" w:eastAsia="楷体_GB2312" w:cs="仿宋"/>
          <w:color w:val="auto"/>
          <w:kern w:val="2"/>
          <w:sz w:val="32"/>
          <w:szCs w:val="32"/>
        </w:rPr>
        <w:t>第十七条</w:t>
      </w:r>
      <w:r>
        <w:rPr>
          <w:rFonts w:hint="eastAsia" w:ascii="仿宋_GB2312" w:eastAsia="仿宋_GB2312"/>
          <w:color w:val="auto"/>
          <w:sz w:val="32"/>
          <w:szCs w:val="32"/>
        </w:rPr>
        <w:t xml:space="preserve">  </w:t>
      </w:r>
      <w:r>
        <w:rPr>
          <w:rFonts w:hint="eastAsia" w:ascii="仿宋_GB2312" w:hAnsi="仿宋" w:eastAsia="仿宋_GB2312" w:cs="仿宋"/>
          <w:color w:val="auto"/>
          <w:kern w:val="2"/>
          <w:sz w:val="32"/>
          <w:szCs w:val="32"/>
        </w:rPr>
        <w:t>经认定的众创空间，可以按照《光明区支持科技创新的若干措施》的相关规定，申请相应的资金补贴。</w:t>
      </w:r>
      <w:r>
        <w:rPr>
          <w:rFonts w:hint="eastAsia" w:ascii="楷体_GB2312" w:hAnsi="仿宋" w:eastAsia="楷体_GB2312" w:cs="仿宋"/>
          <w:color w:val="auto"/>
          <w:kern w:val="2"/>
          <w:sz w:val="32"/>
          <w:szCs w:val="32"/>
        </w:rPr>
        <w:t>第十八条</w:t>
      </w:r>
      <w:r>
        <w:rPr>
          <w:rFonts w:hint="eastAsia" w:ascii="仿宋" w:hAnsi="仿宋" w:eastAsia="仿宋" w:cs="仿宋"/>
          <w:color w:val="auto"/>
          <w:kern w:val="2"/>
          <w:sz w:val="32"/>
          <w:szCs w:val="32"/>
        </w:rPr>
        <w:t xml:space="preserve">  </w:t>
      </w:r>
      <w:r>
        <w:rPr>
          <w:rFonts w:hint="eastAsia" w:ascii="仿宋_GB2312" w:hAnsi="仿宋" w:eastAsia="仿宋_GB2312" w:cs="仿宋"/>
          <w:color w:val="auto"/>
          <w:kern w:val="2"/>
          <w:sz w:val="32"/>
          <w:szCs w:val="32"/>
        </w:rPr>
        <w:t>本办法由区科技创新局负责解释。</w:t>
      </w:r>
    </w:p>
    <w:p>
      <w:pPr>
        <w:widowControl/>
        <w:spacing w:line="560" w:lineRule="exact"/>
        <w:ind w:firstLine="640" w:firstLineChars="200"/>
        <w:jc w:val="left"/>
        <w:rPr>
          <w:color w:val="auto"/>
        </w:rPr>
      </w:pPr>
      <w:r>
        <w:rPr>
          <w:rFonts w:hint="eastAsia" w:ascii="楷体_GB2312" w:hAnsi="仿宋" w:eastAsia="楷体_GB2312" w:cs="仿宋"/>
          <w:color w:val="auto"/>
        </w:rPr>
        <w:t>第十九条</w:t>
      </w:r>
      <w:r>
        <w:rPr>
          <w:rFonts w:hint="eastAsia" w:ascii="仿宋" w:hAnsi="仿宋" w:eastAsia="仿宋" w:cs="仿宋"/>
          <w:color w:val="auto"/>
        </w:rPr>
        <w:t xml:space="preserve">  </w:t>
      </w:r>
      <w:r>
        <w:rPr>
          <w:rFonts w:hint="eastAsia" w:hAnsi="仿宋" w:cs="仿宋"/>
          <w:color w:val="auto"/>
        </w:rPr>
        <w:t>本办法自2019年8月1日起实施，有效期三年。本办法实施后，于2018年5月印发的《深圳市光明新区众创空间管理暂行办法》（</w:t>
      </w:r>
      <w:r>
        <w:rPr>
          <w:rFonts w:cs="仿宋_GB2312"/>
          <w:color w:val="auto"/>
          <w:kern w:val="0"/>
          <w:lang w:bidi="ar"/>
        </w:rPr>
        <w:t>深光规〔2018〕9 号</w:t>
      </w:r>
      <w:r>
        <w:rPr>
          <w:rFonts w:hint="eastAsia" w:hAnsi="仿宋" w:cs="仿宋"/>
          <w:color w:val="auto"/>
        </w:rPr>
        <w:t>）自动失效。</w:t>
      </w:r>
    </w:p>
    <w:sectPr>
      <w:footerReference r:id="rId3" w:type="default"/>
      <w:footerReference r:id="rId4" w:type="even"/>
      <w:pgSz w:w="11906" w:h="16838"/>
      <w:pgMar w:top="1440" w:right="1800" w:bottom="1440" w:left="1800"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9880107"/>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9503477"/>
    </w:sdtPr>
    <w:sdtEndPr>
      <w:rPr>
        <w:rFonts w:asciiTheme="majorEastAsia" w:hAnsiTheme="majorEastAsia" w:eastAsiaTheme="majorEastAsia"/>
        <w:sz w:val="28"/>
        <w:szCs w:val="28"/>
      </w:rPr>
    </w:sdtEndPr>
    <w:sdtContent>
      <w:p>
        <w:pPr>
          <w:pStyle w:val="5"/>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2 -</w:t>
        </w:r>
        <w:r>
          <w:rPr>
            <w:rFonts w:asciiTheme="majorEastAsia" w:hAnsiTheme="majorEastAsia" w:eastAsiaTheme="majorEastAsia"/>
            <w:sz w:val="28"/>
            <w:szCs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CF11D"/>
    <w:multiLevelType w:val="singleLevel"/>
    <w:tmpl w:val="5A0CF11D"/>
    <w:lvl w:ilvl="0" w:tentative="0">
      <w:start w:val="2"/>
      <w:numFmt w:val="chineseCounting"/>
      <w:suff w:val="nothing"/>
      <w:lvlText w:val="（%1）"/>
      <w:lvlJc w:val="left"/>
    </w:lvl>
  </w:abstractNum>
  <w:abstractNum w:abstractNumId="1">
    <w:nsid w:val="5A0CFBEB"/>
    <w:multiLevelType w:val="singleLevel"/>
    <w:tmpl w:val="5A0CFBEB"/>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evenAndOddHeaders w:val="true"/>
  <w:drawingGridHorizontalSpacing w:val="160"/>
  <w:drawingGridVerticalSpacing w:val="435"/>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074F2"/>
    <w:rsid w:val="00076CE5"/>
    <w:rsid w:val="000D5D66"/>
    <w:rsid w:val="00124F0B"/>
    <w:rsid w:val="001A0FE0"/>
    <w:rsid w:val="001B2600"/>
    <w:rsid w:val="002202D1"/>
    <w:rsid w:val="00325A9E"/>
    <w:rsid w:val="00350173"/>
    <w:rsid w:val="00371576"/>
    <w:rsid w:val="004A0AE7"/>
    <w:rsid w:val="00513685"/>
    <w:rsid w:val="00542EE9"/>
    <w:rsid w:val="005B7974"/>
    <w:rsid w:val="0069061C"/>
    <w:rsid w:val="006D3E9D"/>
    <w:rsid w:val="007F776C"/>
    <w:rsid w:val="00816CD8"/>
    <w:rsid w:val="008D2F42"/>
    <w:rsid w:val="009465F9"/>
    <w:rsid w:val="009B29EF"/>
    <w:rsid w:val="00A23A27"/>
    <w:rsid w:val="00A337FA"/>
    <w:rsid w:val="00A845C4"/>
    <w:rsid w:val="00AC58F0"/>
    <w:rsid w:val="00B85701"/>
    <w:rsid w:val="00B94DD8"/>
    <w:rsid w:val="00BA41E8"/>
    <w:rsid w:val="00BE7548"/>
    <w:rsid w:val="00BF7918"/>
    <w:rsid w:val="00C0357C"/>
    <w:rsid w:val="00C329DE"/>
    <w:rsid w:val="00C6715F"/>
    <w:rsid w:val="00D55CC9"/>
    <w:rsid w:val="00D84ACE"/>
    <w:rsid w:val="00E52754"/>
    <w:rsid w:val="00E71BDA"/>
    <w:rsid w:val="137074F2"/>
    <w:rsid w:val="1A232C4F"/>
    <w:rsid w:val="25A36292"/>
    <w:rsid w:val="27B87695"/>
    <w:rsid w:val="280008A7"/>
    <w:rsid w:val="2E2640F7"/>
    <w:rsid w:val="2E5D6C4A"/>
    <w:rsid w:val="338752E0"/>
    <w:rsid w:val="3E5175AC"/>
    <w:rsid w:val="49BC0922"/>
    <w:rsid w:val="501A762D"/>
    <w:rsid w:val="55A45412"/>
    <w:rsid w:val="567B70E0"/>
    <w:rsid w:val="57941029"/>
    <w:rsid w:val="61692E8E"/>
    <w:rsid w:val="6E5112BA"/>
    <w:rsid w:val="757EB581"/>
    <w:rsid w:val="7AD4237C"/>
    <w:rsid w:val="7E0C58A7"/>
    <w:rsid w:val="F2CD9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宋体"/>
      <w:kern w:val="2"/>
      <w:sz w:val="32"/>
      <w:szCs w:val="3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eastAsia="宋体" w:cs="Times New Roman"/>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44"/>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50" w:after="150" w:line="480" w:lineRule="auto"/>
      <w:jc w:val="left"/>
    </w:pPr>
    <w:rPr>
      <w:rFonts w:ascii="宋体" w:eastAsia="宋体"/>
      <w:color w:val="000000"/>
      <w:kern w:val="0"/>
      <w:sz w:val="21"/>
      <w:szCs w:val="21"/>
    </w:rPr>
  </w:style>
  <w:style w:type="character" w:styleId="10">
    <w:name w:val="Strong"/>
    <w:basedOn w:val="9"/>
    <w:qFormat/>
    <w:uiPriority w:val="0"/>
    <w:rPr>
      <w:b/>
    </w:rPr>
  </w:style>
  <w:style w:type="character" w:styleId="11">
    <w:name w:val="FollowedHyperlink"/>
    <w:basedOn w:val="9"/>
    <w:qFormat/>
    <w:uiPriority w:val="0"/>
    <w:rPr>
      <w:color w:val="800080"/>
      <w:u w:val="none"/>
    </w:rPr>
  </w:style>
  <w:style w:type="character" w:styleId="12">
    <w:name w:val="Emphasis"/>
    <w:basedOn w:val="9"/>
    <w:qFormat/>
    <w:uiPriority w:val="0"/>
  </w:style>
  <w:style w:type="character" w:styleId="13">
    <w:name w:val="Hyperlink"/>
    <w:basedOn w:val="9"/>
    <w:qFormat/>
    <w:uiPriority w:val="0"/>
    <w:rPr>
      <w:color w:val="0000FF"/>
      <w:u w:val="none"/>
    </w:rPr>
  </w:style>
  <w:style w:type="character" w:styleId="14">
    <w:name w:val="annotation reference"/>
    <w:basedOn w:val="9"/>
    <w:qFormat/>
    <w:uiPriority w:val="0"/>
    <w:rPr>
      <w:sz w:val="21"/>
      <w:szCs w:val="21"/>
    </w:rPr>
  </w:style>
  <w:style w:type="character" w:customStyle="1" w:styleId="15">
    <w:name w:val="页眉 Char"/>
    <w:basedOn w:val="9"/>
    <w:link w:val="6"/>
    <w:qFormat/>
    <w:uiPriority w:val="0"/>
    <w:rPr>
      <w:rFonts w:ascii="仿宋_GB2312" w:hAnsi="宋体" w:eastAsia="仿宋_GB2312" w:cs="宋体"/>
      <w:kern w:val="2"/>
      <w:sz w:val="18"/>
      <w:szCs w:val="18"/>
    </w:rPr>
  </w:style>
  <w:style w:type="character" w:customStyle="1" w:styleId="16">
    <w:name w:val="页脚 Char"/>
    <w:basedOn w:val="9"/>
    <w:link w:val="5"/>
    <w:qFormat/>
    <w:uiPriority w:val="99"/>
    <w:rPr>
      <w:rFonts w:ascii="仿宋_GB2312" w:hAnsi="宋体" w:eastAsia="仿宋_GB2312" w:cs="宋体"/>
      <w:kern w:val="2"/>
      <w:sz w:val="18"/>
      <w:szCs w:val="18"/>
    </w:rPr>
  </w:style>
  <w:style w:type="character" w:customStyle="1" w:styleId="17">
    <w:name w:val="hover25"/>
    <w:basedOn w:val="9"/>
    <w:qFormat/>
    <w:uiPriority w:val="0"/>
    <w:rPr>
      <w:color w:val="FFFFFF"/>
      <w:shd w:val="clear" w:color="auto" w:fill="80B6EB"/>
    </w:rPr>
  </w:style>
  <w:style w:type="character" w:customStyle="1" w:styleId="18">
    <w:name w:val="hover26"/>
    <w:basedOn w:val="9"/>
    <w:qFormat/>
    <w:uiPriority w:val="0"/>
    <w:rPr>
      <w:color w:val="FFFFFF"/>
      <w:shd w:val="clear" w:color="auto" w:fill="508ECA"/>
    </w:rPr>
  </w:style>
  <w:style w:type="character" w:customStyle="1" w:styleId="19">
    <w:name w:val="bsharetext"/>
    <w:basedOn w:val="9"/>
    <w:qFormat/>
    <w:uiPriority w:val="0"/>
  </w:style>
  <w:style w:type="character" w:customStyle="1" w:styleId="20">
    <w:name w:val="android"/>
    <w:basedOn w:val="9"/>
    <w:qFormat/>
    <w:uiPriority w:val="0"/>
    <w:rPr>
      <w:color w:val="52B529"/>
    </w:rPr>
  </w:style>
  <w:style w:type="character" w:customStyle="1" w:styleId="21">
    <w:name w:val="m1"/>
    <w:basedOn w:val="9"/>
    <w:qFormat/>
    <w:uiPriority w:val="0"/>
  </w:style>
  <w:style w:type="character" w:customStyle="1" w:styleId="22">
    <w:name w:val="bg21"/>
    <w:basedOn w:val="9"/>
    <w:qFormat/>
    <w:uiPriority w:val="0"/>
    <w:rPr>
      <w:shd w:val="clear" w:color="auto" w:fill="1B94D3"/>
    </w:rPr>
  </w:style>
  <w:style w:type="character" w:customStyle="1" w:styleId="23">
    <w:name w:val="m2"/>
    <w:basedOn w:val="9"/>
    <w:qFormat/>
    <w:uiPriority w:val="0"/>
  </w:style>
  <w:style w:type="character" w:customStyle="1" w:styleId="24">
    <w:name w:val="m4"/>
    <w:basedOn w:val="9"/>
    <w:qFormat/>
    <w:uiPriority w:val="0"/>
  </w:style>
  <w:style w:type="character" w:customStyle="1" w:styleId="25">
    <w:name w:val="m5"/>
    <w:basedOn w:val="9"/>
    <w:qFormat/>
    <w:uiPriority w:val="0"/>
  </w:style>
  <w:style w:type="character" w:customStyle="1" w:styleId="26">
    <w:name w:val="number"/>
    <w:basedOn w:val="9"/>
    <w:qFormat/>
    <w:uiPriority w:val="0"/>
  </w:style>
  <w:style w:type="character" w:customStyle="1" w:styleId="27">
    <w:name w:val="number1"/>
    <w:basedOn w:val="9"/>
    <w:qFormat/>
    <w:uiPriority w:val="0"/>
  </w:style>
  <w:style w:type="character" w:customStyle="1" w:styleId="28">
    <w:name w:val="m3"/>
    <w:basedOn w:val="9"/>
    <w:qFormat/>
    <w:uiPriority w:val="0"/>
  </w:style>
  <w:style w:type="character" w:customStyle="1" w:styleId="29">
    <w:name w:val="name"/>
    <w:basedOn w:val="9"/>
    <w:qFormat/>
    <w:uiPriority w:val="0"/>
  </w:style>
  <w:style w:type="character" w:customStyle="1" w:styleId="30">
    <w:name w:val="t_tit"/>
    <w:basedOn w:val="9"/>
    <w:qFormat/>
    <w:uiPriority w:val="0"/>
  </w:style>
  <w:style w:type="character" w:customStyle="1" w:styleId="31">
    <w:name w:val="tit8"/>
    <w:basedOn w:val="9"/>
    <w:qFormat/>
    <w:uiPriority w:val="0"/>
  </w:style>
  <w:style w:type="character" w:customStyle="1" w:styleId="32">
    <w:name w:val="bg7"/>
    <w:basedOn w:val="9"/>
    <w:qFormat/>
    <w:uiPriority w:val="0"/>
    <w:rPr>
      <w:shd w:val="clear" w:color="auto" w:fill="D31B72"/>
    </w:rPr>
  </w:style>
  <w:style w:type="character" w:customStyle="1" w:styleId="33">
    <w:name w:val="bg41"/>
    <w:basedOn w:val="9"/>
    <w:qFormat/>
    <w:uiPriority w:val="0"/>
    <w:rPr>
      <w:shd w:val="clear" w:color="auto" w:fill="1BD33A"/>
    </w:rPr>
  </w:style>
  <w:style w:type="character" w:customStyle="1" w:styleId="34">
    <w:name w:val="bg5"/>
    <w:basedOn w:val="9"/>
    <w:qFormat/>
    <w:uiPriority w:val="0"/>
    <w:rPr>
      <w:shd w:val="clear" w:color="auto" w:fill="D31B8C"/>
    </w:rPr>
  </w:style>
  <w:style w:type="character" w:customStyle="1" w:styleId="35">
    <w:name w:val="bg6"/>
    <w:basedOn w:val="9"/>
    <w:qFormat/>
    <w:uiPriority w:val="0"/>
    <w:rPr>
      <w:shd w:val="clear" w:color="auto" w:fill="D3721B"/>
    </w:rPr>
  </w:style>
  <w:style w:type="character" w:customStyle="1" w:styleId="36">
    <w:name w:val="bg8"/>
    <w:basedOn w:val="9"/>
    <w:qFormat/>
    <w:uiPriority w:val="0"/>
    <w:rPr>
      <w:shd w:val="clear" w:color="auto" w:fill="1B4FD3"/>
    </w:rPr>
  </w:style>
  <w:style w:type="character" w:customStyle="1" w:styleId="37">
    <w:name w:val="bg1"/>
    <w:basedOn w:val="9"/>
    <w:qFormat/>
    <w:uiPriority w:val="0"/>
    <w:rPr>
      <w:color w:val="FFFFFF"/>
      <w:shd w:val="clear" w:color="auto" w:fill="1BD1D3"/>
    </w:rPr>
  </w:style>
  <w:style w:type="character" w:customStyle="1" w:styleId="38">
    <w:name w:val="bg31"/>
    <w:basedOn w:val="9"/>
    <w:qFormat/>
    <w:uiPriority w:val="0"/>
    <w:rPr>
      <w:shd w:val="clear" w:color="auto" w:fill="E12929"/>
    </w:rPr>
  </w:style>
  <w:style w:type="character" w:customStyle="1" w:styleId="39">
    <w:name w:val="bg9"/>
    <w:basedOn w:val="9"/>
    <w:qFormat/>
    <w:uiPriority w:val="0"/>
    <w:rPr>
      <w:shd w:val="clear" w:color="auto" w:fill="BBD31B"/>
    </w:rPr>
  </w:style>
  <w:style w:type="character" w:customStyle="1" w:styleId="40">
    <w:name w:val="jiab"/>
    <w:basedOn w:val="9"/>
    <w:qFormat/>
    <w:uiPriority w:val="0"/>
  </w:style>
  <w:style w:type="character" w:customStyle="1" w:styleId="41">
    <w:name w:val="jiab1"/>
    <w:basedOn w:val="9"/>
    <w:qFormat/>
    <w:uiPriority w:val="0"/>
  </w:style>
  <w:style w:type="character" w:customStyle="1" w:styleId="42">
    <w:name w:val="hover30"/>
    <w:basedOn w:val="9"/>
    <w:qFormat/>
    <w:uiPriority w:val="0"/>
    <w:rPr>
      <w:color w:val="FFFFFF"/>
      <w:shd w:val="clear" w:color="auto" w:fill="80B6EB"/>
    </w:rPr>
  </w:style>
  <w:style w:type="character" w:customStyle="1" w:styleId="43">
    <w:name w:val="hover31"/>
    <w:basedOn w:val="9"/>
    <w:qFormat/>
    <w:uiPriority w:val="0"/>
    <w:rPr>
      <w:color w:val="FFFFFF"/>
      <w:shd w:val="clear" w:color="auto" w:fill="508ECA"/>
    </w:rPr>
  </w:style>
  <w:style w:type="character" w:customStyle="1" w:styleId="44">
    <w:name w:val="批注框文本 Char"/>
    <w:basedOn w:val="9"/>
    <w:link w:val="4"/>
    <w:qFormat/>
    <w:uiPriority w:val="0"/>
    <w:rPr>
      <w:rFonts w:ascii="仿宋_GB2312" w:hAnsi="宋体" w:eastAsia="仿宋_GB2312" w:cs="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609</Words>
  <Characters>3477</Characters>
  <Lines>28</Lines>
  <Paragraphs>8</Paragraphs>
  <TotalTime>35</TotalTime>
  <ScaleCrop>false</ScaleCrop>
  <LinksUpToDate>false</LinksUpToDate>
  <CharactersWithSpaces>4078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2019-07-10T22:40:00Z</dcterms:created>
  <dc:creator>Tears静</dc:creator>
  <cp:lastModifiedBy>陈宏燕</cp:lastModifiedBy>
  <dcterms:modified xsi:type="dcterms:W3CDTF">2025-01-07T15:26:24Z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