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光明区</w:t>
      </w:r>
      <w:r>
        <w:rPr>
          <w:rFonts w:hint="eastAsia" w:ascii="方正小标宋简体" w:hAnsi="方正小标宋简体" w:eastAsia="方正小标宋简体"/>
          <w:sz w:val="44"/>
          <w:szCs w:val="44"/>
          <w:lang w:eastAsia="zh-CN"/>
        </w:rPr>
        <w:t>关于</w:t>
      </w:r>
      <w:r>
        <w:rPr>
          <w:rFonts w:hint="eastAsia" w:ascii="方正小标宋简体" w:hAnsi="方正小标宋简体" w:eastAsia="方正小标宋简体"/>
          <w:sz w:val="44"/>
          <w:szCs w:val="44"/>
        </w:rPr>
        <w:t>促进产业空间高质量发展</w:t>
      </w:r>
    </w:p>
    <w:p>
      <w:pPr>
        <w:keepNext w:val="0"/>
        <w:keepLines w:val="0"/>
        <w:pageBreakBefore w:val="0"/>
        <w:widowControl w:val="0"/>
        <w:spacing w:line="5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若干措施</w:t>
      </w:r>
    </w:p>
    <w:p>
      <w:pPr>
        <w:pStyle w:val="2"/>
        <w:ind w:firstLine="3200" w:firstLineChars="1000"/>
        <w:jc w:val="both"/>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（征求意见稿）</w:t>
      </w:r>
    </w:p>
    <w:p>
      <w:pPr>
        <w:keepNext w:val="0"/>
        <w:keepLines w:val="0"/>
        <w:pageBreakBefore w:val="0"/>
        <w:widowControl w:val="0"/>
        <w:spacing w:line="560" w:lineRule="exact"/>
        <w:jc w:val="left"/>
        <w:rPr>
          <w:rFonts w:ascii="仿宋_GB2312" w:hAnsi="仿宋_GB2312" w:eastAsia="仿宋_GB2312"/>
          <w:sz w:val="32"/>
          <w:szCs w:val="32"/>
          <w:lang w:val="en-US"/>
        </w:rPr>
      </w:pPr>
    </w:p>
    <w:p>
      <w:pPr>
        <w:keepNext w:val="0"/>
        <w:keepLines w:val="0"/>
        <w:pageBreakBefore w:val="0"/>
        <w:widowControl w:val="0"/>
        <w:numPr>
          <w:ilvl w:val="0"/>
          <w:numId w:val="1"/>
        </w:numPr>
        <w:spacing w:line="560" w:lineRule="exact"/>
        <w:jc w:val="center"/>
        <w:rPr>
          <w:rFonts w:hint="eastAsia" w:ascii="黑体" w:hAnsi="黑体" w:eastAsia="黑体"/>
          <w:sz w:val="32"/>
          <w:szCs w:val="32"/>
        </w:rPr>
      </w:pPr>
      <w:r>
        <w:rPr>
          <w:rFonts w:hint="eastAsia" w:ascii="黑体" w:hAnsi="黑体" w:eastAsia="黑体"/>
          <w:sz w:val="32"/>
          <w:szCs w:val="32"/>
        </w:rPr>
        <w:t>总则</w:t>
      </w:r>
    </w:p>
    <w:p>
      <w:pPr>
        <w:pStyle w:val="186"/>
        <w:keepNext w:val="0"/>
        <w:keepLines w:val="0"/>
        <w:pageBreakBefore w:val="0"/>
        <w:widowControl w:val="0"/>
        <w:overflowPunct w:val="0"/>
        <w:spacing w:before="0" w:beforeAutospacing="0" w:after="0" w:afterAutospacing="0" w:line="560" w:lineRule="exact"/>
        <w:ind w:firstLine="642" w:firstLineChars="200"/>
        <w:jc w:val="both"/>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b/>
          <w:bCs/>
          <w:sz w:val="32"/>
          <w:szCs w:val="32"/>
        </w:rPr>
        <w:t>第一条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color w:val="000000"/>
          <w:kern w:val="2"/>
          <w:sz w:val="32"/>
          <w:szCs w:val="32"/>
          <w:lang w:val="en-US" w:eastAsia="zh-CN" w:bidi="ar-SA"/>
        </w:rPr>
        <w:t>为进一步加快筹集建设一批高标准、低成本的高品质产业空间，保障优质实体经济企业发展空间需求，吸引和留住更多优质企业扎根光明做大做强，推动打造产业集聚度高、支撑带动力强、竞争力显著的优势产业集群，根据《中共中央 国务院关于支持深圳建设中国特色社会主义先行示范区的意见》、深圳市《关于支持企业提升竞争力的若干措施》等有关政策文件精神，结合光明区实际，制定本措施。</w:t>
      </w:r>
    </w:p>
    <w:p>
      <w:pPr>
        <w:keepNext w:val="0"/>
        <w:keepLines w:val="0"/>
        <w:pageBreakBefore w:val="0"/>
        <w:widowControl w:val="0"/>
        <w:spacing w:line="560" w:lineRule="exact"/>
        <w:ind w:firstLine="642" w:firstLineChars="200"/>
        <w:jc w:val="left"/>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b/>
          <w:bCs/>
          <w:sz w:val="32"/>
          <w:szCs w:val="32"/>
        </w:rPr>
        <w:t>第二条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color w:val="000000"/>
          <w:kern w:val="2"/>
          <w:sz w:val="32"/>
          <w:szCs w:val="32"/>
          <w:lang w:val="en-US" w:eastAsia="zh-CN" w:bidi="ar-SA"/>
        </w:rPr>
        <w:t>坚持“市场主导、政府引导、多方发力”原则，通过聚焦企业发展需求，强化政府引导，统筹业态布局，优化扶持政策，充分发挥市场化力量，切实降低企业租金成本，促进优质企业集聚，实施“以空间聚产”，着力培养一批产业业态鲜明、税收贡献突出的高品质产业空间。</w:t>
      </w:r>
    </w:p>
    <w:p>
      <w:pPr>
        <w:keepNext w:val="0"/>
        <w:keepLines w:val="0"/>
        <w:pageBreakBefore w:val="0"/>
        <w:widowControl w:val="0"/>
        <w:spacing w:line="560" w:lineRule="exact"/>
        <w:ind w:firstLine="642" w:firstLineChars="200"/>
        <w:jc w:val="left"/>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b/>
          <w:bCs/>
          <w:sz w:val="32"/>
          <w:szCs w:val="32"/>
        </w:rPr>
        <w:t>第三条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color w:val="000000"/>
          <w:kern w:val="2"/>
          <w:sz w:val="32"/>
          <w:szCs w:val="32"/>
          <w:lang w:val="en-US" w:eastAsia="zh-CN" w:bidi="ar-SA"/>
        </w:rPr>
        <w:t>适用范围：</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kern w:val="2"/>
          <w:sz w:val="32"/>
          <w:szCs w:val="32"/>
          <w:highlight w:val="none"/>
          <w:lang w:val="en-US" w:eastAsia="zh-CN" w:bidi="ar-SA"/>
        </w:rPr>
      </w:pPr>
      <w:r>
        <w:rPr>
          <w:rFonts w:hint="eastAsia" w:ascii="楷体_GB2312" w:hAnsi="楷体_GB2312" w:eastAsia="楷体_GB2312"/>
          <w:sz w:val="32"/>
          <w:szCs w:val="32"/>
          <w:highlight w:val="none"/>
        </w:rPr>
        <w:t>（</w:t>
      </w:r>
      <w:r>
        <w:rPr>
          <w:rFonts w:hint="eastAsia" w:ascii="楷体_GB2312" w:hAnsi="楷体_GB2312" w:eastAsia="楷体_GB2312"/>
          <w:sz w:val="32"/>
          <w:szCs w:val="32"/>
          <w:highlight w:val="none"/>
          <w:lang w:eastAsia="zh-CN"/>
        </w:rPr>
        <w:t>一</w:t>
      </w:r>
      <w:r>
        <w:rPr>
          <w:rFonts w:hint="eastAsia" w:ascii="楷体_GB2312" w:hAnsi="楷体_GB2312" w:eastAsia="楷体_GB2312"/>
          <w:sz w:val="32"/>
          <w:szCs w:val="32"/>
          <w:highlight w:val="none"/>
        </w:rPr>
        <w:t>）</w:t>
      </w:r>
      <w:r>
        <w:rPr>
          <w:rFonts w:hint="eastAsia" w:ascii="楷体_GB2312" w:hAnsi="楷体_GB2312" w:eastAsia="楷体_GB2312"/>
          <w:sz w:val="32"/>
          <w:szCs w:val="32"/>
          <w:highlight w:val="none"/>
          <w:lang w:eastAsia="zh-CN"/>
        </w:rPr>
        <w:t>工业园区</w:t>
      </w:r>
      <w:r>
        <w:rPr>
          <w:rFonts w:hint="eastAsia" w:ascii="仿宋_GB2312" w:hAnsi="仿宋_GB2312" w:eastAsia="仿宋_GB2312"/>
          <w:sz w:val="32"/>
          <w:szCs w:val="32"/>
          <w:highlight w:val="none"/>
        </w:rPr>
        <w:t>：</w:t>
      </w:r>
      <w:r>
        <w:rPr>
          <w:rFonts w:hint="eastAsia" w:ascii="仿宋_GB2312" w:hAnsi="仿宋_GB2312" w:eastAsia="仿宋_GB2312"/>
          <w:color w:val="000000"/>
          <w:kern w:val="2"/>
          <w:sz w:val="32"/>
          <w:szCs w:val="32"/>
          <w:highlight w:val="none"/>
          <w:lang w:val="en-US" w:eastAsia="zh-CN" w:bidi="ar-SA"/>
        </w:rPr>
        <w:t>光明区内产权清晰，用地性质为普通工业用地（M1）的生产厂房；</w:t>
      </w:r>
    </w:p>
    <w:p>
      <w:pPr>
        <w:keepNext w:val="0"/>
        <w:keepLines w:val="0"/>
        <w:widowControl/>
        <w:ind w:firstLine="640" w:firstLineChars="200"/>
        <w:jc w:val="left"/>
        <w:rPr>
          <w:rFonts w:hint="eastAsia" w:ascii="仿宋_GB2312" w:hAnsi="仿宋_GB2312" w:eastAsia="仿宋_GB2312"/>
          <w:color w:val="000000"/>
          <w:kern w:val="2"/>
          <w:sz w:val="32"/>
          <w:szCs w:val="32"/>
          <w:lang w:val="en-US" w:eastAsia="zh-CN" w:bidi="ar-SA"/>
        </w:rPr>
      </w:pPr>
      <w:r>
        <w:rPr>
          <w:rFonts w:hint="eastAsia" w:ascii="楷体_GB2312" w:hAnsi="楷体_GB2312" w:eastAsia="楷体_GB2312"/>
          <w:sz w:val="32"/>
          <w:szCs w:val="32"/>
          <w:highlight w:val="none"/>
        </w:rPr>
        <w:t>（</w:t>
      </w:r>
      <w:r>
        <w:rPr>
          <w:rFonts w:hint="eastAsia" w:ascii="楷体_GB2312" w:hAnsi="楷体_GB2312" w:eastAsia="楷体_GB2312"/>
          <w:sz w:val="32"/>
          <w:szCs w:val="32"/>
          <w:highlight w:val="none"/>
          <w:lang w:eastAsia="zh-CN"/>
        </w:rPr>
        <w:t>二</w:t>
      </w:r>
      <w:r>
        <w:rPr>
          <w:rFonts w:hint="eastAsia" w:ascii="楷体_GB2312" w:hAnsi="楷体_GB2312" w:eastAsia="楷体_GB2312"/>
          <w:sz w:val="32"/>
          <w:szCs w:val="32"/>
          <w:highlight w:val="none"/>
        </w:rPr>
        <w:t>）</w:t>
      </w:r>
      <w:r>
        <w:rPr>
          <w:rFonts w:hint="eastAsia" w:ascii="楷体_GB2312" w:hAnsi="楷体_GB2312" w:eastAsia="楷体_GB2312"/>
          <w:sz w:val="32"/>
          <w:szCs w:val="32"/>
          <w:highlight w:val="none"/>
          <w:lang w:eastAsia="zh-CN"/>
        </w:rPr>
        <w:t>楼宇</w:t>
      </w:r>
      <w:r>
        <w:rPr>
          <w:rFonts w:hint="eastAsia" w:ascii="仿宋_GB2312" w:hAnsi="仿宋_GB2312" w:eastAsia="仿宋_GB2312"/>
          <w:sz w:val="32"/>
          <w:szCs w:val="32"/>
          <w:highlight w:val="none"/>
        </w:rPr>
        <w:t>：</w:t>
      </w:r>
      <w:r>
        <w:rPr>
          <w:rFonts w:hint="eastAsia" w:ascii="仿宋_GB2312" w:hAnsi="仿宋_GB2312" w:eastAsia="仿宋_GB2312"/>
          <w:color w:val="000000"/>
          <w:kern w:val="2"/>
          <w:sz w:val="32"/>
          <w:szCs w:val="32"/>
          <w:highlight w:val="none"/>
          <w:lang w:val="en-US" w:eastAsia="zh-CN" w:bidi="ar-SA"/>
        </w:rPr>
        <w:t>光明区内产权清晰</w:t>
      </w:r>
      <w:r>
        <w:rPr>
          <w:rFonts w:hint="eastAsia" w:ascii="仿宋_GB2312" w:hAnsi="仿宋_GB2312" w:eastAsia="仿宋_GB2312"/>
          <w:color w:val="000000"/>
          <w:kern w:val="2"/>
          <w:sz w:val="32"/>
          <w:szCs w:val="32"/>
          <w:lang w:val="en-US" w:eastAsia="zh-CN" w:bidi="ar-SA"/>
        </w:rPr>
        <w:t>，用地性质为新型产业用地（M</w:t>
      </w:r>
      <w:r>
        <w:rPr>
          <w:rFonts w:ascii="仿宋_GB2312" w:hAnsi="仿宋_GB2312" w:eastAsia="仿宋_GB2312"/>
          <w:color w:val="000000"/>
          <w:kern w:val="2"/>
          <w:sz w:val="32"/>
          <w:szCs w:val="32"/>
          <w:lang w:val="en-US" w:eastAsia="zh-CN" w:bidi="ar-SA"/>
        </w:rPr>
        <w:t>0</w:t>
      </w:r>
      <w:r>
        <w:rPr>
          <w:rFonts w:hint="eastAsia" w:ascii="仿宋_GB2312" w:hAnsi="仿宋_GB2312" w:eastAsia="仿宋_GB2312"/>
          <w:color w:val="000000"/>
          <w:kern w:val="2"/>
          <w:sz w:val="32"/>
          <w:szCs w:val="32"/>
          <w:lang w:val="en-US" w:eastAsia="zh-CN" w:bidi="ar-SA"/>
        </w:rPr>
        <w:t>）或商业用地（C1），建筑面积≥2万平方米的商业办公或研发办公用房（不含酒店、公寓、商场）。</w:t>
      </w:r>
    </w:p>
    <w:p>
      <w:pPr>
        <w:pStyle w:val="2"/>
        <w:rPr>
          <w:lang w:val="en-US" w:eastAsia="zh-CN"/>
        </w:rPr>
      </w:pPr>
    </w:p>
    <w:p>
      <w:pPr>
        <w:keepNext w:val="0"/>
        <w:keepLines w:val="0"/>
        <w:pageBreakBefore w:val="0"/>
        <w:widowControl w:val="0"/>
        <w:spacing w:line="560" w:lineRule="exact"/>
        <w:jc w:val="center"/>
        <w:rPr>
          <w:rFonts w:hint="eastAsia" w:eastAsia="黑体"/>
          <w:lang w:eastAsia="zh-CN"/>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支持产业空间</w:t>
      </w:r>
      <w:r>
        <w:rPr>
          <w:rFonts w:hint="eastAsia" w:ascii="黑体" w:hAnsi="黑体" w:eastAsia="黑体"/>
          <w:sz w:val="32"/>
          <w:szCs w:val="32"/>
          <w:lang w:eastAsia="zh-CN"/>
        </w:rPr>
        <w:t>高标准建设</w:t>
      </w:r>
    </w:p>
    <w:p>
      <w:pPr>
        <w:keepNext w:val="0"/>
        <w:keepLines w:val="0"/>
        <w:pageBreakBefore w:val="0"/>
        <w:widowControl w:val="0"/>
        <w:spacing w:line="560" w:lineRule="exact"/>
        <w:ind w:firstLine="642" w:firstLineChars="200"/>
        <w:jc w:val="left"/>
        <w:rPr>
          <w:rFonts w:hint="eastAsia" w:ascii="仿宋_GB2312" w:hAnsi="仿宋_GB2312" w:eastAsia="仿宋_GB2312"/>
          <w:sz w:val="32"/>
          <w:szCs w:val="32"/>
          <w:lang w:eastAsia="zh-CN"/>
        </w:rPr>
      </w:pPr>
      <w:r>
        <w:rPr>
          <w:rFonts w:hint="eastAsia" w:ascii="仿宋_GB2312" w:hAnsi="仿宋_GB2312" w:eastAsia="仿宋_GB2312"/>
          <w:b/>
          <w:bCs/>
          <w:sz w:val="32"/>
          <w:szCs w:val="32"/>
        </w:rPr>
        <w:t>第四条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sz w:val="32"/>
          <w:szCs w:val="32"/>
        </w:rPr>
        <w:t>通过工业用地提容、城市更新“工改工”、社区股份公司自有产业用地合作开发方式新建产业项目或经区政府认定的重大产业项目的权利主体</w:t>
      </w:r>
      <w:r>
        <w:rPr>
          <w:rFonts w:hint="eastAsia" w:ascii="仿宋_GB2312" w:hAnsi="仿宋_GB2312" w:eastAsia="仿宋_GB2312"/>
          <w:sz w:val="32"/>
          <w:szCs w:val="32"/>
          <w:lang w:eastAsia="zh-CN"/>
        </w:rPr>
        <w:t>，符合条件的可享受以下支持：</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rPr>
      </w:pPr>
      <w:r>
        <w:rPr>
          <w:rFonts w:hint="eastAsia" w:ascii="仿宋_GB2312" w:hAnsi="仿宋_GB2312" w:eastAsia="仿宋_GB2312"/>
          <w:sz w:val="32"/>
          <w:szCs w:val="32"/>
          <w:lang w:eastAsia="zh-CN"/>
        </w:rPr>
        <w:t>（一）对</w:t>
      </w:r>
      <w:r>
        <w:rPr>
          <w:rFonts w:hint="eastAsia" w:ascii="仿宋_GB2312" w:hAnsi="仿宋_GB2312" w:eastAsia="仿宋_GB2312"/>
          <w:sz w:val="32"/>
          <w:szCs w:val="32"/>
        </w:rPr>
        <w:t>新型产业用地（M0）按</w:t>
      </w:r>
      <w:r>
        <w:rPr>
          <w:rFonts w:hint="eastAsia" w:ascii="仿宋_GB2312" w:hAnsi="仿宋_GB2312" w:eastAsia="仿宋_GB2312"/>
          <w:color w:val="000000"/>
          <w:spacing w:val="0"/>
          <w:kern w:val="2"/>
          <w:sz w:val="32"/>
          <w:szCs w:val="32"/>
        </w:rPr>
        <w:t>《深圳市工业区块线管理办法》中工业区块线</w:t>
      </w:r>
      <w:r>
        <w:rPr>
          <w:rFonts w:hint="eastAsia" w:ascii="仿宋_GB2312" w:hAnsi="仿宋_GB2312" w:eastAsia="仿宋_GB2312"/>
          <w:color w:val="000000"/>
          <w:spacing w:val="0"/>
          <w:kern w:val="2"/>
          <w:sz w:val="32"/>
          <w:szCs w:val="32"/>
          <w:lang w:val="en-US" w:eastAsia="zh-CN"/>
        </w:rPr>
        <w:t>内</w:t>
      </w:r>
      <w:r>
        <w:rPr>
          <w:rFonts w:hint="eastAsia" w:ascii="仿宋_GB2312" w:hAnsi="仿宋_GB2312" w:eastAsia="仿宋_GB2312"/>
          <w:color w:val="000000"/>
          <w:spacing w:val="0"/>
          <w:kern w:val="2"/>
          <w:sz w:val="32"/>
          <w:szCs w:val="32"/>
        </w:rPr>
        <w:t>厂房建设标准新建的</w:t>
      </w:r>
      <w:r>
        <w:rPr>
          <w:rFonts w:hint="eastAsia" w:ascii="仿宋_GB2312" w:hAnsi="仿宋_GB2312" w:eastAsia="仿宋_GB2312"/>
          <w:color w:val="000000"/>
          <w:spacing w:val="0"/>
          <w:kern w:val="2"/>
          <w:sz w:val="32"/>
          <w:szCs w:val="32"/>
          <w:lang w:val="en-US" w:eastAsia="zh-CN"/>
        </w:rPr>
        <w:t>项目</w:t>
      </w:r>
      <w:r>
        <w:rPr>
          <w:rFonts w:hint="eastAsia" w:ascii="仿宋_GB2312" w:hAnsi="仿宋_GB2312" w:eastAsia="仿宋_GB2312"/>
          <w:color w:val="000000"/>
          <w:spacing w:val="0"/>
          <w:kern w:val="2"/>
          <w:sz w:val="32"/>
          <w:szCs w:val="32"/>
        </w:rPr>
        <w:t>，</w:t>
      </w:r>
      <w:r>
        <w:rPr>
          <w:rFonts w:hint="eastAsia" w:ascii="仿宋_GB2312" w:hAnsi="仿宋_GB2312" w:eastAsia="仿宋_GB2312"/>
          <w:sz w:val="32"/>
          <w:szCs w:val="32"/>
        </w:rPr>
        <w:t>按厂房建筑面积1000元/</w:t>
      </w:r>
      <w:r>
        <w:rPr>
          <w:rFonts w:ascii="仿宋_GB2312" w:hAnsi="仿宋_GB2312" w:eastAsia="仿宋_GB2312"/>
          <w:sz w:val="32"/>
          <w:szCs w:val="32"/>
          <w:lang w:val="en-US"/>
        </w:rPr>
        <w:t>平方米</w:t>
      </w:r>
      <w:r>
        <w:rPr>
          <w:rFonts w:hint="eastAsia" w:ascii="仿宋_GB2312" w:hAnsi="仿宋_GB2312" w:eastAsia="仿宋_GB2312"/>
          <w:color w:val="000000"/>
          <w:spacing w:val="0"/>
          <w:kern w:val="2"/>
          <w:sz w:val="32"/>
          <w:szCs w:val="32"/>
          <w:lang w:val="en-US" w:eastAsia="zh-CN"/>
        </w:rPr>
        <w:t>一次性给予项目产权主体</w:t>
      </w:r>
      <w:r>
        <w:rPr>
          <w:rFonts w:hint="eastAsia" w:ascii="仿宋_GB2312" w:hAnsi="仿宋_GB2312" w:eastAsia="仿宋_GB2312"/>
          <w:color w:val="000000"/>
          <w:spacing w:val="0"/>
          <w:kern w:val="2"/>
          <w:sz w:val="32"/>
          <w:szCs w:val="32"/>
        </w:rPr>
        <w:t>最高2000万元奖励</w:t>
      </w:r>
      <w:r>
        <w:rPr>
          <w:rFonts w:hint="eastAsia" w:ascii="仿宋_GB2312" w:hAnsi="仿宋_GB2312" w:eastAsia="仿宋_GB2312"/>
          <w:color w:val="000000"/>
          <w:spacing w:val="0"/>
          <w:kern w:val="2"/>
          <w:sz w:val="32"/>
          <w:szCs w:val="32"/>
          <w:lang w:val="en-US" w:eastAsia="zh-CN"/>
        </w:rPr>
        <w:t>。</w:t>
      </w:r>
    </w:p>
    <w:p>
      <w:pPr>
        <w:pStyle w:val="189"/>
        <w:keepNext w:val="0"/>
        <w:keepLines w:val="0"/>
        <w:pageBreakBefore w:val="0"/>
        <w:widowControl w:val="0"/>
        <w:numPr>
          <w:ilvl w:val="0"/>
          <w:numId w:val="0"/>
        </w:numPr>
        <w:overflowPunct w:val="0"/>
        <w:spacing w:beforeAutospacing="0" w:afterAutospacing="0" w:line="560" w:lineRule="exact"/>
        <w:ind w:firstLine="640" w:firstLineChars="200"/>
        <w:jc w:val="both"/>
        <w:rPr>
          <w:rFonts w:ascii="仿宋_GB2312" w:hAnsi="仿宋_GB2312" w:eastAsia="仿宋_GB2312"/>
          <w:sz w:val="32"/>
          <w:szCs w:val="32"/>
          <w:lang w:val="en-US"/>
        </w:rPr>
      </w:pPr>
      <w:r>
        <w:rPr>
          <w:rFonts w:hint="eastAsia" w:ascii="仿宋_GB2312" w:hAnsi="仿宋_GB2312" w:eastAsia="仿宋_GB2312"/>
          <w:sz w:val="32"/>
          <w:szCs w:val="32"/>
          <w:lang w:eastAsia="zh-CN"/>
        </w:rPr>
        <w:t>（二）对</w:t>
      </w:r>
      <w:r>
        <w:rPr>
          <w:rFonts w:hint="eastAsia" w:ascii="仿宋_GB2312" w:hAnsi="仿宋_GB2312" w:eastAsia="仿宋_GB2312"/>
          <w:sz w:val="32"/>
          <w:szCs w:val="32"/>
        </w:rPr>
        <w:t>普通工业用地（M1）按</w:t>
      </w:r>
      <w:r>
        <w:rPr>
          <w:rFonts w:hint="eastAsia" w:ascii="仿宋_GB2312" w:hAnsi="仿宋_GB2312" w:eastAsia="仿宋_GB2312"/>
          <w:color w:val="000000"/>
          <w:spacing w:val="0"/>
          <w:kern w:val="2"/>
          <w:sz w:val="32"/>
          <w:szCs w:val="32"/>
        </w:rPr>
        <w:t>《深圳市工业区块线管理办法》工业区块线</w:t>
      </w:r>
      <w:r>
        <w:rPr>
          <w:rFonts w:hint="eastAsia" w:ascii="仿宋_GB2312" w:hAnsi="仿宋_GB2312" w:eastAsia="仿宋_GB2312"/>
          <w:color w:val="000000"/>
          <w:spacing w:val="0"/>
          <w:kern w:val="2"/>
          <w:sz w:val="32"/>
          <w:szCs w:val="32"/>
          <w:lang w:val="en-US" w:eastAsia="zh-CN"/>
        </w:rPr>
        <w:t>内</w:t>
      </w:r>
      <w:r>
        <w:rPr>
          <w:rFonts w:hint="eastAsia" w:ascii="仿宋_GB2312" w:hAnsi="仿宋_GB2312" w:eastAsia="仿宋_GB2312"/>
          <w:color w:val="000000"/>
          <w:spacing w:val="0"/>
          <w:kern w:val="2"/>
          <w:sz w:val="32"/>
          <w:szCs w:val="32"/>
        </w:rPr>
        <w:t>厂房建设标准新建的</w:t>
      </w:r>
      <w:r>
        <w:rPr>
          <w:rFonts w:hint="eastAsia" w:ascii="仿宋_GB2312" w:hAnsi="仿宋_GB2312" w:eastAsia="仿宋_GB2312"/>
          <w:color w:val="000000"/>
          <w:spacing w:val="0"/>
          <w:kern w:val="2"/>
          <w:sz w:val="32"/>
          <w:szCs w:val="32"/>
          <w:lang w:val="en-US" w:eastAsia="zh-CN"/>
        </w:rPr>
        <w:t>项目，</w:t>
      </w:r>
      <w:r>
        <w:rPr>
          <w:rFonts w:hint="eastAsia" w:ascii="仿宋_GB2312" w:hAnsi="仿宋_GB2312" w:eastAsia="仿宋_GB2312"/>
          <w:color w:val="000000"/>
          <w:spacing w:val="0"/>
          <w:kern w:val="2"/>
          <w:sz w:val="32"/>
          <w:szCs w:val="32"/>
        </w:rPr>
        <w:t>厂房建筑面积占</w:t>
      </w:r>
      <w:r>
        <w:rPr>
          <w:rFonts w:hint="eastAsia" w:ascii="仿宋_GB2312" w:hAnsi="仿宋_GB2312" w:eastAsia="仿宋_GB2312"/>
          <w:color w:val="000000"/>
          <w:spacing w:val="0"/>
          <w:kern w:val="2"/>
          <w:sz w:val="32"/>
          <w:szCs w:val="32"/>
          <w:lang w:val="en-US" w:eastAsia="zh-CN"/>
        </w:rPr>
        <w:t>项目</w:t>
      </w:r>
      <w:r>
        <w:rPr>
          <w:rFonts w:hint="eastAsia" w:ascii="仿宋_GB2312" w:hAnsi="仿宋_GB2312" w:eastAsia="仿宋_GB2312"/>
          <w:color w:val="000000"/>
          <w:spacing w:val="0"/>
          <w:kern w:val="2"/>
          <w:sz w:val="32"/>
          <w:szCs w:val="32"/>
        </w:rPr>
        <w:t>总建筑面积</w:t>
      </w:r>
      <w:r>
        <w:rPr>
          <w:rFonts w:hint="eastAsia" w:ascii="仿宋_GB2312" w:hAnsi="仿宋_GB2312" w:eastAsia="仿宋_GB2312"/>
          <w:color w:val="000000"/>
          <w:spacing w:val="0"/>
          <w:kern w:val="2"/>
          <w:sz w:val="32"/>
          <w:szCs w:val="32"/>
          <w:lang w:eastAsia="zh-CN"/>
        </w:rPr>
        <w:t>比例</w:t>
      </w:r>
      <w:r>
        <w:rPr>
          <w:rFonts w:hint="eastAsia" w:ascii="仿宋_GB2312" w:hAnsi="仿宋_GB2312" w:eastAsia="仿宋_GB2312"/>
          <w:color w:val="000000"/>
          <w:spacing w:val="0"/>
          <w:kern w:val="2"/>
          <w:sz w:val="32"/>
          <w:szCs w:val="32"/>
        </w:rPr>
        <w:t>超70%的，对超出部分按</w:t>
      </w:r>
      <w:r>
        <w:rPr>
          <w:rFonts w:hint="eastAsia" w:ascii="仿宋_GB2312" w:hAnsi="仿宋_GB2312" w:eastAsia="仿宋_GB2312"/>
          <w:color w:val="000000"/>
          <w:spacing w:val="0"/>
          <w:kern w:val="2"/>
          <w:sz w:val="32"/>
          <w:szCs w:val="32"/>
          <w:lang w:val="en-US" w:eastAsia="zh-CN"/>
        </w:rPr>
        <w:t>厂房</w:t>
      </w:r>
      <w:r>
        <w:rPr>
          <w:rFonts w:hint="eastAsia" w:ascii="仿宋_GB2312" w:hAnsi="仿宋_GB2312" w:eastAsia="仿宋_GB2312"/>
          <w:color w:val="000000"/>
          <w:spacing w:val="0"/>
          <w:kern w:val="2"/>
          <w:sz w:val="32"/>
          <w:szCs w:val="32"/>
        </w:rPr>
        <w:t>建筑面积</w:t>
      </w:r>
      <w:r>
        <w:rPr>
          <w:rFonts w:hint="eastAsia" w:ascii="仿宋_GB2312" w:hAnsi="仿宋_GB2312" w:eastAsia="仿宋_GB2312"/>
          <w:color w:val="000000"/>
          <w:spacing w:val="0"/>
          <w:kern w:val="2"/>
          <w:sz w:val="32"/>
          <w:szCs w:val="32"/>
          <w:lang w:val="en-US" w:eastAsia="zh-CN"/>
        </w:rPr>
        <w:t>1000元/</w:t>
      </w:r>
      <w:r>
        <w:rPr>
          <w:rFonts w:hint="eastAsia" w:ascii="仿宋_GB2312" w:hAnsi="仿宋_GB2312" w:eastAsia="仿宋_GB2312"/>
          <w:color w:val="000000"/>
          <w:spacing w:val="0"/>
          <w:kern w:val="2"/>
          <w:sz w:val="32"/>
          <w:szCs w:val="32"/>
        </w:rPr>
        <w:t>平方米的标准</w:t>
      </w:r>
      <w:r>
        <w:rPr>
          <w:rFonts w:hint="eastAsia" w:ascii="仿宋_GB2312" w:hAnsi="仿宋_GB2312" w:eastAsia="仿宋_GB2312"/>
          <w:color w:val="000000"/>
          <w:spacing w:val="0"/>
          <w:kern w:val="2"/>
          <w:sz w:val="32"/>
          <w:szCs w:val="32"/>
          <w:lang w:val="en-US" w:eastAsia="zh-CN"/>
        </w:rPr>
        <w:t>一次性给予项目产权主体</w:t>
      </w:r>
      <w:r>
        <w:rPr>
          <w:rFonts w:hint="eastAsia" w:ascii="仿宋_GB2312" w:hAnsi="仿宋_GB2312" w:eastAsia="仿宋_GB2312"/>
          <w:color w:val="000000"/>
          <w:spacing w:val="0"/>
          <w:kern w:val="2"/>
          <w:sz w:val="32"/>
          <w:szCs w:val="32"/>
        </w:rPr>
        <w:t>最高</w:t>
      </w:r>
      <w:r>
        <w:rPr>
          <w:rFonts w:hint="eastAsia" w:ascii="仿宋_GB2312" w:hAnsi="仿宋_GB2312" w:eastAsia="仿宋_GB2312"/>
          <w:color w:val="000000"/>
          <w:spacing w:val="0"/>
          <w:kern w:val="2"/>
          <w:sz w:val="32"/>
          <w:szCs w:val="32"/>
          <w:lang w:val="en-US" w:eastAsia="zh-CN"/>
        </w:rPr>
        <w:t>1000</w:t>
      </w:r>
      <w:r>
        <w:rPr>
          <w:rFonts w:hint="eastAsia" w:ascii="仿宋_GB2312" w:hAnsi="仿宋_GB2312" w:eastAsia="仿宋_GB2312"/>
          <w:color w:val="000000"/>
          <w:spacing w:val="0"/>
          <w:kern w:val="2"/>
          <w:sz w:val="32"/>
          <w:szCs w:val="32"/>
        </w:rPr>
        <w:t>万元奖励</w:t>
      </w:r>
      <w:r>
        <w:rPr>
          <w:rFonts w:hint="eastAsia" w:ascii="仿宋_GB2312" w:hAnsi="仿宋_GB2312" w:eastAsia="仿宋_GB2312"/>
          <w:color w:val="000000"/>
          <w:spacing w:val="0"/>
          <w:kern w:val="2"/>
          <w:sz w:val="32"/>
          <w:szCs w:val="32"/>
          <w:lang w:eastAsia="zh-CN"/>
        </w:rPr>
        <w:t>。</w:t>
      </w:r>
    </w:p>
    <w:p>
      <w:pPr>
        <w:keepNext w:val="0"/>
        <w:keepLines w:val="0"/>
        <w:pageBreakBefore w:val="0"/>
        <w:widowControl w:val="0"/>
        <w:spacing w:line="560" w:lineRule="exact"/>
        <w:ind w:firstLine="640" w:firstLineChars="200"/>
        <w:jc w:val="left"/>
        <w:rPr>
          <w:rFonts w:ascii="仿宋_GB2312" w:hAnsi="仿宋_GB2312" w:eastAsia="仿宋_GB2312"/>
          <w:sz w:val="32"/>
          <w:szCs w:val="32"/>
          <w:lang w:val="en-US"/>
        </w:rPr>
      </w:pPr>
      <w:r>
        <w:rPr>
          <w:rFonts w:hint="eastAsia" w:ascii="仿宋_GB2312" w:hAnsi="仿宋_GB2312" w:eastAsia="仿宋_GB2312"/>
          <w:sz w:val="32"/>
          <w:szCs w:val="32"/>
          <w:lang w:eastAsia="zh-CN"/>
        </w:rPr>
        <w:t>（三）对</w:t>
      </w:r>
      <w:r>
        <w:rPr>
          <w:rFonts w:hint="eastAsia" w:ascii="仿宋_GB2312" w:hAnsi="仿宋_GB2312" w:eastAsia="仿宋_GB2312"/>
          <w:color w:val="000000"/>
          <w:spacing w:val="0"/>
          <w:kern w:val="2"/>
          <w:sz w:val="32"/>
          <w:szCs w:val="32"/>
          <w:lang w:val="en-US" w:eastAsia="zh-CN"/>
        </w:rPr>
        <w:t>按照光明区相关建筑设计标准中厂房建设一类、二类指标新建的项目，分别</w:t>
      </w:r>
      <w:r>
        <w:rPr>
          <w:rFonts w:hint="eastAsia" w:ascii="仿宋_GB2312" w:hAnsi="仿宋_GB2312" w:eastAsia="仿宋_GB2312"/>
          <w:sz w:val="32"/>
          <w:szCs w:val="32"/>
          <w:lang w:eastAsia="zh-CN"/>
        </w:rPr>
        <w:t>按厂房建筑面积</w:t>
      </w:r>
      <w:r>
        <w:rPr>
          <w:rFonts w:hint="eastAsia" w:ascii="仿宋_GB2312" w:hAnsi="仿宋_GB2312" w:eastAsia="仿宋_GB2312"/>
          <w:sz w:val="32"/>
          <w:szCs w:val="32"/>
        </w:rPr>
        <w:t>1200元/</w:t>
      </w:r>
      <w:r>
        <w:rPr>
          <w:rFonts w:ascii="仿宋_GB2312" w:hAnsi="仿宋_GB2312" w:eastAsia="仿宋_GB2312"/>
          <w:sz w:val="32"/>
          <w:szCs w:val="32"/>
          <w:lang w:val="en-US"/>
        </w:rPr>
        <w:t>平方米</w:t>
      </w:r>
      <w:r>
        <w:rPr>
          <w:rFonts w:hint="eastAsia" w:ascii="仿宋_GB2312" w:hAnsi="仿宋_GB2312" w:eastAsia="仿宋_GB2312"/>
          <w:sz w:val="32"/>
          <w:szCs w:val="32"/>
        </w:rPr>
        <w:t>、1500元/</w:t>
      </w:r>
      <w:r>
        <w:rPr>
          <w:rFonts w:ascii="仿宋_GB2312" w:hAnsi="仿宋_GB2312" w:eastAsia="仿宋_GB2312"/>
          <w:sz w:val="32"/>
          <w:szCs w:val="32"/>
          <w:lang w:val="en-US"/>
        </w:rPr>
        <w:t>平方米</w:t>
      </w:r>
      <w:r>
        <w:rPr>
          <w:rFonts w:hint="eastAsia" w:ascii="仿宋_GB2312" w:hAnsi="仿宋_GB2312" w:eastAsia="仿宋_GB2312"/>
          <w:sz w:val="32"/>
          <w:szCs w:val="32"/>
          <w:lang w:val="en-US" w:eastAsia="zh-CN"/>
        </w:rPr>
        <w:t>的标准</w:t>
      </w:r>
      <w:r>
        <w:rPr>
          <w:rFonts w:hint="eastAsia" w:ascii="仿宋_GB2312" w:hAnsi="仿宋_GB2312" w:eastAsia="仿宋_GB2312"/>
          <w:color w:val="000000"/>
          <w:spacing w:val="0"/>
          <w:kern w:val="2"/>
          <w:sz w:val="32"/>
          <w:szCs w:val="32"/>
          <w:lang w:val="en-US" w:eastAsia="zh-CN"/>
        </w:rPr>
        <w:t>一次性给予项目产权主体</w:t>
      </w:r>
      <w:r>
        <w:rPr>
          <w:rFonts w:hint="eastAsia" w:ascii="仿宋_GB2312" w:hAnsi="仿宋_GB2312" w:eastAsia="仿宋_GB2312"/>
          <w:color w:val="000000"/>
          <w:spacing w:val="0"/>
          <w:kern w:val="2"/>
          <w:sz w:val="32"/>
          <w:szCs w:val="32"/>
        </w:rPr>
        <w:t>最高</w:t>
      </w:r>
      <w:r>
        <w:rPr>
          <w:rFonts w:hint="eastAsia" w:ascii="仿宋_GB2312" w:hAnsi="仿宋_GB2312" w:eastAsia="仿宋_GB2312"/>
          <w:sz w:val="32"/>
          <w:szCs w:val="32"/>
        </w:rPr>
        <w:t>2400万元、3000万元</w:t>
      </w:r>
      <w:r>
        <w:rPr>
          <w:rFonts w:hint="eastAsia" w:ascii="仿宋_GB2312" w:hAnsi="仿宋_GB2312" w:eastAsia="仿宋_GB2312"/>
          <w:sz w:val="32"/>
          <w:szCs w:val="32"/>
          <w:lang w:eastAsia="zh-CN"/>
        </w:rPr>
        <w:t>奖励</w:t>
      </w:r>
      <w:r>
        <w:rPr>
          <w:rFonts w:hint="eastAsia" w:ascii="仿宋_GB2312" w:hAnsi="仿宋_GB2312" w:eastAsia="仿宋_GB2312"/>
          <w:sz w:val="32"/>
          <w:szCs w:val="32"/>
        </w:rPr>
        <w:t>。</w:t>
      </w:r>
    </w:p>
    <w:p>
      <w:pPr>
        <w:pStyle w:val="189"/>
        <w:keepNext w:val="0"/>
        <w:keepLines w:val="0"/>
        <w:pageBreakBefore w:val="0"/>
        <w:widowControl w:val="0"/>
        <w:numPr>
          <w:ilvl w:val="0"/>
          <w:numId w:val="0"/>
        </w:numPr>
        <w:overflowPunct w:val="0"/>
        <w:spacing w:beforeAutospacing="0" w:afterAutospacing="0" w:line="56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lang w:eastAsia="zh-CN"/>
        </w:rPr>
        <w:t>（四）</w:t>
      </w:r>
      <w:r>
        <w:rPr>
          <w:rFonts w:hint="eastAsia" w:ascii="仿宋_GB2312" w:hAnsi="仿宋_GB2312" w:eastAsia="仿宋_GB2312"/>
          <w:color w:val="000000"/>
          <w:spacing w:val="0"/>
          <w:kern w:val="2"/>
          <w:sz w:val="32"/>
          <w:szCs w:val="32"/>
          <w:lang w:val="en-US" w:eastAsia="zh-CN"/>
        </w:rPr>
        <w:t>鼓励项目产权主体定制建设符合企业生产工艺需求的厂房。项目建成后，企业按照前期签订的定制协议入驻园区的，按照该企业实际租赁厂房建筑面积1000元/平方米的标准一次性给予项目产权主体最高2000万元奖励。</w:t>
      </w:r>
    </w:p>
    <w:p>
      <w:pPr>
        <w:keepNext w:val="0"/>
        <w:keepLines w:val="0"/>
        <w:pageBreakBefore w:val="0"/>
        <w:widowControl w:val="0"/>
        <w:spacing w:line="56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五）支持企业结合实际生产工艺需求新建定制型专业厂房。定制型专业厂房的建筑层高可在土地出让前招商引资阶段按照产业主管部门论证的实际生产工艺需求进行设计，并在《建设用地规划许可证》或《土地使用权出让合同书》中予以明确。</w:t>
      </w:r>
    </w:p>
    <w:p>
      <w:pPr>
        <w:keepNext w:val="0"/>
        <w:keepLines w:val="0"/>
        <w:pageBreakBefore w:val="0"/>
        <w:widowControl w:val="0"/>
        <w:spacing w:line="56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经特别申报并专题论证后确认因生产工艺需要有特殊层高需求的非单层厂房，首层层高超过8米，或二至六层部分层高超过6米，或七层及以上部分层高超过5.4米时，按《深圳市建筑设计规则》3.1.6.4公式2计算地上核减建筑面积（层高标准值分别为8米、6米、5.4米）。</w:t>
      </w:r>
    </w:p>
    <w:p>
      <w:pPr>
        <w:keepNext w:val="0"/>
        <w:keepLines w:val="0"/>
        <w:pageBreakBefore w:val="0"/>
        <w:widowControl w:val="0"/>
        <w:numPr>
          <w:ilvl w:val="0"/>
          <w:numId w:val="0"/>
        </w:numPr>
        <w:spacing w:line="560" w:lineRule="exact"/>
        <w:ind w:leftChars="0"/>
        <w:jc w:val="center"/>
        <w:rPr>
          <w:rFonts w:hint="eastAsia" w:ascii="黑体" w:hAnsi="黑体" w:eastAsia="黑体"/>
          <w:b w:val="0"/>
          <w:bCs w:val="0"/>
          <w:sz w:val="32"/>
          <w:szCs w:val="32"/>
          <w:lang w:eastAsia="zh-CN"/>
        </w:rPr>
      </w:pPr>
    </w:p>
    <w:p>
      <w:pPr>
        <w:keepNext w:val="0"/>
        <w:keepLines w:val="0"/>
        <w:pageBreakBefore w:val="0"/>
        <w:widowControl w:val="0"/>
        <w:numPr>
          <w:ilvl w:val="0"/>
          <w:numId w:val="0"/>
        </w:numPr>
        <w:spacing w:line="560" w:lineRule="exact"/>
        <w:ind w:leftChars="0"/>
        <w:jc w:val="center"/>
        <w:rPr>
          <w:rFonts w:hint="eastAsia"/>
          <w:lang w:val="en-US"/>
        </w:rPr>
      </w:pPr>
      <w:r>
        <w:rPr>
          <w:rFonts w:hint="eastAsia" w:ascii="黑体" w:hAnsi="黑体" w:eastAsia="黑体"/>
          <w:b w:val="0"/>
          <w:bCs w:val="0"/>
          <w:sz w:val="32"/>
          <w:szCs w:val="32"/>
          <w:lang w:eastAsia="zh-CN"/>
        </w:rPr>
        <w:t>第三章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lang w:eastAsia="zh-CN"/>
        </w:rPr>
        <w:t>支持</w:t>
      </w:r>
      <w:r>
        <w:rPr>
          <w:rFonts w:hint="eastAsia" w:ascii="黑体" w:hAnsi="黑体" w:eastAsia="黑体"/>
          <w:b w:val="0"/>
          <w:bCs w:val="0"/>
          <w:sz w:val="32"/>
          <w:szCs w:val="32"/>
        </w:rPr>
        <w:t>旧工业区综合提升</w:t>
      </w:r>
    </w:p>
    <w:p>
      <w:pPr>
        <w:keepNext w:val="0"/>
        <w:keepLines w:val="0"/>
        <w:pageBreakBefore w:val="0"/>
        <w:widowControl w:val="0"/>
        <w:spacing w:line="560" w:lineRule="exact"/>
        <w:ind w:firstLine="642"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b/>
          <w:bCs/>
          <w:sz w:val="32"/>
          <w:szCs w:val="32"/>
          <w:lang w:eastAsia="zh-CN"/>
        </w:rPr>
        <w:t>第五条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color w:val="000000"/>
          <w:spacing w:val="0"/>
          <w:kern w:val="2"/>
          <w:sz w:val="32"/>
          <w:szCs w:val="32"/>
          <w:lang w:val="en-US" w:eastAsia="zh-CN" w:bidi="ar-SA"/>
        </w:rPr>
        <w:t>对产权清晰且建成满10年的旧工业区，以消除安全隐患、完善现状功能为目的可进行综合整治（不增加经营性面积）。旧工业区综合提升分为增加辅助性公用设施和环境综合提升两种类别。</w:t>
      </w:r>
    </w:p>
    <w:p>
      <w:pPr>
        <w:pStyle w:val="186"/>
        <w:keepNext w:val="0"/>
        <w:keepLines w:val="0"/>
        <w:pageBreakBefore w:val="0"/>
        <w:widowControl/>
        <w:spacing w:before="0" w:after="0" w:line="560" w:lineRule="exact"/>
        <w:ind w:firstLine="640" w:firstLineChars="200"/>
        <w:jc w:val="both"/>
        <w:rPr>
          <w:rFonts w:hint="eastAsia" w:ascii="楷体_GB2312" w:hAnsi="楷体_GB2312" w:eastAsia="楷体_GB2312"/>
          <w:b w:val="0"/>
          <w:bCs w:val="0"/>
          <w:color w:val="000000"/>
          <w:sz w:val="32"/>
          <w:szCs w:val="32"/>
        </w:rPr>
      </w:pPr>
      <w:r>
        <w:rPr>
          <w:rFonts w:hint="eastAsia" w:ascii="楷体_GB2312" w:hAnsi="楷体_GB2312" w:eastAsia="楷体_GB2312"/>
          <w:b w:val="0"/>
          <w:bCs w:val="0"/>
          <w:color w:val="000000"/>
          <w:sz w:val="32"/>
          <w:szCs w:val="32"/>
          <w:lang w:val="en-US" w:eastAsia="zh-CN"/>
        </w:rPr>
        <w:t>（一）</w:t>
      </w:r>
      <w:r>
        <w:rPr>
          <w:rFonts w:hint="eastAsia" w:ascii="楷体_GB2312" w:hAnsi="楷体_GB2312" w:eastAsia="楷体_GB2312"/>
          <w:b w:val="0"/>
          <w:bCs w:val="0"/>
          <w:color w:val="000000"/>
          <w:sz w:val="32"/>
          <w:szCs w:val="32"/>
        </w:rPr>
        <w:t>增加辅助性公用设施项目。</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color w:val="000000"/>
          <w:spacing w:val="0"/>
          <w:kern w:val="2"/>
          <w:sz w:val="32"/>
          <w:szCs w:val="32"/>
          <w:lang w:val="en-US" w:eastAsia="zh-CN" w:bidi="ar-SA"/>
        </w:rPr>
        <w:t>旧工业区可增加面积不超过现状建筑面积15%的电梯、连廊、平台、楼梯、交通辅助坡道、立体停车库、配电房、垃圾转运站（房）、泵房、消防设施、污染防治设施、公厕等辅助性公用设施，可同步开展环境综合提升。</w:t>
      </w:r>
    </w:p>
    <w:p>
      <w:pPr>
        <w:keepNext w:val="0"/>
        <w:keepLines w:val="0"/>
        <w:pageBreakBefore w:val="0"/>
        <w:widowControl w:val="0"/>
        <w:spacing w:line="560" w:lineRule="exact"/>
        <w:ind w:firstLine="640" w:firstLineChars="200"/>
        <w:jc w:val="left"/>
        <w:rPr>
          <w:rFonts w:hint="eastAsia" w:ascii="楷体_GB2312" w:hAnsi="楷体_GB2312" w:eastAsia="楷体_GB2312"/>
          <w:b w:val="0"/>
          <w:bCs w:val="0"/>
          <w:color w:val="000000"/>
          <w:sz w:val="32"/>
          <w:szCs w:val="32"/>
        </w:rPr>
      </w:pPr>
      <w:r>
        <w:rPr>
          <w:rFonts w:hint="eastAsia" w:ascii="楷体_GB2312" w:hAnsi="楷体_GB2312" w:eastAsia="楷体_GB2312"/>
          <w:b w:val="0"/>
          <w:bCs w:val="0"/>
          <w:color w:val="000000"/>
          <w:sz w:val="32"/>
          <w:szCs w:val="32"/>
          <w:lang w:val="en-US" w:eastAsia="zh-CN"/>
        </w:rPr>
        <w:t>（二）</w:t>
      </w:r>
      <w:r>
        <w:rPr>
          <w:rFonts w:hint="eastAsia" w:ascii="楷体_GB2312" w:hAnsi="楷体_GB2312" w:eastAsia="楷体_GB2312"/>
          <w:b w:val="0"/>
          <w:bCs w:val="0"/>
          <w:color w:val="000000"/>
          <w:sz w:val="32"/>
          <w:szCs w:val="32"/>
        </w:rPr>
        <w:t>环境综合提升类项目。</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color w:val="000000"/>
          <w:spacing w:val="0"/>
          <w:kern w:val="2"/>
          <w:sz w:val="32"/>
          <w:szCs w:val="32"/>
          <w:lang w:val="en-US" w:eastAsia="zh-CN" w:bidi="ar-SA"/>
        </w:rPr>
        <w:t>旧工业区对建筑外立面及内部残缺损坏部分进行修补、防护加固，提升工业区内部道路、停车、装卸货平台、围墙、出入口、绿化、遮雨棚、运动休闲设施及其他宣传服务设施，消除安全、消防等隐患，达到使用安全性和舒适性要求。</w:t>
      </w:r>
    </w:p>
    <w:p>
      <w:pPr>
        <w:keepNext w:val="0"/>
        <w:keepLines w:val="0"/>
        <w:pageBreakBefore w:val="0"/>
        <w:widowControl w:val="0"/>
        <w:spacing w:line="560" w:lineRule="exact"/>
        <w:ind w:firstLine="642"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b/>
          <w:bCs/>
          <w:sz w:val="32"/>
          <w:szCs w:val="32"/>
          <w:lang w:val="en-US" w:eastAsia="zh-CN"/>
        </w:rPr>
        <w:t xml:space="preserve">第六条 </w:t>
      </w:r>
      <w:r>
        <w:rPr>
          <w:rFonts w:hint="eastAsia" w:ascii="仿宋_GB2312" w:hAnsi="仿宋_GB2312" w:eastAsia="仿宋_GB2312"/>
          <w:color w:val="000000"/>
          <w:spacing w:val="0"/>
          <w:kern w:val="2"/>
          <w:sz w:val="32"/>
          <w:szCs w:val="32"/>
          <w:lang w:val="en-US" w:eastAsia="zh-CN" w:bidi="ar-SA"/>
        </w:rPr>
        <w:t>旧工业区经审批实施综合提升改造并竣工验收合格的，</w:t>
      </w:r>
      <w:r>
        <w:rPr>
          <w:rFonts w:hint="eastAsia" w:ascii="仿宋_GB2312" w:hAnsi="仿宋_GB2312" w:eastAsia="仿宋_GB2312"/>
          <w:sz w:val="32"/>
          <w:szCs w:val="32"/>
          <w:lang w:eastAsia="zh-CN"/>
        </w:rPr>
        <w:t>符合条件的可享受以下支持</w:t>
      </w:r>
      <w:r>
        <w:rPr>
          <w:rFonts w:hint="eastAsia" w:ascii="仿宋_GB2312" w:hAnsi="仿宋_GB2312" w:eastAsia="仿宋_GB2312"/>
          <w:color w:val="000000"/>
          <w:spacing w:val="0"/>
          <w:kern w:val="2"/>
          <w:sz w:val="32"/>
          <w:szCs w:val="32"/>
          <w:lang w:val="en-US" w:eastAsia="zh-CN" w:bidi="ar-SA"/>
        </w:rPr>
        <w:t>：</w:t>
      </w:r>
    </w:p>
    <w:p>
      <w:pPr>
        <w:keepNext w:val="0"/>
        <w:keepLines w:val="0"/>
        <w:pageBreakBefore w:val="0"/>
        <w:spacing w:line="560" w:lineRule="exact"/>
        <w:ind w:firstLine="640" w:firstLineChars="200"/>
        <w:rPr>
          <w:rFonts w:hint="eastAsia" w:ascii="仿宋_GB2312" w:hAnsi="仿宋_GB2312" w:eastAsia="仿宋_GB2312"/>
          <w:b w:val="0"/>
          <w:bCs w:val="0"/>
          <w:color w:val="000000"/>
          <w:kern w:val="2"/>
          <w:sz w:val="32"/>
          <w:szCs w:val="32"/>
          <w:lang w:val="en-US" w:eastAsia="zh-CN" w:bidi="ar-SA"/>
        </w:rPr>
      </w:pPr>
      <w:r>
        <w:rPr>
          <w:rFonts w:hint="eastAsia" w:ascii="仿宋_GB2312" w:hAnsi="仿宋_GB2312" w:eastAsia="仿宋_GB2312"/>
          <w:b w:val="0"/>
          <w:bCs w:val="0"/>
          <w:color w:val="000000"/>
          <w:kern w:val="2"/>
          <w:sz w:val="32"/>
          <w:szCs w:val="32"/>
          <w:lang w:val="en-US" w:eastAsia="zh-CN" w:bidi="ar-SA"/>
        </w:rPr>
        <w:t>（一）以厂房水电气等设施设备改造或层高、荷载为重点进行改造提升及新建公用污废处理设施、特气站等功能性设施并经相关部门验收合格的，按实际费用的30%一次性给予园区运营主体最高2000万元奖励。</w:t>
      </w:r>
    </w:p>
    <w:p>
      <w:pPr>
        <w:keepNext w:val="0"/>
        <w:keepLines w:val="0"/>
        <w:pageBreakBefore w:val="0"/>
        <w:spacing w:line="560" w:lineRule="exact"/>
        <w:ind w:firstLine="640" w:firstLineChars="200"/>
        <w:rPr>
          <w:rFonts w:ascii="仿宋_GB2312" w:hAnsi="仿宋_GB2312" w:eastAsia="仿宋_GB2312"/>
          <w:b w:val="0"/>
          <w:bCs w:val="0"/>
          <w:color w:val="000000"/>
          <w:kern w:val="2"/>
          <w:sz w:val="32"/>
          <w:szCs w:val="32"/>
          <w:lang w:val="en-US" w:eastAsia="zh-CN" w:bidi="ar-SA"/>
        </w:rPr>
      </w:pPr>
      <w:r>
        <w:rPr>
          <w:rFonts w:hint="eastAsia" w:ascii="仿宋_GB2312" w:hAnsi="仿宋_GB2312" w:eastAsia="仿宋_GB2312"/>
          <w:b w:val="0"/>
          <w:bCs w:val="0"/>
          <w:color w:val="000000"/>
          <w:kern w:val="2"/>
          <w:sz w:val="32"/>
          <w:szCs w:val="32"/>
          <w:lang w:val="en-US" w:eastAsia="zh-CN" w:bidi="ar-SA"/>
        </w:rPr>
        <w:t>（二）</w:t>
      </w:r>
      <w:r>
        <w:rPr>
          <w:rFonts w:ascii="仿宋_GB2312" w:hAnsi="仿宋_GB2312" w:eastAsia="仿宋_GB2312"/>
          <w:b w:val="0"/>
          <w:bCs w:val="0"/>
          <w:color w:val="000000"/>
          <w:kern w:val="2"/>
          <w:sz w:val="32"/>
          <w:szCs w:val="32"/>
          <w:lang w:val="en-US" w:eastAsia="zh-CN" w:bidi="ar-SA"/>
        </w:rPr>
        <w:t>新建不超现状建筑面积15%的电梯、连廊、平台等辅助性配套设施为重点并经相关部门验收合格的</w:t>
      </w:r>
      <w:r>
        <w:rPr>
          <w:rFonts w:hint="eastAsia" w:ascii="仿宋_GB2312" w:hAnsi="仿宋_GB2312" w:eastAsia="仿宋_GB2312"/>
          <w:b w:val="0"/>
          <w:bCs w:val="0"/>
          <w:color w:val="000000"/>
          <w:kern w:val="2"/>
          <w:sz w:val="32"/>
          <w:szCs w:val="32"/>
          <w:lang w:val="en-US" w:eastAsia="zh-CN" w:bidi="ar-SA"/>
        </w:rPr>
        <w:t>，</w:t>
      </w:r>
      <w:r>
        <w:rPr>
          <w:rFonts w:ascii="仿宋_GB2312" w:hAnsi="仿宋_GB2312" w:eastAsia="仿宋_GB2312"/>
          <w:b w:val="0"/>
          <w:bCs w:val="0"/>
          <w:color w:val="000000"/>
          <w:kern w:val="2"/>
          <w:sz w:val="32"/>
          <w:szCs w:val="32"/>
          <w:lang w:val="en-US" w:eastAsia="zh-CN" w:bidi="ar-SA"/>
        </w:rPr>
        <w:t>按实际费用的20%一次性给予园区运营主体最高</w:t>
      </w:r>
      <w:r>
        <w:rPr>
          <w:rFonts w:hint="eastAsia" w:ascii="仿宋_GB2312" w:hAnsi="仿宋_GB2312" w:eastAsia="仿宋_GB2312"/>
          <w:b w:val="0"/>
          <w:bCs w:val="0"/>
          <w:color w:val="000000"/>
          <w:kern w:val="2"/>
          <w:sz w:val="32"/>
          <w:szCs w:val="32"/>
          <w:lang w:val="en-US" w:eastAsia="zh-CN" w:bidi="ar-SA"/>
        </w:rPr>
        <w:t>500</w:t>
      </w:r>
      <w:r>
        <w:rPr>
          <w:rFonts w:ascii="仿宋_GB2312" w:hAnsi="仿宋_GB2312" w:eastAsia="仿宋_GB2312"/>
          <w:b w:val="0"/>
          <w:bCs w:val="0"/>
          <w:color w:val="000000"/>
          <w:kern w:val="2"/>
          <w:sz w:val="32"/>
          <w:szCs w:val="32"/>
          <w:lang w:val="en-US" w:eastAsia="zh-CN" w:bidi="ar-SA"/>
        </w:rPr>
        <w:t>万元奖励。</w:t>
      </w:r>
    </w:p>
    <w:p>
      <w:pPr>
        <w:pStyle w:val="2"/>
        <w:keepNext w:val="0"/>
        <w:keepLines w:val="0"/>
        <w:pageBreakBefore w:val="0"/>
        <w:spacing w:line="560" w:lineRule="exact"/>
        <w:rPr>
          <w:lang w:val="en-US" w:eastAsia="zh-CN"/>
        </w:rPr>
      </w:pPr>
    </w:p>
    <w:p>
      <w:pPr>
        <w:keepNext w:val="0"/>
        <w:keepLines w:val="0"/>
        <w:pageBreakBefore w:val="0"/>
        <w:spacing w:line="560" w:lineRule="exact"/>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第四章 支持打造特色产业园区</w:t>
      </w:r>
    </w:p>
    <w:p>
      <w:pPr>
        <w:pStyle w:val="2"/>
        <w:keepNext w:val="0"/>
        <w:keepLines w:val="0"/>
        <w:pageBreakBefore w:val="0"/>
        <w:spacing w:line="560" w:lineRule="exac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b/>
          <w:bCs/>
          <w:kern w:val="2"/>
          <w:sz w:val="32"/>
          <w:szCs w:val="32"/>
          <w:shd w:val="clear" w:color="auto" w:fill="FFFFFF"/>
          <w:lang w:val="en-US" w:eastAsia="zh-CN" w:bidi="ar-SA"/>
        </w:rPr>
        <w:t>第七条</w:t>
      </w:r>
      <w:r>
        <w:rPr>
          <w:rFonts w:hint="eastAsia" w:ascii="仿宋_GB2312" w:hAnsi="仿宋_GB2312" w:eastAsia="仿宋_GB2312"/>
          <w:kern w:val="2"/>
          <w:sz w:val="32"/>
          <w:szCs w:val="32"/>
          <w:shd w:val="clear" w:color="auto" w:fill="FFFFFF"/>
          <w:lang w:val="en-US" w:eastAsia="zh-CN" w:bidi="ar-SA"/>
        </w:rPr>
        <w:t xml:space="preserve"> </w:t>
      </w:r>
      <w:r>
        <w:rPr>
          <w:rFonts w:hint="eastAsia" w:ascii="仿宋_GB2312" w:hAnsi="仿宋_GB2312" w:eastAsia="仿宋_GB2312"/>
          <w:color w:val="000000"/>
          <w:spacing w:val="0"/>
          <w:kern w:val="2"/>
          <w:sz w:val="32"/>
          <w:szCs w:val="32"/>
          <w:lang w:val="en-US" w:eastAsia="zh-CN" w:bidi="ar-SA"/>
        </w:rPr>
        <w:t>对以我市“20+8”产业集群为主导产业、产业发展规划清晰、产业集聚度较高、运营管理制度规范的产业园区，经区产业主管部门认定，可授予光明区特色产业园荣誉称号。特色产业园区分为创建类和认定类。符合条件的认定类特色产业园区可享受以下支持：</w:t>
      </w:r>
    </w:p>
    <w:p>
      <w:pPr>
        <w:pStyle w:val="2"/>
        <w:keepNext w:val="0"/>
        <w:keepLines w:val="0"/>
        <w:pageBreakBefore w:val="0"/>
        <w:spacing w:line="560" w:lineRule="exac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w:t>
      </w:r>
      <w:r>
        <w:rPr>
          <w:rFonts w:hint="eastAsia" w:ascii="仿宋_GB2312" w:hAnsi="仿宋_GB2312" w:eastAsia="仿宋_GB2312"/>
          <w:color w:val="000000"/>
          <w:spacing w:val="0"/>
          <w:kern w:val="2"/>
          <w:sz w:val="32"/>
          <w:szCs w:val="32"/>
          <w:lang w:val="en-US" w:eastAsia="zh-CN" w:bidi="ar-SA"/>
        </w:rPr>
        <w:t>园区每新入驻一家“四上”或国高企业，一次性给予园区运营主体最高5万元奖励。年度累计最高100万元。</w:t>
      </w:r>
    </w:p>
    <w:p>
      <w:pPr>
        <w:pStyle w:val="2"/>
        <w:keepNext w:val="0"/>
        <w:keepLines w:val="0"/>
        <w:pageBreakBefore w:val="0"/>
        <w:spacing w:line="560" w:lineRule="exact"/>
        <w:rPr>
          <w:rFonts w:hint="eastAsia" w:ascii="仿宋_GB2312" w:hAnsi="仿宋_GB2312" w:eastAsia="仿宋_GB2312"/>
          <w:color w:val="000000"/>
          <w:spacing w:val="0"/>
          <w:kern w:val="2"/>
          <w:sz w:val="32"/>
          <w:szCs w:val="32"/>
          <w:highlight w:val="none"/>
          <w:lang w:val="en-US" w:eastAsia="zh-CN" w:bidi="ar-SA"/>
        </w:rPr>
      </w:pPr>
      <w:r>
        <w:rPr>
          <w:rFonts w:hint="eastAsia" w:ascii="仿宋_GB2312" w:hAnsi="仿宋_GB2312" w:eastAsia="仿宋_GB2312"/>
          <w:sz w:val="32"/>
          <w:szCs w:val="32"/>
          <w:lang w:val="en-US" w:eastAsia="zh-CN"/>
        </w:rPr>
        <w:t>（二）</w:t>
      </w:r>
      <w:r>
        <w:rPr>
          <w:rFonts w:hint="eastAsia" w:ascii="仿宋_GB2312" w:hAnsi="仿宋_GB2312" w:eastAsia="仿宋_GB2312"/>
          <w:color w:val="000000"/>
          <w:spacing w:val="0"/>
          <w:kern w:val="2"/>
          <w:sz w:val="32"/>
          <w:szCs w:val="32"/>
          <w:lang w:val="en-US" w:eastAsia="zh-CN" w:bidi="ar-SA"/>
        </w:rPr>
        <w:t>园区每新入驻一家制造业“单项冠军”示范企业及示范产品生产企业或国家级专精特新“小巨人”企业、市级“专精特新”企业的，每认定一家分别一次性给予最高80万元、10万</w:t>
      </w:r>
      <w:r>
        <w:rPr>
          <w:rFonts w:hint="eastAsia" w:ascii="仿宋_GB2312" w:hAnsi="仿宋_GB2312" w:eastAsia="仿宋_GB2312"/>
          <w:color w:val="000000"/>
          <w:spacing w:val="0"/>
          <w:kern w:val="2"/>
          <w:sz w:val="32"/>
          <w:szCs w:val="32"/>
          <w:highlight w:val="none"/>
          <w:lang w:val="en-US" w:eastAsia="zh-CN" w:bidi="ar-SA"/>
        </w:rPr>
        <w:t>元奖励。</w:t>
      </w:r>
    </w:p>
    <w:p>
      <w:pPr>
        <w:pStyle w:val="2"/>
        <w:keepNext w:val="0"/>
        <w:keepLines w:val="0"/>
        <w:pageBreakBefore w:val="0"/>
        <w:spacing w:line="560" w:lineRule="exact"/>
        <w:rPr>
          <w:rFonts w:hint="eastAsia" w:ascii="仿宋_GB2312" w:hAnsi="仿宋_GB2312" w:eastAsia="仿宋_GB2312"/>
          <w:sz w:val="32"/>
          <w:szCs w:val="32"/>
          <w:highlight w:val="yellow"/>
          <w:lang w:val="en-US" w:eastAsia="zh-CN"/>
        </w:rPr>
      </w:pPr>
      <w:r>
        <w:rPr>
          <w:rFonts w:hint="eastAsia" w:ascii="仿宋_GB2312" w:hAnsi="仿宋_GB2312" w:eastAsia="仿宋_GB2312"/>
          <w:sz w:val="32"/>
          <w:szCs w:val="32"/>
          <w:highlight w:val="none"/>
          <w:lang w:val="en-US" w:eastAsia="zh-CN"/>
        </w:rPr>
        <w:t>（三）对符合主导产业方向的园区内企业与中国工程院院士、广东省领军人才、深圳市杰出人才等经国家和省、市级单位评定的专业人才签订三年以上劳动合同，且人才入职满一年的，每聘用一名上述人才，分别一次性给予企业30万元、20万元、10万元奖励。</w:t>
      </w:r>
      <w:r>
        <w:rPr>
          <w:rFonts w:hint="eastAsia" w:ascii="仿宋_GB2312" w:hAnsi="仿宋_GB2312" w:eastAsia="仿宋_GB2312"/>
          <w:color w:val="000000"/>
          <w:spacing w:val="0"/>
          <w:kern w:val="2"/>
          <w:sz w:val="32"/>
          <w:szCs w:val="32"/>
          <w:highlight w:val="none"/>
          <w:lang w:val="en-US" w:eastAsia="zh-CN" w:bidi="ar-SA"/>
        </w:rPr>
        <w:t>单个企业累计最高100万元。</w:t>
      </w:r>
    </w:p>
    <w:p>
      <w:pPr>
        <w:pStyle w:val="2"/>
        <w:keepNext w:val="0"/>
        <w:keepLines w:val="0"/>
        <w:pageBreakBefore w:val="0"/>
        <w:spacing w:line="560" w:lineRule="exact"/>
        <w:rPr>
          <w:rFonts w:hint="eastAsia" w:ascii="仿宋_GB2312" w:hAnsi="仿宋_GB2312" w:eastAsia="仿宋_GB2312"/>
          <w:sz w:val="32"/>
          <w:szCs w:val="32"/>
          <w:lang w:val="en-US" w:eastAsia="zh-CN"/>
        </w:rPr>
      </w:pPr>
    </w:p>
    <w:p>
      <w:pPr>
        <w:keepNext w:val="0"/>
        <w:keepLines w:val="0"/>
        <w:pageBreakBefore w:val="0"/>
        <w:numPr>
          <w:ilvl w:val="0"/>
          <w:numId w:val="0"/>
        </w:numPr>
        <w:spacing w:line="560" w:lineRule="exact"/>
        <w:ind w:leftChars="0"/>
        <w:jc w:val="center"/>
        <w:rPr>
          <w:rFonts w:hint="eastAsia"/>
          <w:lang w:val="en-US" w:eastAsia="zh-CN"/>
        </w:rPr>
      </w:pPr>
      <w:r>
        <w:rPr>
          <w:rFonts w:hint="eastAsia" w:ascii="黑体" w:hAnsi="黑体" w:eastAsia="黑体"/>
          <w:sz w:val="32"/>
          <w:szCs w:val="32"/>
          <w:lang w:val="en-US" w:eastAsia="zh-CN"/>
        </w:rPr>
        <w:t>第五章 支持特色楼宇经济发展</w:t>
      </w:r>
    </w:p>
    <w:p>
      <w:pPr>
        <w:keepNext w:val="0"/>
        <w:keepLines w:val="0"/>
        <w:pageBreakBefore w:val="0"/>
        <w:widowControl w:val="0"/>
        <w:numPr>
          <w:ilvl w:val="0"/>
          <w:numId w:val="0"/>
        </w:numPr>
        <w:spacing w:line="560" w:lineRule="exact"/>
        <w:ind w:firstLine="642" w:firstLineChars="200"/>
        <w:jc w:val="left"/>
        <w:rPr>
          <w:rFonts w:hint="eastAsia"/>
          <w:lang w:val="en-US"/>
        </w:rPr>
      </w:pPr>
      <w:r>
        <w:rPr>
          <w:rFonts w:hint="eastAsia" w:ascii="仿宋_GB2312" w:hAnsi="仿宋_GB2312" w:eastAsia="仿宋_GB2312"/>
          <w:b/>
          <w:bCs/>
          <w:sz w:val="32"/>
          <w:szCs w:val="32"/>
          <w:lang w:eastAsia="zh-CN"/>
        </w:rPr>
        <w:t>第八条</w:t>
      </w:r>
      <w:r>
        <w:rPr>
          <w:rFonts w:hint="eastAsia" w:ascii="仿宋_GB2312" w:hAnsi="仿宋_GB2312" w:eastAsia="仿宋_GB2312"/>
          <w:b w:val="0"/>
          <w:bCs w:val="0"/>
          <w:sz w:val="32"/>
          <w:szCs w:val="32"/>
          <w:lang w:val="en-US" w:eastAsia="zh-CN"/>
        </w:rPr>
        <w:t xml:space="preserve"> 支持楼宇围绕新技术、新产业、新业态、新模式，重点引进软件信息业、科技金融业、科技服务业等符合市、区产业发展导向和光明科学城功能定位的企业。符合条件的楼宇，</w:t>
      </w:r>
      <w:r>
        <w:rPr>
          <w:rFonts w:hint="eastAsia" w:ascii="仿宋_GB2312" w:hAnsi="仿宋_GB2312" w:eastAsia="仿宋_GB2312"/>
          <w:sz w:val="32"/>
          <w:szCs w:val="32"/>
          <w:lang w:eastAsia="zh-CN"/>
        </w:rPr>
        <w:t>可享受以下支持：</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sz w:val="32"/>
          <w:szCs w:val="32"/>
          <w:lang w:eastAsia="zh-CN"/>
        </w:rPr>
        <w:t>（一）</w:t>
      </w:r>
      <w:r>
        <w:rPr>
          <w:rFonts w:hint="eastAsia" w:ascii="仿宋_GB2312" w:hAnsi="仿宋_GB2312" w:eastAsia="仿宋_GB2312"/>
          <w:color w:val="000000"/>
          <w:spacing w:val="0"/>
          <w:kern w:val="2"/>
          <w:sz w:val="32"/>
          <w:szCs w:val="32"/>
          <w:lang w:val="en-US" w:eastAsia="zh-CN" w:bidi="ar-SA"/>
        </w:rPr>
        <w:t>独栋楼宇年度入驻率不低于70%且达到下列条件之一，楼宇运营主体可申请相应奖励。</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color w:val="000000"/>
          <w:spacing w:val="0"/>
          <w:kern w:val="2"/>
          <w:sz w:val="32"/>
          <w:szCs w:val="32"/>
          <w:lang w:val="en-US" w:eastAsia="zh-CN" w:bidi="ar-SA"/>
        </w:rPr>
        <w:t>1.独栋楼宇年度营业收入（产值）合计50亿元以上，按该楼宇承租机构年度营业收入（产值）增量万分之五给予楼宇运营主体年度最高奖励150万元。</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color w:val="000000"/>
          <w:spacing w:val="0"/>
          <w:kern w:val="2"/>
          <w:sz w:val="32"/>
          <w:szCs w:val="32"/>
          <w:lang w:val="en-US" w:eastAsia="zh-CN" w:bidi="ar-SA"/>
        </w:rPr>
        <w:t>2.独栋楼宇年度营业收入（产值）合计80亿元以上，按该楼宇承租机构年度营业收入（产值）增量万分之六给予楼宇运营主体年度最高奖励300万元。</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color w:val="000000"/>
          <w:spacing w:val="0"/>
          <w:kern w:val="2"/>
          <w:sz w:val="32"/>
          <w:szCs w:val="32"/>
          <w:lang w:val="en-US" w:eastAsia="zh-CN" w:bidi="ar-SA"/>
        </w:rPr>
        <w:t>3.独栋楼宇年度营业收入（产值）合计100亿元以上，按该楼宇承租机构年度营业收入（产值）增量万分之七给予楼宇运营主体年度最高奖励500万元。</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（二）对楼宇运营主体，每自主导入一家符合下列条件之一的企业，可申请相应奖励。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每新入驻一家经市级相关部门认定的总部企业，给予楼宇运营主体最高200万元奖励。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每新入驻一家</w:t>
      </w:r>
      <w:r>
        <w:rPr>
          <w:rFonts w:hint="eastAsia" w:ascii="仿宋_GB2312" w:hAnsi="仿宋_GB2312" w:eastAsia="仿宋_GB2312"/>
          <w:b w:val="0"/>
          <w:bCs w:val="0"/>
          <w:i w:val="0"/>
          <w:iCs w:val="0"/>
          <w:caps w:val="0"/>
          <w:smallCaps w:val="0"/>
          <w:strike w:val="0"/>
          <w:vanish w:val="0"/>
          <w:color w:val="000000"/>
          <w:spacing w:val="0"/>
          <w:kern w:val="2"/>
          <w:position w:val="0"/>
          <w:sz w:val="32"/>
          <w:szCs w:val="32"/>
          <w:u w:val="none"/>
          <w:vertAlign w:val="baseline"/>
          <w:rtl w:val="0"/>
          <w:cs w:val="0"/>
          <w:lang w:val="en-US" w:eastAsia="zh-CN" w:bidi="ar-SA"/>
        </w:rPr>
        <w:t>全国性商业银行或城市商业银行</w:t>
      </w:r>
      <w:r>
        <w:rPr>
          <w:rFonts w:hint="eastAsia" w:ascii="仿宋_GB2312" w:hAnsi="仿宋_GB2312" w:eastAsia="仿宋_GB2312"/>
          <w:sz w:val="32"/>
          <w:szCs w:val="32"/>
          <w:lang w:eastAsia="zh-CN"/>
        </w:rPr>
        <w:t>、证券公司、保险公司总部企业，给予楼宇运营主体最高150万元奖励；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每新入驻一家</w:t>
      </w:r>
      <w:r>
        <w:rPr>
          <w:rFonts w:hint="eastAsia" w:ascii="仿宋_GB2312" w:hAnsi="仿宋_GB2312" w:eastAsia="仿宋_GB2312"/>
          <w:sz w:val="32"/>
          <w:szCs w:val="32"/>
          <w:rtl w:val="0"/>
          <w:cs w:val="0"/>
          <w:lang w:val="en-US" w:eastAsia="zh-CN"/>
        </w:rPr>
        <w:t>全国性商业银行和城市商业银行</w:t>
      </w:r>
      <w:r>
        <w:rPr>
          <w:rFonts w:hint="eastAsia" w:ascii="仿宋_GB2312" w:hAnsi="仿宋_GB2312" w:eastAsia="仿宋_GB2312"/>
          <w:sz w:val="32"/>
          <w:szCs w:val="32"/>
          <w:lang w:eastAsia="zh-CN"/>
        </w:rPr>
        <w:t>、证券公司、保险公司的市一级以上分支机构，给予楼宇运营主体最高120万元奖励；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每新入驻一家资产管理规模达到10亿元以上的股权投资管理企业，给予楼宇运营主体最高100万元奖励。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lang w:eastAsia="zh-CN"/>
        </w:rPr>
        <w:t>每新入驻一家经认定的独角兽企业、</w:t>
      </w:r>
      <w:bookmarkStart w:id="0" w:name="_GoBack"/>
      <w:bookmarkEnd w:id="0"/>
      <w:r>
        <w:rPr>
          <w:rFonts w:hint="eastAsia" w:ascii="仿宋_GB2312" w:hAnsi="仿宋_GB2312" w:eastAsia="仿宋_GB2312"/>
          <w:sz w:val="32"/>
          <w:szCs w:val="32"/>
          <w:lang w:eastAsia="zh-CN"/>
        </w:rPr>
        <w:t>工信部认定的制造业“单项冠军”示范企业及示范产品生产企业，给予楼宇运营主体最高100万元奖励；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lang w:eastAsia="zh-CN"/>
        </w:rPr>
        <w:t>每新入驻一家国家专精特新“小巨人”企业，给予楼宇运营主体最高80万元奖励。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lang w:eastAsia="zh-CN"/>
        </w:rPr>
        <w:t>每入驻一家在境内沪深主板、创业板、科创板、北交所以及海外主要资本市场主板和创业板上市的企业，给予楼宇运营主体最高100万元奖励。</w:t>
      </w:r>
    </w:p>
    <w:p>
      <w:pPr>
        <w:pStyle w:val="2"/>
        <w:keepNext w:val="0"/>
        <w:keepLines w:val="0"/>
        <w:pageBreakBefore w:val="0"/>
        <w:spacing w:line="560" w:lineRule="exact"/>
        <w:rPr>
          <w:rFonts w:hint="eastAsia" w:ascii="仿宋_GB2312" w:hAnsi="仿宋_GB2312" w:eastAsia="仿宋_GB2312"/>
          <w:sz w:val="32"/>
          <w:szCs w:val="32"/>
          <w:lang w:eastAsia="zh-CN"/>
        </w:rPr>
      </w:pPr>
    </w:p>
    <w:p>
      <w:pPr>
        <w:pStyle w:val="2"/>
        <w:keepNext w:val="0"/>
        <w:keepLines w:val="0"/>
        <w:pageBreakBefore w:val="0"/>
        <w:numPr>
          <w:ilvl w:val="0"/>
          <w:numId w:val="2"/>
        </w:numPr>
        <w:spacing w:line="560" w:lineRule="exact"/>
        <w:ind w:left="0" w:leftChars="0" w:firstLine="0" w:firstLineChars="0"/>
        <w:jc w:val="cente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支持园区企业</w:t>
      </w:r>
      <w:r>
        <w:rPr>
          <w:rFonts w:ascii="黑体" w:hAnsi="黑体" w:eastAsia="黑体"/>
          <w:b w:val="0"/>
          <w:bCs w:val="0"/>
          <w:sz w:val="32"/>
          <w:szCs w:val="32"/>
          <w:lang w:val="en-US" w:eastAsia="zh-CN"/>
        </w:rPr>
        <w:t>生产</w:t>
      </w:r>
      <w:r>
        <w:rPr>
          <w:rFonts w:hint="eastAsia" w:ascii="黑体" w:hAnsi="黑体" w:eastAsia="黑体"/>
          <w:b w:val="0"/>
          <w:bCs w:val="0"/>
          <w:sz w:val="32"/>
          <w:szCs w:val="32"/>
          <w:lang w:val="en-US" w:eastAsia="zh-CN"/>
        </w:rPr>
        <w:t>经营</w:t>
      </w:r>
    </w:p>
    <w:p>
      <w:pPr>
        <w:pStyle w:val="2"/>
        <w:keepNext w:val="0"/>
        <w:keepLines w:val="0"/>
        <w:pageBreakBefore w:val="0"/>
        <w:numPr>
          <w:ilvl w:val="0"/>
          <w:numId w:val="0"/>
        </w:numPr>
        <w:spacing w:line="560" w:lineRule="exact"/>
        <w:ind w:firstLine="642" w:firstLineChars="200"/>
        <w:rPr>
          <w:rFonts w:ascii="仿宋_GB2312" w:hAnsi="仿宋_GB2312" w:eastAsia="仿宋_GB2312"/>
          <w:sz w:val="32"/>
          <w:szCs w:val="32"/>
          <w:highlight w:val="none"/>
          <w:lang w:val="en-US" w:eastAsia="zh-CN"/>
        </w:rPr>
      </w:pPr>
      <w:r>
        <w:rPr>
          <w:rFonts w:ascii="仿宋_GB2312" w:hAnsi="仿宋_GB2312" w:eastAsia="仿宋_GB2312"/>
          <w:b/>
          <w:bCs/>
          <w:sz w:val="32"/>
          <w:szCs w:val="32"/>
          <w:highlight w:val="none"/>
          <w:lang w:val="en-US" w:eastAsia="zh-CN"/>
        </w:rPr>
        <w:t>第九条</w:t>
      </w:r>
      <w:r>
        <w:rPr>
          <w:rFonts w:ascii="仿宋_GB2312" w:hAnsi="仿宋_GB2312" w:eastAsia="仿宋_GB2312"/>
          <w:sz w:val="32"/>
          <w:szCs w:val="32"/>
          <w:highlight w:val="none"/>
          <w:lang w:val="en-US" w:eastAsia="zh-CN"/>
        </w:rPr>
        <w:t xml:space="preserve"> 对</w:t>
      </w:r>
      <w:r>
        <w:rPr>
          <w:rFonts w:hint="eastAsia" w:ascii="仿宋_GB2312" w:hAnsi="仿宋_GB2312" w:eastAsia="仿宋_GB2312"/>
          <w:sz w:val="32"/>
          <w:szCs w:val="32"/>
          <w:highlight w:val="none"/>
          <w:lang w:val="en-US" w:eastAsia="zh-CN"/>
        </w:rPr>
        <w:t>在</w:t>
      </w:r>
      <w:r>
        <w:rPr>
          <w:rFonts w:ascii="仿宋_GB2312" w:hAnsi="仿宋_GB2312" w:eastAsia="仿宋_GB2312"/>
          <w:sz w:val="32"/>
          <w:szCs w:val="32"/>
          <w:highlight w:val="none"/>
          <w:lang w:val="en-US" w:eastAsia="zh-CN"/>
        </w:rPr>
        <w:t>区内生产经营</w:t>
      </w:r>
      <w:r>
        <w:rPr>
          <w:rFonts w:hint="eastAsia" w:ascii="仿宋_GB2312" w:hAnsi="仿宋_GB2312" w:eastAsia="仿宋_GB2312"/>
          <w:sz w:val="32"/>
          <w:szCs w:val="32"/>
          <w:highlight w:val="none"/>
          <w:lang w:val="en-US" w:eastAsia="zh-CN"/>
        </w:rPr>
        <w:t>且</w:t>
      </w:r>
      <w:r>
        <w:rPr>
          <w:rFonts w:ascii="仿宋_GB2312" w:hAnsi="仿宋_GB2312" w:eastAsia="仿宋_GB2312"/>
          <w:sz w:val="32"/>
          <w:szCs w:val="32"/>
          <w:highlight w:val="none"/>
          <w:lang w:val="en-US" w:eastAsia="zh-CN"/>
        </w:rPr>
        <w:t>未取得自有产业用地的企业，因</w:t>
      </w:r>
      <w:r>
        <w:rPr>
          <w:rFonts w:hint="eastAsia" w:ascii="仿宋_GB2312" w:hAnsi="仿宋_GB2312" w:eastAsia="仿宋_GB2312"/>
          <w:sz w:val="32"/>
          <w:szCs w:val="32"/>
          <w:highlight w:val="none"/>
          <w:lang w:val="en-US" w:eastAsia="zh-CN"/>
        </w:rPr>
        <w:t>生产经营需要</w:t>
      </w:r>
      <w:r>
        <w:rPr>
          <w:rFonts w:ascii="仿宋_GB2312" w:hAnsi="仿宋_GB2312" w:eastAsia="仿宋_GB2312"/>
          <w:sz w:val="32"/>
          <w:szCs w:val="32"/>
          <w:highlight w:val="none"/>
          <w:lang w:val="en-US" w:eastAsia="zh-CN"/>
        </w:rPr>
        <w:t>新增租赁</w:t>
      </w:r>
      <w:r>
        <w:rPr>
          <w:rFonts w:hint="eastAsia" w:ascii="仿宋_GB2312" w:hAnsi="仿宋_GB2312" w:eastAsia="仿宋_GB2312"/>
          <w:sz w:val="32"/>
          <w:szCs w:val="32"/>
          <w:highlight w:val="none"/>
          <w:lang w:val="en-US" w:eastAsia="zh-CN"/>
        </w:rPr>
        <w:t>自用产业空间</w:t>
      </w:r>
      <w:r>
        <w:rPr>
          <w:rFonts w:ascii="仿宋_GB2312" w:hAnsi="仿宋_GB2312" w:eastAsia="仿宋_GB2312"/>
          <w:sz w:val="32"/>
          <w:szCs w:val="32"/>
          <w:highlight w:val="none"/>
          <w:lang w:val="en-US" w:eastAsia="zh-CN"/>
        </w:rPr>
        <w:t>面积达1000平方米</w:t>
      </w:r>
      <w:r>
        <w:rPr>
          <w:rFonts w:hint="eastAsia" w:ascii="仿宋_GB2312" w:hAnsi="仿宋_GB2312" w:eastAsia="仿宋_GB2312"/>
          <w:sz w:val="32"/>
          <w:szCs w:val="32"/>
          <w:highlight w:val="none"/>
          <w:lang w:val="en-US" w:eastAsia="zh-CN"/>
        </w:rPr>
        <w:t>以上</w:t>
      </w:r>
      <w:r>
        <w:rPr>
          <w:rFonts w:ascii="仿宋_GB2312" w:hAnsi="仿宋_GB2312" w:eastAsia="仿宋_GB2312"/>
          <w:sz w:val="32"/>
          <w:szCs w:val="32"/>
          <w:highlight w:val="none"/>
          <w:lang w:val="en-US" w:eastAsia="zh-CN"/>
        </w:rPr>
        <w:t>，按照新增租赁</w:t>
      </w:r>
      <w:r>
        <w:rPr>
          <w:rFonts w:hint="eastAsia" w:ascii="仿宋_GB2312" w:hAnsi="仿宋_GB2312" w:eastAsia="仿宋_GB2312"/>
          <w:sz w:val="32"/>
          <w:szCs w:val="32"/>
          <w:highlight w:val="none"/>
          <w:lang w:val="en-US" w:eastAsia="zh-CN"/>
        </w:rPr>
        <w:t>产业空间</w:t>
      </w:r>
      <w:r>
        <w:rPr>
          <w:rFonts w:ascii="仿宋_GB2312" w:hAnsi="仿宋_GB2312" w:eastAsia="仿宋_GB2312"/>
          <w:sz w:val="32"/>
          <w:szCs w:val="32"/>
          <w:highlight w:val="none"/>
          <w:lang w:val="en-US" w:eastAsia="zh-CN"/>
        </w:rPr>
        <w:t>上年度实际发生租金的</w:t>
      </w:r>
      <w:r>
        <w:rPr>
          <w:rFonts w:hint="eastAsia" w:ascii="仿宋_GB2312" w:hAnsi="仿宋_GB2312" w:eastAsia="仿宋_GB2312"/>
          <w:sz w:val="32"/>
          <w:szCs w:val="32"/>
          <w:highlight w:val="none"/>
          <w:lang w:val="en-US" w:eastAsia="zh-CN"/>
        </w:rPr>
        <w:t>30</w:t>
      </w:r>
      <w:r>
        <w:rPr>
          <w:rFonts w:ascii="仿宋_GB2312" w:hAnsi="仿宋_GB2312" w:eastAsia="仿宋_GB2312"/>
          <w:sz w:val="32"/>
          <w:szCs w:val="32"/>
          <w:highlight w:val="none"/>
          <w:lang w:val="en-US" w:eastAsia="zh-CN"/>
        </w:rPr>
        <w:t>%，给予每家企业每年最高100万元</w:t>
      </w:r>
      <w:r>
        <w:rPr>
          <w:rFonts w:hint="eastAsia" w:ascii="仿宋_GB2312" w:hAnsi="仿宋_GB2312" w:eastAsia="仿宋_GB2312"/>
          <w:sz w:val="32"/>
          <w:szCs w:val="32"/>
          <w:highlight w:val="none"/>
          <w:lang w:val="en-US" w:eastAsia="zh-CN"/>
        </w:rPr>
        <w:t>租金</w:t>
      </w:r>
      <w:r>
        <w:rPr>
          <w:rFonts w:ascii="仿宋_GB2312" w:hAnsi="仿宋_GB2312" w:eastAsia="仿宋_GB2312"/>
          <w:sz w:val="32"/>
          <w:szCs w:val="32"/>
          <w:highlight w:val="none"/>
          <w:lang w:val="en-US" w:eastAsia="zh-CN"/>
        </w:rPr>
        <w:t>补贴。</w:t>
      </w:r>
    </w:p>
    <w:p>
      <w:pPr>
        <w:pStyle w:val="2"/>
        <w:keepNext w:val="0"/>
        <w:keepLines w:val="0"/>
        <w:pageBreakBefore w:val="0"/>
        <w:numPr>
          <w:ilvl w:val="0"/>
          <w:numId w:val="0"/>
        </w:numPr>
        <w:spacing w:line="560" w:lineRule="exact"/>
        <w:ind w:firstLine="642" w:firstLineChars="200"/>
        <w:rPr>
          <w:rFonts w:ascii="仿宋_GB2312" w:hAnsi="仿宋_GB2312" w:eastAsia="仿宋_GB2312"/>
          <w:sz w:val="32"/>
          <w:szCs w:val="32"/>
          <w:lang w:val="en-US" w:eastAsia="zh-CN"/>
        </w:rPr>
      </w:pPr>
      <w:r>
        <w:rPr>
          <w:rFonts w:ascii="仿宋_GB2312" w:hAnsi="仿宋_GB2312" w:eastAsia="仿宋_GB2312"/>
          <w:b/>
          <w:bCs/>
          <w:sz w:val="32"/>
          <w:szCs w:val="32"/>
          <w:lang w:val="en-US" w:eastAsia="zh-CN"/>
        </w:rPr>
        <w:t>第十条</w:t>
      </w:r>
      <w:r>
        <w:rPr>
          <w:rFonts w:ascii="仿宋_GB2312" w:hAnsi="仿宋_GB2312" w:eastAsia="仿宋_GB2312"/>
          <w:sz w:val="32"/>
          <w:szCs w:val="32"/>
          <w:lang w:val="en-US" w:eastAsia="zh-CN"/>
        </w:rPr>
        <w:t xml:space="preserve"> 对因城市更新或土地整备等连片产业空间筹集而腾挪搬迁后留在区内的“四上”企业或国高企业，按照新租赁</w:t>
      </w:r>
      <w:r>
        <w:rPr>
          <w:rFonts w:hint="eastAsia" w:ascii="仿宋_GB2312" w:hAnsi="仿宋_GB2312" w:eastAsia="仿宋_GB2312"/>
          <w:sz w:val="32"/>
          <w:szCs w:val="32"/>
          <w:lang w:val="en-US" w:eastAsia="zh-CN"/>
        </w:rPr>
        <w:t>产业空间</w:t>
      </w:r>
      <w:r>
        <w:rPr>
          <w:rFonts w:ascii="仿宋_GB2312" w:hAnsi="仿宋_GB2312" w:eastAsia="仿宋_GB2312"/>
          <w:sz w:val="32"/>
          <w:szCs w:val="32"/>
          <w:lang w:val="en-US" w:eastAsia="zh-CN"/>
        </w:rPr>
        <w:t>上年度实际发生租金的</w:t>
      </w:r>
      <w:r>
        <w:rPr>
          <w:rFonts w:hint="eastAsia" w:ascii="仿宋_GB2312" w:hAnsi="仿宋_GB2312" w:eastAsia="仿宋_GB2312"/>
          <w:sz w:val="32"/>
          <w:szCs w:val="32"/>
          <w:lang w:val="en-US" w:eastAsia="zh-CN"/>
        </w:rPr>
        <w:t>30</w:t>
      </w:r>
      <w:r>
        <w:rPr>
          <w:rFonts w:ascii="仿宋_GB2312" w:hAnsi="仿宋_GB2312" w:eastAsia="仿宋_GB2312"/>
          <w:sz w:val="32"/>
          <w:szCs w:val="32"/>
          <w:lang w:val="en-US" w:eastAsia="zh-CN"/>
        </w:rPr>
        <w:t>%，给予每家企业每年最高</w:t>
      </w:r>
      <w:r>
        <w:rPr>
          <w:rFonts w:hint="eastAsia" w:ascii="仿宋_GB2312" w:hAnsi="仿宋_GB2312" w:eastAsia="仿宋_GB2312"/>
          <w:sz w:val="32"/>
          <w:szCs w:val="32"/>
          <w:lang w:val="en-US" w:eastAsia="zh-CN"/>
        </w:rPr>
        <w:t>100</w:t>
      </w:r>
      <w:r>
        <w:rPr>
          <w:rFonts w:ascii="仿宋_GB2312" w:hAnsi="仿宋_GB2312" w:eastAsia="仿宋_GB2312"/>
          <w:sz w:val="32"/>
          <w:szCs w:val="32"/>
          <w:lang w:val="en-US" w:eastAsia="zh-CN"/>
        </w:rPr>
        <w:t>万元</w:t>
      </w:r>
      <w:r>
        <w:rPr>
          <w:rFonts w:hint="eastAsia" w:ascii="仿宋_GB2312" w:hAnsi="仿宋_GB2312" w:eastAsia="仿宋_GB2312"/>
          <w:sz w:val="32"/>
          <w:szCs w:val="32"/>
          <w:lang w:val="en-US" w:eastAsia="zh-CN"/>
        </w:rPr>
        <w:t>租金</w:t>
      </w:r>
      <w:r>
        <w:rPr>
          <w:rFonts w:ascii="仿宋_GB2312" w:hAnsi="仿宋_GB2312" w:eastAsia="仿宋_GB2312"/>
          <w:sz w:val="32"/>
          <w:szCs w:val="32"/>
          <w:lang w:val="en-US" w:eastAsia="zh-CN"/>
        </w:rPr>
        <w:t>补贴。</w:t>
      </w:r>
    </w:p>
    <w:p>
      <w:pPr>
        <w:keepNext w:val="0"/>
        <w:keepLines w:val="0"/>
        <w:pageBreakBefore w:val="0"/>
        <w:numPr>
          <w:ilvl w:val="0"/>
          <w:numId w:val="0"/>
        </w:numPr>
        <w:overflowPunct w:val="0"/>
        <w:spacing w:line="560" w:lineRule="exact"/>
        <w:jc w:val="center"/>
        <w:rPr>
          <w:rFonts w:hint="eastAsia" w:ascii="黑体" w:hAnsi="黑体" w:eastAsia="黑体"/>
          <w:sz w:val="32"/>
          <w:szCs w:val="32"/>
          <w:lang w:eastAsia="zh-CN"/>
        </w:rPr>
      </w:pPr>
    </w:p>
    <w:p>
      <w:pPr>
        <w:keepNext w:val="0"/>
        <w:keepLines w:val="0"/>
        <w:pageBreakBefore w:val="0"/>
        <w:numPr>
          <w:ilvl w:val="0"/>
          <w:numId w:val="0"/>
        </w:numPr>
        <w:overflowPunct w:val="0"/>
        <w:spacing w:line="560" w:lineRule="exact"/>
        <w:jc w:val="center"/>
      </w:pPr>
      <w:r>
        <w:rPr>
          <w:rFonts w:hint="eastAsia" w:ascii="黑体" w:hAnsi="黑体" w:eastAsia="黑体"/>
          <w:sz w:val="32"/>
          <w:szCs w:val="32"/>
          <w:lang w:eastAsia="zh-CN"/>
        </w:rPr>
        <w:t>第</w:t>
      </w:r>
      <w:r>
        <w:rPr>
          <w:rFonts w:ascii="黑体" w:hAnsi="黑体" w:eastAsia="黑体"/>
          <w:sz w:val="32"/>
          <w:szCs w:val="32"/>
          <w:lang w:val="en-US" w:eastAsia="zh-CN"/>
        </w:rPr>
        <w:t>七</w:t>
      </w:r>
      <w:r>
        <w:rPr>
          <w:rFonts w:hint="eastAsia" w:ascii="黑体" w:hAnsi="黑体" w:eastAsia="黑体"/>
          <w:sz w:val="32"/>
          <w:szCs w:val="32"/>
          <w:lang w:eastAsia="zh-CN"/>
        </w:rPr>
        <w:t>章</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keepNext w:val="0"/>
        <w:keepLines w:val="0"/>
        <w:pageBreakBefore w:val="0"/>
        <w:numPr>
          <w:ilvl w:val="0"/>
          <w:numId w:val="0"/>
        </w:numPr>
        <w:overflowPunct w:val="0"/>
        <w:spacing w:line="560" w:lineRule="exact"/>
        <w:ind w:firstLine="642" w:firstLineChars="200"/>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lang w:eastAsia="zh-CN"/>
        </w:rPr>
        <w:t>第十</w:t>
      </w:r>
      <w:r>
        <w:rPr>
          <w:rFonts w:hint="eastAsia" w:ascii="仿宋_GB2312" w:eastAsia="仿宋_GB2312"/>
          <w:b/>
          <w:bCs/>
          <w:sz w:val="32"/>
          <w:szCs w:val="32"/>
          <w:shd w:val="clear" w:color="auto" w:fill="FFFFFF"/>
          <w:lang w:val="en-US" w:eastAsia="zh-CN"/>
        </w:rPr>
        <w:t>一</w:t>
      </w:r>
      <w:r>
        <w:rPr>
          <w:rFonts w:hint="eastAsia" w:ascii="仿宋_GB2312" w:eastAsia="仿宋_GB2312"/>
          <w:b/>
          <w:bCs/>
          <w:sz w:val="32"/>
          <w:szCs w:val="32"/>
          <w:shd w:val="clear" w:color="auto" w:fill="FFFFFF"/>
          <w:lang w:eastAsia="zh-CN"/>
        </w:rPr>
        <w:t>条</w:t>
      </w:r>
      <w:r>
        <w:rPr>
          <w:rFonts w:hint="eastAsia" w:ascii="仿宋_GB2312" w:eastAsia="仿宋_GB2312"/>
          <w:sz w:val="32"/>
          <w:szCs w:val="32"/>
          <w:shd w:val="clear" w:color="auto" w:fill="FFFFFF"/>
          <w:lang w:val="en-US" w:eastAsia="zh-CN"/>
        </w:rPr>
        <w:t xml:space="preserve"> </w:t>
      </w:r>
      <w:r>
        <w:rPr>
          <w:rFonts w:hint="eastAsia" w:ascii="仿宋_GB2312" w:eastAsia="仿宋_GB2312"/>
          <w:sz w:val="32"/>
          <w:szCs w:val="32"/>
          <w:shd w:val="clear" w:color="auto" w:fill="FFFFFF"/>
        </w:rPr>
        <w:t>本办法所称“以上”</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“以下”包括本数</w:t>
      </w:r>
      <w:r>
        <w:rPr>
          <w:rFonts w:hint="eastAsia" w:ascii="仿宋_GB2312" w:eastAsia="仿宋_GB2312"/>
          <w:sz w:val="32"/>
          <w:szCs w:val="32"/>
          <w:shd w:val="clear" w:color="auto" w:fill="FFFFFF"/>
          <w:lang w:eastAsia="zh-CN"/>
        </w:rPr>
        <w:t>，</w:t>
      </w:r>
      <w:r>
        <w:rPr>
          <w:rFonts w:hint="eastAsia" w:ascii="仿宋_GB2312" w:hAnsi="仿宋_GB2312" w:eastAsia="仿宋_GB2312"/>
          <w:sz w:val="32"/>
          <w:szCs w:val="32"/>
        </w:rPr>
        <w:t>“超”</w:t>
      </w:r>
      <w:r>
        <w:rPr>
          <w:rFonts w:hint="eastAsia" w:ascii="仿宋_GB2312" w:eastAsia="仿宋_GB2312"/>
          <w:sz w:val="32"/>
          <w:szCs w:val="32"/>
          <w:shd w:val="clear" w:color="auto" w:fill="FFFFFF"/>
          <w:lang w:eastAsia="zh-CN"/>
        </w:rPr>
        <w:t>不</w:t>
      </w:r>
      <w:r>
        <w:rPr>
          <w:rFonts w:hint="eastAsia" w:ascii="仿宋_GB2312" w:eastAsia="仿宋_GB2312"/>
          <w:sz w:val="32"/>
          <w:szCs w:val="32"/>
          <w:shd w:val="clear" w:color="auto" w:fill="FFFFFF"/>
        </w:rPr>
        <w:t>包括本数。同时符合本办法及光明区其他相关扶持政策规定的，申报主体按照“择优不重复”原则进行申报。</w:t>
      </w:r>
    </w:p>
    <w:p>
      <w:pPr>
        <w:keepNext w:val="0"/>
        <w:keepLines w:val="0"/>
        <w:pageBreakBefore w:val="0"/>
        <w:numPr>
          <w:ilvl w:val="0"/>
          <w:numId w:val="0"/>
        </w:numPr>
        <w:overflowPunct w:val="0"/>
        <w:spacing w:line="560" w:lineRule="exact"/>
        <w:ind w:firstLine="642" w:firstLineChars="200"/>
        <w:rPr>
          <w:rFonts w:hint="eastAsia" w:ascii="仿宋_GB2312" w:eastAsia="仿宋_GB2312"/>
          <w:b w:val="0"/>
          <w:bCs/>
          <w:sz w:val="32"/>
          <w:szCs w:val="32"/>
          <w:lang w:eastAsia="zh-CN"/>
        </w:rPr>
      </w:pPr>
      <w:r>
        <w:rPr>
          <w:rFonts w:hint="eastAsia" w:ascii="仿宋_GB2312" w:eastAsia="仿宋_GB2312"/>
          <w:b/>
          <w:bCs w:val="0"/>
          <w:sz w:val="32"/>
          <w:szCs w:val="32"/>
          <w:lang w:eastAsia="zh-CN"/>
        </w:rPr>
        <w:t>第十</w:t>
      </w:r>
      <w:r>
        <w:rPr>
          <w:rFonts w:hint="eastAsia" w:ascii="仿宋_GB2312" w:eastAsia="仿宋_GB2312"/>
          <w:b/>
          <w:bCs w:val="0"/>
          <w:sz w:val="32"/>
          <w:szCs w:val="32"/>
          <w:lang w:val="en-US" w:eastAsia="zh-CN"/>
        </w:rPr>
        <w:t>二</w:t>
      </w:r>
      <w:r>
        <w:rPr>
          <w:rFonts w:hint="eastAsia" w:ascii="仿宋_GB2312" w:eastAsia="仿宋_GB2312"/>
          <w:b/>
          <w:bCs w:val="0"/>
          <w:sz w:val="32"/>
          <w:szCs w:val="32"/>
          <w:lang w:eastAsia="zh-CN"/>
        </w:rPr>
        <w:t xml:space="preserve">条 </w:t>
      </w:r>
      <w:r>
        <w:rPr>
          <w:rFonts w:hint="eastAsia" w:ascii="仿宋_GB2312" w:eastAsia="仿宋_GB2312"/>
          <w:b w:val="0"/>
          <w:bCs/>
          <w:sz w:val="32"/>
          <w:szCs w:val="32"/>
          <w:lang w:eastAsia="zh-CN"/>
        </w:rPr>
        <w:t>本办法中所称“新增租赁产业空间面积”指企业用于自身生产经营的面积，如存在对外转租、借用等非用于自身生产经营的租赁面积，应在计算新增产业空间租赁面积时核减。</w:t>
      </w:r>
    </w:p>
    <w:p>
      <w:pPr>
        <w:keepNext w:val="0"/>
        <w:keepLines w:val="0"/>
        <w:pageBreakBefore w:val="0"/>
        <w:numPr>
          <w:ilvl w:val="0"/>
          <w:numId w:val="0"/>
        </w:numPr>
        <w:overflowPunct w:val="0"/>
        <w:spacing w:line="560" w:lineRule="exact"/>
        <w:ind w:firstLine="642" w:firstLineChars="200"/>
        <w:rPr>
          <w:rFonts w:hint="eastAsia" w:ascii="仿宋_GB2312" w:hAnsi="仿宋_GB2312" w:eastAsia="仿宋_GB2312"/>
          <w:sz w:val="32"/>
          <w:szCs w:val="32"/>
        </w:rPr>
      </w:pPr>
      <w:r>
        <w:rPr>
          <w:rFonts w:hint="eastAsia" w:ascii="仿宋_GB2312" w:eastAsia="仿宋_GB2312"/>
          <w:b/>
          <w:bCs w:val="0"/>
          <w:sz w:val="32"/>
          <w:szCs w:val="32"/>
          <w:lang w:eastAsia="zh-CN"/>
        </w:rPr>
        <w:t>第十</w:t>
      </w:r>
      <w:r>
        <w:rPr>
          <w:rFonts w:hint="eastAsia" w:ascii="仿宋_GB2312" w:eastAsia="仿宋_GB2312"/>
          <w:b/>
          <w:bCs w:val="0"/>
          <w:sz w:val="32"/>
          <w:szCs w:val="32"/>
          <w:lang w:val="en-US" w:eastAsia="zh-CN"/>
        </w:rPr>
        <w:t>三</w:t>
      </w:r>
      <w:r>
        <w:rPr>
          <w:rFonts w:hint="eastAsia" w:ascii="仿宋_GB2312" w:eastAsia="仿宋_GB2312"/>
          <w:b/>
          <w:bCs w:val="0"/>
          <w:sz w:val="32"/>
          <w:szCs w:val="32"/>
          <w:lang w:eastAsia="zh-CN"/>
        </w:rPr>
        <w:t>条</w:t>
      </w:r>
      <w:r>
        <w:rPr>
          <w:rFonts w:hint="eastAsia" w:ascii="仿宋_GB2312" w:eastAsia="仿宋_GB2312"/>
          <w:bCs/>
          <w:sz w:val="32"/>
          <w:szCs w:val="32"/>
          <w:lang w:val="en-US" w:eastAsia="zh-CN"/>
        </w:rPr>
        <w:t xml:space="preserve"> </w:t>
      </w:r>
      <w:r>
        <w:rPr>
          <w:rFonts w:hint="eastAsia" w:ascii="仿宋_GB2312" w:eastAsia="仿宋_GB2312"/>
          <w:bCs/>
          <w:sz w:val="32"/>
          <w:szCs w:val="32"/>
        </w:rPr>
        <w:t>本办法涉及的政策资金纳入光明区经济发展专项政策资金年度预算，</w:t>
      </w:r>
      <w:r>
        <w:rPr>
          <w:rFonts w:hint="eastAsia" w:ascii="仿宋_GB2312" w:hAnsi="仿宋_GB2312" w:eastAsia="仿宋_GB2312"/>
          <w:sz w:val="32"/>
          <w:szCs w:val="32"/>
        </w:rPr>
        <w:t>支持项目有数量和额度限制，受光明区经济发展专项资金年度总额控制。</w:t>
      </w:r>
    </w:p>
    <w:p>
      <w:pPr>
        <w:pStyle w:val="2"/>
        <w:keepNext w:val="0"/>
        <w:keepLines w:val="0"/>
        <w:pageBreakBefore w:val="0"/>
        <w:numPr>
          <w:ilvl w:val="0"/>
          <w:numId w:val="0"/>
        </w:numPr>
        <w:spacing w:line="560" w:lineRule="exact"/>
        <w:ind w:firstLine="642" w:firstLineChars="200"/>
        <w:rPr>
          <w:rFonts w:hint="eastAsia" w:ascii="仿宋_GB2312" w:hAnsi="仿宋_GB2312" w:eastAsia="仿宋_GB2312"/>
          <w:bCs/>
          <w:kern w:val="2"/>
          <w:sz w:val="32"/>
          <w:szCs w:val="32"/>
          <w:lang w:val="en-US" w:eastAsia="zh-CN" w:bidi="ar-SA"/>
        </w:rPr>
      </w:pPr>
      <w:r>
        <w:rPr>
          <w:rFonts w:hint="eastAsia" w:ascii="仿宋_GB2312" w:hAnsi="仿宋_GB2312" w:eastAsia="仿宋_GB2312"/>
          <w:b/>
          <w:bCs w:val="0"/>
          <w:kern w:val="2"/>
          <w:sz w:val="32"/>
          <w:szCs w:val="32"/>
          <w:lang w:val="en-US" w:eastAsia="zh-CN" w:bidi="ar-SA"/>
        </w:rPr>
        <w:t>第十四条</w:t>
      </w:r>
      <w:r>
        <w:rPr>
          <w:rFonts w:hint="eastAsia" w:ascii="仿宋_GB2312" w:hAnsi="仿宋_GB2312" w:eastAsia="仿宋_GB2312"/>
          <w:bCs/>
          <w:kern w:val="2"/>
          <w:sz w:val="32"/>
          <w:szCs w:val="32"/>
          <w:lang w:val="en-US" w:eastAsia="zh-CN" w:bidi="ar-SA"/>
        </w:rPr>
        <w:t xml:space="preserve"> 申请单位原则上应满足以下基本条件:</w:t>
      </w:r>
    </w:p>
    <w:p>
      <w:pPr>
        <w:pStyle w:val="2"/>
        <w:keepNext w:val="0"/>
        <w:keepLines w:val="0"/>
        <w:pageBreakBefore w:val="0"/>
        <w:numPr>
          <w:ilvl w:val="0"/>
          <w:numId w:val="0"/>
        </w:numPr>
        <w:spacing w:line="560" w:lineRule="exact"/>
        <w:ind w:firstLine="640" w:firstLineChars="200"/>
        <w:rPr>
          <w:rFonts w:hint="eastAsia" w:ascii="仿宋_GB2312" w:hAnsi="Calibri" w:eastAsia="仿宋_GB2312"/>
          <w:bCs/>
          <w:kern w:val="2"/>
          <w:sz w:val="32"/>
          <w:szCs w:val="32"/>
          <w:lang w:val="en-US" w:eastAsia="zh-CN" w:bidi="ar-SA"/>
        </w:rPr>
      </w:pPr>
      <w:r>
        <w:rPr>
          <w:rFonts w:hint="eastAsia" w:ascii="仿宋_GB2312" w:hAnsi="Calibri" w:eastAsia="仿宋_GB2312"/>
          <w:bCs/>
          <w:kern w:val="2"/>
          <w:sz w:val="32"/>
          <w:szCs w:val="32"/>
          <w:lang w:val="en-US" w:eastAsia="zh-CN" w:bidi="ar-SA"/>
        </w:rPr>
        <w:t>（一）履行统计数据申报义务、守法经营、诚实守信;</w:t>
      </w:r>
    </w:p>
    <w:p>
      <w:pPr>
        <w:pStyle w:val="2"/>
        <w:keepNext w:val="0"/>
        <w:keepLines w:val="0"/>
        <w:pageBreakBefore w:val="0"/>
        <w:numPr>
          <w:ilvl w:val="0"/>
          <w:numId w:val="0"/>
        </w:numPr>
        <w:spacing w:line="560" w:lineRule="exact"/>
        <w:ind w:firstLine="640" w:firstLineChars="200"/>
        <w:rPr>
          <w:rFonts w:hint="eastAsia" w:ascii="仿宋_GB2312" w:hAnsi="Calibri" w:eastAsia="仿宋_GB2312"/>
          <w:bCs/>
          <w:kern w:val="2"/>
          <w:sz w:val="32"/>
          <w:szCs w:val="32"/>
          <w:lang w:val="en-US" w:eastAsia="zh-CN" w:bidi="ar-SA"/>
        </w:rPr>
      </w:pPr>
      <w:r>
        <w:rPr>
          <w:rFonts w:hint="eastAsia" w:ascii="仿宋_GB2312" w:hAnsi="Calibri" w:eastAsia="仿宋_GB2312"/>
          <w:bCs/>
          <w:kern w:val="2"/>
          <w:sz w:val="32"/>
          <w:szCs w:val="32"/>
          <w:lang w:val="en-US" w:eastAsia="zh-CN" w:bidi="ar-SA"/>
        </w:rPr>
        <w:t>（二）不存在违反失信惩戒措施基础清单相关规定的情形;</w:t>
      </w:r>
    </w:p>
    <w:p>
      <w:pPr>
        <w:pStyle w:val="2"/>
        <w:keepNext w:val="0"/>
        <w:keepLines w:val="0"/>
        <w:pageBreakBefore w:val="0"/>
        <w:numPr>
          <w:ilvl w:val="0"/>
          <w:numId w:val="0"/>
        </w:numPr>
        <w:spacing w:line="560" w:lineRule="exact"/>
        <w:ind w:firstLine="640" w:firstLineChars="200"/>
        <w:rPr>
          <w:rFonts w:hint="eastAsia" w:ascii="仿宋_GB2312" w:hAnsi="Calibri" w:eastAsia="仿宋_GB2312"/>
          <w:bCs/>
          <w:kern w:val="2"/>
          <w:sz w:val="32"/>
          <w:szCs w:val="32"/>
          <w:lang w:val="en-US" w:eastAsia="zh-CN" w:bidi="ar-SA"/>
        </w:rPr>
      </w:pPr>
      <w:r>
        <w:rPr>
          <w:rFonts w:hint="eastAsia" w:ascii="仿宋_GB2312" w:hAnsi="Calibri" w:eastAsia="仿宋_GB2312"/>
          <w:bCs/>
          <w:kern w:val="2"/>
          <w:sz w:val="32"/>
          <w:szCs w:val="32"/>
          <w:lang w:val="en-US" w:eastAsia="zh-CN" w:bidi="ar-SA"/>
        </w:rPr>
        <w:t>（三）符合《光明区经济发展专项资金管理办法》规定的其他条件。</w:t>
      </w:r>
    </w:p>
    <w:p>
      <w:pPr>
        <w:keepNext w:val="0"/>
        <w:keepLines w:val="0"/>
        <w:pageBreakBefore w:val="0"/>
        <w:overflowPunct w:val="0"/>
        <w:spacing w:line="560" w:lineRule="exact"/>
        <w:ind w:firstLine="642" w:firstLineChars="200"/>
        <w:rPr>
          <w:rFonts w:hint="eastAsia" w:ascii="仿宋_GB2312" w:eastAsia="仿宋_GB2312"/>
          <w:sz w:val="32"/>
          <w:szCs w:val="32"/>
          <w:shd w:val="clear" w:color="auto" w:fill="FFFFFF"/>
        </w:rPr>
      </w:pPr>
      <w:r>
        <w:rPr>
          <w:rFonts w:hint="eastAsia" w:ascii="仿宋_GB2312" w:hAnsi="仿宋_GB2312" w:eastAsia="仿宋_GB2312"/>
          <w:b/>
          <w:bCs/>
          <w:sz w:val="32"/>
          <w:szCs w:val="32"/>
        </w:rPr>
        <w:t>第</w:t>
      </w:r>
      <w:r>
        <w:rPr>
          <w:rFonts w:hint="eastAsia" w:ascii="仿宋_GB2312" w:hAnsi="仿宋_GB2312" w:eastAsia="仿宋_GB2312"/>
          <w:b/>
          <w:bCs/>
          <w:sz w:val="32"/>
          <w:szCs w:val="32"/>
          <w:lang w:val="en-US" w:eastAsia="zh-CN"/>
        </w:rPr>
        <w:t>十五</w:t>
      </w:r>
      <w:r>
        <w:rPr>
          <w:rFonts w:hint="eastAsia" w:ascii="仿宋_GB2312" w:hAnsi="仿宋_GB2312" w:eastAsia="仿宋_GB2312"/>
          <w:b/>
          <w:bCs/>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shd w:val="clear" w:color="auto" w:fill="FFFFFF"/>
        </w:rPr>
        <w:t>租金价格是指承租</w:t>
      </w:r>
      <w:r>
        <w:rPr>
          <w:rFonts w:hint="eastAsia" w:ascii="仿宋_GB2312" w:eastAsia="仿宋_GB2312"/>
          <w:sz w:val="32"/>
          <w:szCs w:val="32"/>
          <w:shd w:val="clear" w:color="auto" w:fill="FFFFFF"/>
          <w:lang w:val="en-US" w:eastAsia="zh-CN"/>
        </w:rPr>
        <w:t>单位</w:t>
      </w:r>
      <w:r>
        <w:rPr>
          <w:rFonts w:hint="eastAsia" w:ascii="仿宋_GB2312" w:eastAsia="仿宋_GB2312"/>
          <w:sz w:val="32"/>
          <w:szCs w:val="32"/>
          <w:shd w:val="clear" w:color="auto" w:fill="FFFFFF"/>
        </w:rPr>
        <w:t>与运营主体签订租赁合同所约定的租金，不含水电费、</w:t>
      </w:r>
      <w:r>
        <w:rPr>
          <w:rFonts w:hint="eastAsia" w:ascii="仿宋_GB2312" w:eastAsia="仿宋_GB2312"/>
          <w:sz w:val="32"/>
          <w:szCs w:val="32"/>
        </w:rPr>
        <w:t>空调费、物业管理费等其他相关费用</w:t>
      </w:r>
      <w:r>
        <w:rPr>
          <w:rFonts w:hint="eastAsia" w:ascii="仿宋_GB2312" w:eastAsia="仿宋_GB2312"/>
          <w:sz w:val="32"/>
          <w:szCs w:val="32"/>
          <w:shd w:val="clear" w:color="auto" w:fill="FFFFFF"/>
        </w:rPr>
        <w:t>。</w:t>
      </w:r>
    </w:p>
    <w:p>
      <w:pPr>
        <w:pStyle w:val="2"/>
        <w:rPr>
          <w:rFonts w:hint="default" w:ascii="仿宋_GB2312" w:eastAsia="仿宋_GB2312"/>
          <w:b/>
          <w:bCs/>
          <w:sz w:val="32"/>
          <w:szCs w:val="32"/>
          <w:shd w:val="clear" w:color="auto" w:fill="FFFFFF"/>
          <w:lang w:val="en-US" w:eastAsia="zh-CN"/>
        </w:rPr>
      </w:pPr>
      <w:r>
        <w:rPr>
          <w:rFonts w:hint="eastAsia" w:ascii="仿宋_GB2312" w:eastAsia="仿宋_GB2312"/>
          <w:b/>
          <w:bCs/>
          <w:sz w:val="32"/>
          <w:szCs w:val="32"/>
          <w:shd w:val="clear" w:color="auto" w:fill="FFFFFF"/>
          <w:lang w:val="en-US" w:eastAsia="zh-CN"/>
        </w:rPr>
        <w:t xml:space="preserve">第十六条 </w:t>
      </w:r>
      <w:r>
        <w:rPr>
          <w:rFonts w:hint="eastAsia" w:ascii="仿宋_GB2312" w:eastAsia="仿宋_GB2312"/>
          <w:sz w:val="32"/>
          <w:szCs w:val="32"/>
          <w:shd w:val="clear" w:color="auto" w:fill="FFFFFF"/>
          <w:lang w:val="en-US" w:eastAsia="zh-CN"/>
        </w:rPr>
        <w:t>2022年1月1日至本办法自印发之日，已按照原《光明区关于打造高品质产业空间 促进优质项目落地若干措施》（深光府规〔2022〕5号）进行申报的企业租金补贴事项参照本办法执行。</w:t>
      </w:r>
    </w:p>
    <w:p>
      <w:pPr>
        <w:pStyle w:val="2"/>
        <w:keepNext w:val="0"/>
        <w:keepLines w:val="0"/>
        <w:pageBreakBefore w:val="0"/>
        <w:spacing w:line="560" w:lineRule="exact"/>
        <w:jc w:val="both"/>
        <w:rPr>
          <w:rFonts w:hint="eastAsia" w:eastAsia="仿宋_GB2312"/>
          <w:lang w:eastAsia="zh-CN"/>
        </w:rPr>
      </w:pPr>
      <w:r>
        <w:rPr>
          <w:rFonts w:hint="eastAsia" w:ascii="仿宋_GB2312" w:hAnsi="仿宋_GB2312" w:eastAsia="仿宋_GB2312"/>
          <w:b/>
          <w:bCs/>
          <w:sz w:val="32"/>
          <w:szCs w:val="32"/>
        </w:rPr>
        <w:t>第</w:t>
      </w:r>
      <w:r>
        <w:rPr>
          <w:rFonts w:hint="eastAsia" w:ascii="仿宋_GB2312" w:hAnsi="仿宋_GB2312" w:eastAsia="仿宋_GB2312"/>
          <w:b/>
          <w:bCs/>
          <w:i w:val="0"/>
          <w:iCs w:val="0"/>
          <w:caps w:val="0"/>
          <w:smallCaps w:val="0"/>
          <w:strike w:val="0"/>
          <w:vanish w:val="0"/>
          <w:color w:val="000000"/>
          <w:spacing w:val="0"/>
          <w:kern w:val="2"/>
          <w:position w:val="0"/>
          <w:sz w:val="32"/>
          <w:szCs w:val="32"/>
          <w:u w:val="none"/>
          <w:vertAlign w:val="baseline"/>
          <w:rtl w:val="0"/>
          <w:cs w:val="0"/>
          <w:lang w:val="en-US" w:eastAsia="zh-CN" w:bidi="ar-SA"/>
        </w:rPr>
        <w:t>十七</w:t>
      </w:r>
      <w:r>
        <w:rPr>
          <w:rFonts w:hint="eastAsia" w:ascii="仿宋_GB2312" w:hAnsi="仿宋_GB2312" w:eastAsia="仿宋_GB2312"/>
          <w:b/>
          <w:bCs/>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本办法由光明区工业和信息化局负责解释，</w:t>
      </w:r>
      <w:r>
        <w:rPr>
          <w:rFonts w:hint="eastAsia" w:ascii="仿宋_GB2312" w:eastAsia="仿宋_GB2312"/>
          <w:sz w:val="32"/>
          <w:szCs w:val="32"/>
          <w:shd w:val="clear" w:color="auto" w:fill="FFFFFF"/>
        </w:rPr>
        <w:t>自</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年*</w:t>
      </w:r>
      <w:r>
        <w:rPr>
          <w:rFonts w:ascii="仿宋_GB2312" w:hAnsi="仿宋" w:eastAsia="仿宋_GB2312"/>
          <w:sz w:val="32"/>
          <w:szCs w:val="32"/>
        </w:rPr>
        <w:t>*</w:t>
      </w:r>
      <w:r>
        <w:rPr>
          <w:rFonts w:hint="eastAsia" w:ascii="仿宋_GB2312" w:hAnsi="仿宋" w:eastAsia="仿宋_GB2312"/>
          <w:sz w:val="32"/>
          <w:szCs w:val="32"/>
        </w:rPr>
        <w:t>月*</w:t>
      </w:r>
      <w:r>
        <w:rPr>
          <w:rFonts w:ascii="仿宋_GB2312" w:hAnsi="仿宋" w:eastAsia="仿宋_GB2312"/>
          <w:sz w:val="32"/>
          <w:szCs w:val="32"/>
        </w:rPr>
        <w:t>*</w:t>
      </w:r>
      <w:r>
        <w:rPr>
          <w:rFonts w:hint="eastAsia" w:ascii="仿宋_GB2312" w:hAnsi="仿宋" w:eastAsia="仿宋_GB2312"/>
          <w:sz w:val="32"/>
          <w:szCs w:val="32"/>
        </w:rPr>
        <w:t>日</w:t>
      </w:r>
      <w:r>
        <w:rPr>
          <w:rFonts w:hint="eastAsia" w:ascii="仿宋_GB2312" w:eastAsia="仿宋_GB2312"/>
          <w:sz w:val="32"/>
          <w:szCs w:val="32"/>
          <w:shd w:val="clear" w:color="auto" w:fill="FFFFFF"/>
        </w:rPr>
        <w:t>起实施，有效期3年</w:t>
      </w:r>
      <w:r>
        <w:rPr>
          <w:rFonts w:hint="eastAsia" w:ascii="仿宋_GB2312" w:eastAsia="仿宋_GB2312"/>
          <w:sz w:val="32"/>
          <w:szCs w:val="32"/>
          <w:shd w:val="clear" w:color="auto" w:fill="FFFFFF"/>
          <w:lang w:eastAsia="zh-CN"/>
        </w:rPr>
        <w:t>，</w:t>
      </w:r>
      <w:r>
        <w:rPr>
          <w:rFonts w:hint="eastAsia" w:ascii="仿宋_GB2312" w:hAnsi="仿宋_GB2312" w:eastAsia="仿宋_GB2312"/>
          <w:sz w:val="32"/>
          <w:szCs w:val="32"/>
        </w:rPr>
        <w:t>原《光明区打造高品质产业空间若干措施》（深光府规〔202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号）、《光明区旧工业区综合提升实施暂行办法》（深光府规〔202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号）</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《光明区特色产业园区认定和管理暂行办法》</w:t>
      </w:r>
      <w:r>
        <w:rPr>
          <w:rFonts w:hint="eastAsia" w:ascii="仿宋_GB2312" w:hAnsi="仿宋_GB2312" w:eastAsia="仿宋_GB2312"/>
          <w:sz w:val="32"/>
          <w:szCs w:val="32"/>
          <w:lang w:eastAsia="zh-CN"/>
        </w:rPr>
        <w:t>（深光府规〔2024〕2 号）</w:t>
      </w:r>
      <w:r>
        <w:rPr>
          <w:rFonts w:hint="eastAsia" w:ascii="仿宋_GB2312" w:hAnsi="仿宋_GB2312" w:eastAsia="仿宋_GB2312"/>
          <w:sz w:val="32"/>
          <w:szCs w:val="32"/>
        </w:rPr>
        <w:t>同步废止</w:t>
      </w:r>
      <w:r>
        <w:rPr>
          <w:rFonts w:hint="eastAsia" w:ascii="仿宋_GB2312" w:hAnsi="仿宋_GB2312" w:eastAsia="仿宋_GB2312"/>
          <w:sz w:val="32"/>
          <w:szCs w:val="32"/>
          <w:lang w:eastAsia="zh-CN"/>
        </w:rPr>
        <w:t>。</w:t>
      </w:r>
    </w:p>
    <w:p>
      <w:pPr>
        <w:keepNext w:val="0"/>
        <w:keepLines w:val="0"/>
        <w:pageBreakBefore w:val="0"/>
        <w:widowControl w:val="0"/>
        <w:spacing w:line="560" w:lineRule="exact"/>
        <w:jc w:val="both"/>
      </w:pPr>
    </w:p>
    <w:sectPr>
      <w:footerReference r:id="rId5" w:type="default"/>
      <w:pgSz w:w="11906" w:h="16838"/>
      <w:pgMar w:top="2098" w:right="1474" w:bottom="1984" w:left="1587" w:header="851" w:footer="992" w:gutter="0"/>
      <w:pgNumType w:fmt="numberInDash"/>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cmpd="sng">
                        <a:noFill/>
                      </a:ln>
                    </wps:spPr>
                    <wps:txbx>
                      <w:txbxContent>
                        <w:p>
                          <w:pPr>
                            <w:pStyle w:val="184"/>
                            <w:tabs>
                              <w:tab w:val="clear" w:pos="4153"/>
                              <w:tab w:val="clear" w:pos="8306"/>
                            </w:tabs>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5dblS0AAAAAUBAAAPAAAAAAAAAAEAIAAAADgAAABkcnMvZG93bnJldi54bWxQ&#10;SwECFAAUAAAACACHTuJAG6dGWbABAABLAwAADgAAAAAAAAABACAAAAA1AQAAZHJzL2Uyb0RvYy54&#10;bWxQSwUGAAAAAAYABgBZAQAAVwUAAAAA&#10;">
              <v:fill on="f" focussize="0,0"/>
              <v:stroke on="f"/>
              <v:imagedata o:title=""/>
              <o:lock v:ext="edit" aspectratio="f"/>
              <v:textbox inset="0mm,0mm,0mm,0mm" style="mso-fit-shape-to-text:t;">
                <w:txbxContent>
                  <w:p>
                    <w:pPr>
                      <w:pStyle w:val="184"/>
                      <w:tabs>
                        <w:tab w:val="clear" w:pos="4153"/>
                        <w:tab w:val="clear" w:pos="8306"/>
                      </w:tabs>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8028C"/>
    <w:multiLevelType w:val="multilevel"/>
    <w:tmpl w:val="FF78028C"/>
    <w:lvl w:ilvl="0" w:tentative="0">
      <w:start w:val="1"/>
      <w:numFmt w:val="chineseCountingThousand"/>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7F7FC74D"/>
    <w:multiLevelType w:val="multilevel"/>
    <w:tmpl w:val="7F7FC74D"/>
    <w:lvl w:ilvl="0" w:tentative="0">
      <w:start w:val="6"/>
      <w:numFmt w:val="chineseCountingThousand"/>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true"/>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45C5A"/>
    <w:rsid w:val="17F57F70"/>
    <w:rsid w:val="222F01D4"/>
    <w:rsid w:val="38E6720F"/>
    <w:rsid w:val="3ACE114C"/>
    <w:rsid w:val="65C7416D"/>
    <w:rsid w:val="67772E74"/>
    <w:rsid w:val="6DF9EC93"/>
    <w:rsid w:val="6EB12B26"/>
    <w:rsid w:val="6F9C3163"/>
    <w:rsid w:val="6FDE732B"/>
    <w:rsid w:val="74FFF923"/>
    <w:rsid w:val="77D07416"/>
    <w:rsid w:val="7E5F367F"/>
    <w:rsid w:val="7F75B82B"/>
    <w:rsid w:val="7F7FF958"/>
    <w:rsid w:val="973F05CF"/>
    <w:rsid w:val="9EFFCA7E"/>
    <w:rsid w:val="AAF3705E"/>
    <w:rsid w:val="AFD364E1"/>
    <w:rsid w:val="BF7564B3"/>
    <w:rsid w:val="BFFB73CD"/>
    <w:rsid w:val="D4BF3986"/>
    <w:rsid w:val="DDFFA815"/>
    <w:rsid w:val="EB72E7D9"/>
    <w:rsid w:val="F93D1AD7"/>
    <w:rsid w:val="FB3BCB92"/>
    <w:rsid w:val="FDF79BEB"/>
    <w:rsid w:val="FF5B05E7"/>
    <w:rsid w:val="FF6A74AF"/>
    <w:rsid w:val="FF7316F6"/>
    <w:rsid w:val="FFEA89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Calibri" w:hAnsi="Calibri" w:eastAsia="宋体" w:cs="Times New Roman"/>
      <w:color w:val="auto"/>
      <w:spacing w:val="0"/>
      <w:kern w:val="2"/>
      <w:position w:val="0"/>
      <w:sz w:val="21"/>
      <w:szCs w:val="24"/>
      <w:lang w:val="en-US" w:eastAsia="zh-CN" w:bidi="ar-SA"/>
    </w:rPr>
  </w:style>
  <w:style w:type="paragraph" w:styleId="3">
    <w:name w:val="heading 1"/>
    <w:basedOn w:val="1"/>
    <w:next w:val="1"/>
    <w:link w:val="33"/>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4">
    <w:name w:val="heading 2"/>
    <w:basedOn w:val="1"/>
    <w:next w:val="1"/>
    <w:link w:val="34"/>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link w:val="35"/>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6">
    <w:name w:val="heading 4"/>
    <w:basedOn w:val="1"/>
    <w:next w:val="1"/>
    <w:link w:val="36"/>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37"/>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38"/>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39"/>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40"/>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41"/>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标书正文1"/>
    <w:basedOn w:val="1"/>
    <w:qFormat/>
    <w:uiPriority w:val="0"/>
    <w:pPr>
      <w:spacing w:line="520" w:lineRule="exact"/>
      <w:ind w:firstLine="640" w:firstLineChars="200"/>
    </w:pPr>
    <w:rPr>
      <w:rFonts w:ascii="Times New Roman" w:hAnsi="Times New Roman" w:eastAsia="宋体"/>
    </w:r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4">
    <w:name w:val="annotation text"/>
    <w:basedOn w:val="1"/>
    <w:semiHidden/>
    <w:unhideWhenUsed/>
    <w:qFormat/>
    <w:uiPriority w:val="99"/>
    <w:pPr>
      <w:jc w:val="left"/>
    </w:pPr>
  </w:style>
  <w:style w:type="paragraph" w:styleId="15">
    <w:name w:val="toc 5"/>
    <w:basedOn w:val="1"/>
    <w:next w:val="1"/>
    <w:unhideWhenUsed/>
    <w:qFormat/>
    <w:uiPriority w:val="39"/>
    <w:pPr>
      <w:overflowPunct w:val="0"/>
      <w:autoSpaceDE w:val="0"/>
      <w:autoSpaceDN w:val="0"/>
      <w:spacing w:after="57"/>
      <w:ind w:left="1134" w:right="0" w:firstLine="0"/>
    </w:pPr>
  </w:style>
  <w:style w:type="paragraph" w:styleId="16">
    <w:name w:val="toc 3"/>
    <w:basedOn w:val="1"/>
    <w:next w:val="1"/>
    <w:unhideWhenUsed/>
    <w:qFormat/>
    <w:uiPriority w:val="39"/>
    <w:pPr>
      <w:overflowPunct w:val="0"/>
      <w:autoSpaceDE w:val="0"/>
      <w:autoSpaceDN w:val="0"/>
      <w:spacing w:after="57"/>
      <w:ind w:left="567" w:right="0" w:firstLine="0"/>
    </w:pPr>
  </w:style>
  <w:style w:type="paragraph" w:styleId="17">
    <w:name w:val="toc 8"/>
    <w:basedOn w:val="1"/>
    <w:next w:val="1"/>
    <w:unhideWhenUsed/>
    <w:qFormat/>
    <w:uiPriority w:val="39"/>
    <w:pPr>
      <w:overflowPunct w:val="0"/>
      <w:autoSpaceDE w:val="0"/>
      <w:autoSpaceDN w:val="0"/>
      <w:spacing w:after="57"/>
      <w:ind w:left="1984" w:right="0" w:firstLine="0"/>
    </w:pPr>
  </w:style>
  <w:style w:type="paragraph" w:styleId="18">
    <w:name w:val="footer"/>
    <w:basedOn w:val="1"/>
    <w:link w:val="52"/>
    <w:unhideWhenUsed/>
    <w:qFormat/>
    <w:uiPriority w:val="99"/>
    <w:pPr>
      <w:tabs>
        <w:tab w:val="center" w:pos="7143"/>
        <w:tab w:val="right" w:pos="14287"/>
      </w:tabs>
      <w:overflowPunct w:val="0"/>
      <w:autoSpaceDE w:val="0"/>
      <w:autoSpaceDN w:val="0"/>
      <w:spacing w:after="0" w:line="240" w:lineRule="auto"/>
    </w:pPr>
  </w:style>
  <w:style w:type="paragraph" w:styleId="19">
    <w:name w:val="header"/>
    <w:basedOn w:val="1"/>
    <w:link w:val="50"/>
    <w:unhideWhenUsed/>
    <w:qFormat/>
    <w:uiPriority w:val="99"/>
    <w:pPr>
      <w:tabs>
        <w:tab w:val="center" w:pos="7143"/>
        <w:tab w:val="right" w:pos="14287"/>
      </w:tabs>
      <w:overflowPunct w:val="0"/>
      <w:autoSpaceDE w:val="0"/>
      <w:autoSpaceDN w:val="0"/>
      <w:spacing w:after="0" w:line="240" w:lineRule="auto"/>
    </w:pPr>
  </w:style>
  <w:style w:type="paragraph" w:styleId="20">
    <w:name w:val="toc 1"/>
    <w:basedOn w:val="1"/>
    <w:next w:val="1"/>
    <w:unhideWhenUsed/>
    <w:qFormat/>
    <w:uiPriority w:val="39"/>
    <w:pPr>
      <w:overflowPunct w:val="0"/>
      <w:autoSpaceDE w:val="0"/>
      <w:autoSpaceDN w:val="0"/>
      <w:spacing w:after="57"/>
      <w:ind w:left="0" w:right="0" w:firstLine="0"/>
    </w:pPr>
  </w:style>
  <w:style w:type="paragraph" w:styleId="21">
    <w:name w:val="toc 4"/>
    <w:basedOn w:val="1"/>
    <w:next w:val="1"/>
    <w:unhideWhenUsed/>
    <w:qFormat/>
    <w:uiPriority w:val="39"/>
    <w:pPr>
      <w:overflowPunct w:val="0"/>
      <w:autoSpaceDE w:val="0"/>
      <w:autoSpaceDN w:val="0"/>
      <w:spacing w:after="57"/>
      <w:ind w:left="850" w:right="0" w:firstLine="0"/>
    </w:pPr>
  </w:style>
  <w:style w:type="paragraph" w:styleId="22">
    <w:name w:val="Subtitle"/>
    <w:basedOn w:val="1"/>
    <w:next w:val="1"/>
    <w:link w:val="45"/>
    <w:qFormat/>
    <w:uiPriority w:val="11"/>
    <w:pPr>
      <w:overflowPunct w:val="0"/>
      <w:autoSpaceDE w:val="0"/>
      <w:autoSpaceDN w:val="0"/>
      <w:spacing w:before="200" w:after="200"/>
    </w:pPr>
    <w:rPr>
      <w:sz w:val="24"/>
      <w:szCs w:val="24"/>
    </w:rPr>
  </w:style>
  <w:style w:type="paragraph" w:styleId="23">
    <w:name w:val="footnote text"/>
    <w:basedOn w:val="1"/>
    <w:link w:val="178"/>
    <w:semiHidden/>
    <w:unhideWhenUsed/>
    <w:qFormat/>
    <w:uiPriority w:val="99"/>
    <w:pPr>
      <w:overflowPunct w:val="0"/>
      <w:autoSpaceDE w:val="0"/>
      <w:autoSpaceDN w:val="0"/>
      <w:spacing w:after="40" w:line="240" w:lineRule="auto"/>
    </w:pPr>
    <w:rPr>
      <w:sz w:val="18"/>
    </w:rPr>
  </w:style>
  <w:style w:type="paragraph" w:styleId="24">
    <w:name w:val="toc 6"/>
    <w:basedOn w:val="1"/>
    <w:next w:val="1"/>
    <w:unhideWhenUsed/>
    <w:qFormat/>
    <w:uiPriority w:val="39"/>
    <w:pPr>
      <w:overflowPunct w:val="0"/>
      <w:autoSpaceDE w:val="0"/>
      <w:autoSpaceDN w:val="0"/>
      <w:spacing w:after="57"/>
      <w:ind w:left="1417" w:right="0" w:firstLine="0"/>
    </w:pPr>
  </w:style>
  <w:style w:type="paragraph" w:styleId="25">
    <w:name w:val="toc 2"/>
    <w:basedOn w:val="1"/>
    <w:next w:val="1"/>
    <w:unhideWhenUsed/>
    <w:qFormat/>
    <w:uiPriority w:val="39"/>
    <w:pPr>
      <w:overflowPunct w:val="0"/>
      <w:autoSpaceDE w:val="0"/>
      <w:autoSpaceDN w:val="0"/>
      <w:spacing w:after="57"/>
      <w:ind w:left="283" w:right="0" w:firstLine="0"/>
    </w:pPr>
  </w:style>
  <w:style w:type="paragraph" w:styleId="26">
    <w:name w:val="toc 9"/>
    <w:basedOn w:val="1"/>
    <w:next w:val="1"/>
    <w:unhideWhenUsed/>
    <w:qFormat/>
    <w:uiPriority w:val="39"/>
    <w:pPr>
      <w:overflowPunct w:val="0"/>
      <w:autoSpaceDE w:val="0"/>
      <w:autoSpaceDN w:val="0"/>
      <w:spacing w:after="57"/>
      <w:ind w:left="2268" w:right="0" w:firstLine="0"/>
    </w:pPr>
  </w:style>
  <w:style w:type="paragraph" w:styleId="27">
    <w:name w:val="Title"/>
    <w:basedOn w:val="1"/>
    <w:next w:val="1"/>
    <w:link w:val="44"/>
    <w:qFormat/>
    <w:uiPriority w:val="10"/>
    <w:pPr>
      <w:overflowPunct w:val="0"/>
      <w:autoSpaceDE w:val="0"/>
      <w:autoSpaceDN w:val="0"/>
      <w:spacing w:before="300" w:after="200"/>
      <w:contextualSpacing/>
    </w:pPr>
    <w:rPr>
      <w:sz w:val="48"/>
      <w:szCs w:val="48"/>
    </w:rPr>
  </w:style>
  <w:style w:type="table" w:styleId="29">
    <w:name w:val="Table Grid"/>
    <w:basedOn w:val="28"/>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Hyperlink"/>
    <w:unhideWhenUsed/>
    <w:qFormat/>
    <w:uiPriority w:val="99"/>
    <w:rPr>
      <w:color w:val="0000FF" w:themeColor="hyperlink"/>
      <w:u w:val="single"/>
      <w14:textFill>
        <w14:solidFill>
          <w14:schemeClr w14:val="hlink"/>
        </w14:solidFill>
      </w14:textFill>
    </w:rPr>
  </w:style>
  <w:style w:type="character" w:styleId="32">
    <w:name w:val="footnote reference"/>
    <w:basedOn w:val="30"/>
    <w:unhideWhenUsed/>
    <w:qFormat/>
    <w:uiPriority w:val="99"/>
    <w:rPr>
      <w:vertAlign w:val="superscript"/>
    </w:rPr>
  </w:style>
  <w:style w:type="character" w:customStyle="1" w:styleId="33">
    <w:name w:val="Heading 1 Char"/>
    <w:basedOn w:val="30"/>
    <w:link w:val="3"/>
    <w:qFormat/>
    <w:uiPriority w:val="9"/>
    <w:rPr>
      <w:rFonts w:ascii="Arial" w:hAnsi="Arial" w:eastAsia="Arial" w:cs="Arial"/>
      <w:sz w:val="40"/>
      <w:szCs w:val="40"/>
    </w:rPr>
  </w:style>
  <w:style w:type="character" w:customStyle="1" w:styleId="34">
    <w:name w:val="Heading 2 Char"/>
    <w:basedOn w:val="30"/>
    <w:link w:val="4"/>
    <w:qFormat/>
    <w:uiPriority w:val="9"/>
    <w:rPr>
      <w:rFonts w:ascii="Arial" w:hAnsi="Arial" w:eastAsia="Arial" w:cs="Arial"/>
      <w:sz w:val="34"/>
    </w:rPr>
  </w:style>
  <w:style w:type="character" w:customStyle="1" w:styleId="35">
    <w:name w:val="Heading 3 Char"/>
    <w:basedOn w:val="30"/>
    <w:link w:val="5"/>
    <w:qFormat/>
    <w:uiPriority w:val="9"/>
    <w:rPr>
      <w:rFonts w:ascii="Arial" w:hAnsi="Arial" w:eastAsia="Arial" w:cs="Arial"/>
      <w:sz w:val="30"/>
      <w:szCs w:val="30"/>
    </w:rPr>
  </w:style>
  <w:style w:type="character" w:customStyle="1" w:styleId="36">
    <w:name w:val="Heading 4 Char"/>
    <w:basedOn w:val="30"/>
    <w:link w:val="6"/>
    <w:qFormat/>
    <w:uiPriority w:val="9"/>
    <w:rPr>
      <w:rFonts w:ascii="Arial" w:hAnsi="Arial" w:eastAsia="Arial" w:cs="Arial"/>
      <w:b/>
      <w:bCs/>
      <w:sz w:val="26"/>
      <w:szCs w:val="26"/>
    </w:rPr>
  </w:style>
  <w:style w:type="character" w:customStyle="1" w:styleId="37">
    <w:name w:val="Heading 5 Char"/>
    <w:basedOn w:val="30"/>
    <w:link w:val="7"/>
    <w:qFormat/>
    <w:uiPriority w:val="9"/>
    <w:rPr>
      <w:rFonts w:ascii="Arial" w:hAnsi="Arial" w:eastAsia="Arial" w:cs="Arial"/>
      <w:b/>
      <w:bCs/>
      <w:sz w:val="24"/>
      <w:szCs w:val="24"/>
    </w:rPr>
  </w:style>
  <w:style w:type="character" w:customStyle="1" w:styleId="38">
    <w:name w:val="Heading 6 Char"/>
    <w:basedOn w:val="30"/>
    <w:link w:val="8"/>
    <w:qFormat/>
    <w:uiPriority w:val="9"/>
    <w:rPr>
      <w:rFonts w:ascii="Arial" w:hAnsi="Arial" w:eastAsia="Arial" w:cs="Arial"/>
      <w:b/>
      <w:bCs/>
      <w:sz w:val="22"/>
      <w:szCs w:val="22"/>
    </w:rPr>
  </w:style>
  <w:style w:type="character" w:customStyle="1" w:styleId="39">
    <w:name w:val="Heading 7 Char"/>
    <w:basedOn w:val="30"/>
    <w:link w:val="9"/>
    <w:qFormat/>
    <w:uiPriority w:val="9"/>
    <w:rPr>
      <w:rFonts w:ascii="Arial" w:hAnsi="Arial" w:eastAsia="Arial" w:cs="Arial"/>
      <w:b/>
      <w:bCs/>
      <w:i/>
      <w:iCs/>
      <w:sz w:val="22"/>
      <w:szCs w:val="22"/>
    </w:rPr>
  </w:style>
  <w:style w:type="character" w:customStyle="1" w:styleId="40">
    <w:name w:val="Heading 8 Char"/>
    <w:basedOn w:val="30"/>
    <w:link w:val="10"/>
    <w:qFormat/>
    <w:uiPriority w:val="9"/>
    <w:rPr>
      <w:rFonts w:ascii="Arial" w:hAnsi="Arial" w:eastAsia="Arial" w:cs="Arial"/>
      <w:i/>
      <w:iCs/>
      <w:sz w:val="22"/>
      <w:szCs w:val="22"/>
    </w:rPr>
  </w:style>
  <w:style w:type="character" w:customStyle="1" w:styleId="41">
    <w:name w:val="Heading 9 Char"/>
    <w:basedOn w:val="30"/>
    <w:link w:val="11"/>
    <w:qFormat/>
    <w:uiPriority w:val="9"/>
    <w:rPr>
      <w:rFonts w:ascii="Arial" w:hAnsi="Arial" w:eastAsia="Arial" w:cs="Arial"/>
      <w:i/>
      <w:iCs/>
      <w:sz w:val="21"/>
      <w:szCs w:val="21"/>
    </w:rPr>
  </w:style>
  <w:style w:type="paragraph" w:styleId="42">
    <w:name w:val="List Paragraph"/>
    <w:basedOn w:val="1"/>
    <w:qFormat/>
    <w:uiPriority w:val="34"/>
    <w:pPr>
      <w:overflowPunct w:val="0"/>
      <w:autoSpaceDE w:val="0"/>
      <w:autoSpaceDN w:val="0"/>
      <w:ind w:left="720"/>
      <w:contextualSpacing/>
    </w:pPr>
  </w:style>
  <w:style w:type="paragraph" w:styleId="43">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4">
    <w:name w:val="Title Char"/>
    <w:basedOn w:val="30"/>
    <w:link w:val="27"/>
    <w:qFormat/>
    <w:uiPriority w:val="10"/>
    <w:rPr>
      <w:sz w:val="48"/>
      <w:szCs w:val="48"/>
    </w:rPr>
  </w:style>
  <w:style w:type="character" w:customStyle="1" w:styleId="45">
    <w:name w:val="Subtitle Char"/>
    <w:basedOn w:val="30"/>
    <w:link w:val="22"/>
    <w:qFormat/>
    <w:uiPriority w:val="11"/>
    <w:rPr>
      <w:sz w:val="24"/>
      <w:szCs w:val="24"/>
    </w:rPr>
  </w:style>
  <w:style w:type="paragraph" w:styleId="46">
    <w:name w:val="Quote"/>
    <w:basedOn w:val="1"/>
    <w:next w:val="1"/>
    <w:link w:val="47"/>
    <w:qFormat/>
    <w:uiPriority w:val="29"/>
    <w:pPr>
      <w:overflowPunct w:val="0"/>
      <w:autoSpaceDE w:val="0"/>
      <w:autoSpaceDN w:val="0"/>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9">
    <w:name w:val="Intense Quote Char"/>
    <w:link w:val="48"/>
    <w:qFormat/>
    <w:uiPriority w:val="30"/>
    <w:rPr>
      <w:i/>
    </w:rPr>
  </w:style>
  <w:style w:type="character" w:customStyle="1" w:styleId="50">
    <w:name w:val="Header Char"/>
    <w:basedOn w:val="30"/>
    <w:link w:val="19"/>
    <w:qFormat/>
    <w:uiPriority w:val="99"/>
  </w:style>
  <w:style w:type="character" w:customStyle="1" w:styleId="51">
    <w:name w:val="Footer Char"/>
    <w:basedOn w:val="30"/>
    <w:link w:val="18"/>
    <w:qFormat/>
    <w:uiPriority w:val="99"/>
  </w:style>
  <w:style w:type="character" w:customStyle="1" w:styleId="52">
    <w:name w:val="Caption Char"/>
    <w:link w:val="18"/>
    <w:qFormat/>
    <w:uiPriority w:val="99"/>
  </w:style>
  <w:style w:type="table" w:customStyle="1" w:styleId="53">
    <w:name w:val="Table Grid Light"/>
    <w:basedOn w:val="28"/>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4">
    <w:name w:val="Plain Table 1"/>
    <w:basedOn w:val="28"/>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5">
    <w:name w:val="Plain Table 2"/>
    <w:basedOn w:val="28"/>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6">
    <w:name w:val="Plain Table 3"/>
    <w:basedOn w:val="28"/>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7">
    <w:name w:val="Plain Table 4"/>
    <w:basedOn w:val="28"/>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8">
    <w:name w:val="Plain Table 5"/>
    <w:basedOn w:val="28"/>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9">
    <w:name w:val="Grid Table 1 Light"/>
    <w:basedOn w:val="28"/>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0">
    <w:name w:val="Grid Table 1 Light - Accent 1"/>
    <w:basedOn w:val="28"/>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1">
    <w:name w:val="Grid Table 1 Light - Accent 2"/>
    <w:basedOn w:val="28"/>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2">
    <w:name w:val="Grid Table 1 Light - Accent 3"/>
    <w:basedOn w:val="28"/>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3">
    <w:name w:val="Grid Table 1 Light - Accent 4"/>
    <w:basedOn w:val="28"/>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4">
    <w:name w:val="Grid Table 1 Light - Accent 5"/>
    <w:basedOn w:val="28"/>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5">
    <w:name w:val="Grid Table 1 Light - Accent 6"/>
    <w:basedOn w:val="28"/>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6">
    <w:name w:val="Grid Table 2"/>
    <w:basedOn w:val="28"/>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7">
    <w:name w:val="Grid Table 2 - Accent 1"/>
    <w:basedOn w:val="28"/>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68">
    <w:name w:val="Grid Table 2 - Accent 2"/>
    <w:basedOn w:val="28"/>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69">
    <w:name w:val="Grid Table 2 - Accent 3"/>
    <w:basedOn w:val="28"/>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0">
    <w:name w:val="Grid Table 2 - Accent 4"/>
    <w:basedOn w:val="28"/>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1">
    <w:name w:val="Grid Table 2 - Accent 5"/>
    <w:basedOn w:val="28"/>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2">
    <w:name w:val="Grid Table 2 - Accent 6"/>
    <w:basedOn w:val="28"/>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3">
    <w:name w:val="Grid Table 3"/>
    <w:basedOn w:val="28"/>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4">
    <w:name w:val="Grid Table 3 - Accent 1"/>
    <w:basedOn w:val="28"/>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75">
    <w:name w:val="Grid Table 3 - Accent 2"/>
    <w:basedOn w:val="28"/>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76">
    <w:name w:val="Grid Table 3 - Accent 3"/>
    <w:basedOn w:val="28"/>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7">
    <w:name w:val="Grid Table 3 - Accent 4"/>
    <w:basedOn w:val="28"/>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8">
    <w:name w:val="Grid Table 3 - Accent 5"/>
    <w:basedOn w:val="28"/>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9">
    <w:name w:val="Grid Table 3 - Accent 6"/>
    <w:basedOn w:val="28"/>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0">
    <w:name w:val="Grid Table 4"/>
    <w:basedOn w:val="28"/>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1">
    <w:name w:val="Grid Table 4 - Accent 1"/>
    <w:basedOn w:val="28"/>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82">
    <w:name w:val="Grid Table 4 - Accent 2"/>
    <w:basedOn w:val="28"/>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3">
    <w:name w:val="Grid Table 4 - Accent 3"/>
    <w:basedOn w:val="28"/>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4">
    <w:name w:val="Grid Table 4 - Accent 4"/>
    <w:basedOn w:val="28"/>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5">
    <w:name w:val="Grid Table 4 - Accent 5"/>
    <w:basedOn w:val="28"/>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6">
    <w:name w:val="Grid Table 4 - Accent 6"/>
    <w:basedOn w:val="28"/>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7">
    <w:name w:val="Grid Table 5 Dark"/>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8">
    <w:name w:val="Grid Table 5 Dark- Accent 1"/>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89">
    <w:name w:val="Grid Table 5 Dark - Accent 2"/>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90">
    <w:name w:val="Grid Table 5 Dark - Accent 3"/>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91">
    <w:name w:val="Grid Table 5 Dark- Accent 4"/>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92">
    <w:name w:val="Grid Table 5 Dark - Accent 5"/>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93">
    <w:name w:val="Grid Table 5 Dark - Accent 6"/>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94">
    <w:name w:val="Grid Table 6 Colorful"/>
    <w:basedOn w:val="28"/>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5">
    <w:name w:val="Grid Table 6 Colorful - Accent 1"/>
    <w:basedOn w:val="28"/>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2"/>
    <w:basedOn w:val="28"/>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7">
    <w:name w:val="Grid Table 6 Colorful - Accent 3"/>
    <w:basedOn w:val="28"/>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8">
    <w:name w:val="Grid Table 6 Colorful - Accent 4"/>
    <w:basedOn w:val="28"/>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9">
    <w:name w:val="Grid Table 6 Colorful - Accent 5"/>
    <w:basedOn w:val="28"/>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0">
    <w:name w:val="Grid Table 6 Colorful - Accent 6"/>
    <w:basedOn w:val="28"/>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7 Colorful"/>
    <w:basedOn w:val="28"/>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2">
    <w:name w:val="Grid Table 7 Colorful - Accent 1"/>
    <w:basedOn w:val="28"/>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2"/>
    <w:basedOn w:val="28"/>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4">
    <w:name w:val="Grid Table 7 Colorful - Accent 3"/>
    <w:basedOn w:val="28"/>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5">
    <w:name w:val="Grid Table 7 Colorful - Accent 4"/>
    <w:basedOn w:val="28"/>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6">
    <w:name w:val="Grid Table 7 Colorful - Accent 5"/>
    <w:basedOn w:val="28"/>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7">
    <w:name w:val="Grid Table 7 Colorful - Accent 6"/>
    <w:basedOn w:val="28"/>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8">
    <w:name w:val="List Table 1 Light"/>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9">
    <w:name w:val="List Table 1 Light - Accent 1"/>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10">
    <w:name w:val="List Table 1 Light - Accent 2"/>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11">
    <w:name w:val="List Table 1 Light - Accent 3"/>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12">
    <w:name w:val="List Table 1 Light - Accent 4"/>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13">
    <w:name w:val="List Table 1 Light - Accent 5"/>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14">
    <w:name w:val="List Table 1 Light - Accent 6"/>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15">
    <w:name w:val="List Table 2"/>
    <w:basedOn w:val="28"/>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6">
    <w:name w:val="List Table 2 - Accent 1"/>
    <w:basedOn w:val="28"/>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17">
    <w:name w:val="List Table 2 - Accent 2"/>
    <w:basedOn w:val="28"/>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18">
    <w:name w:val="List Table 2 - Accent 3"/>
    <w:basedOn w:val="28"/>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19">
    <w:name w:val="List Table 2 - Accent 4"/>
    <w:basedOn w:val="28"/>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20">
    <w:name w:val="List Table 2 - Accent 5"/>
    <w:basedOn w:val="28"/>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21">
    <w:name w:val="List Table 2 - Accent 6"/>
    <w:basedOn w:val="28"/>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22">
    <w:name w:val="List Table 3"/>
    <w:basedOn w:val="28"/>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3">
    <w:name w:val="List Table 3 - Accent 1"/>
    <w:basedOn w:val="28"/>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4">
    <w:name w:val="List Table 3 - Accent 2"/>
    <w:basedOn w:val="28"/>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5">
    <w:name w:val="List Table 3 - Accent 3"/>
    <w:basedOn w:val="28"/>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6">
    <w:name w:val="List Table 3 - Accent 4"/>
    <w:basedOn w:val="28"/>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7">
    <w:name w:val="List Table 3 - Accent 5"/>
    <w:basedOn w:val="28"/>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8">
    <w:name w:val="List Table 3 - Accent 6"/>
    <w:basedOn w:val="28"/>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29">
    <w:name w:val="List Table 4"/>
    <w:basedOn w:val="28"/>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0">
    <w:name w:val="List Table 4 - Accent 1"/>
    <w:basedOn w:val="28"/>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31">
    <w:name w:val="List Table 4 - Accent 2"/>
    <w:basedOn w:val="28"/>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32">
    <w:name w:val="List Table 4 - Accent 3"/>
    <w:basedOn w:val="28"/>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33">
    <w:name w:val="List Table 4 - Accent 4"/>
    <w:basedOn w:val="28"/>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34">
    <w:name w:val="List Table 4 - Accent 5"/>
    <w:basedOn w:val="28"/>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35">
    <w:name w:val="List Table 4 - Accent 6"/>
    <w:basedOn w:val="28"/>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6">
    <w:name w:val="List Table 5 Dark"/>
    <w:basedOn w:val="28"/>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7">
    <w:name w:val="List Table 5 Dark - Accent 1"/>
    <w:basedOn w:val="28"/>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8">
    <w:name w:val="List Table 5 Dark - Accent 2"/>
    <w:basedOn w:val="28"/>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9">
    <w:name w:val="List Table 5 Dark - Accent 3"/>
    <w:basedOn w:val="28"/>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40">
    <w:name w:val="List Table 5 Dark - Accent 4"/>
    <w:basedOn w:val="28"/>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41">
    <w:name w:val="List Table 5 Dark - Accent 5"/>
    <w:basedOn w:val="28"/>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2">
    <w:name w:val="List Table 5 Dark - Accent 6"/>
    <w:basedOn w:val="28"/>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3">
    <w:name w:val="List Table 6 Colorful"/>
    <w:basedOn w:val="28"/>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4">
    <w:name w:val="List Table 6 Colorful - Accent 1"/>
    <w:basedOn w:val="28"/>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5">
    <w:name w:val="List Table 6 Colorful - Accent 2"/>
    <w:basedOn w:val="28"/>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6">
    <w:name w:val="List Table 6 Colorful - Accent 3"/>
    <w:basedOn w:val="28"/>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4"/>
    <w:basedOn w:val="28"/>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5"/>
    <w:basedOn w:val="28"/>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6"/>
    <w:basedOn w:val="28"/>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0">
    <w:name w:val="List Table 7 Colorful"/>
    <w:basedOn w:val="28"/>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1">
    <w:name w:val="List Table 7 Colorful - Accent 1"/>
    <w:basedOn w:val="28"/>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2">
    <w:name w:val="List Table 7 Colorful - Accent 2"/>
    <w:basedOn w:val="28"/>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3">
    <w:name w:val="List Table 7 Colorful - Accent 3"/>
    <w:basedOn w:val="28"/>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4"/>
    <w:basedOn w:val="28"/>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5"/>
    <w:basedOn w:val="28"/>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6"/>
    <w:basedOn w:val="28"/>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7">
    <w:name w:val="Lined - Accent"/>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8">
    <w:name w:val="Lined - Accent 1"/>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59">
    <w:name w:val="Lined - Accent 2"/>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0">
    <w:name w:val="Lined - Accent 3"/>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1">
    <w:name w:val="Lined - Accent 4"/>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2">
    <w:name w:val="Lined - Accent 5"/>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3">
    <w:name w:val="Lined - Accent 6"/>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4">
    <w:name w:val="Bordered &amp; Lined - Accent"/>
    <w:basedOn w:val="28"/>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5">
    <w:name w:val="Bordered &amp; Lined - Accent 1"/>
    <w:basedOn w:val="28"/>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6">
    <w:name w:val="Bordered &amp; Lined - Accent 2"/>
    <w:basedOn w:val="28"/>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7">
    <w:name w:val="Bordered &amp; Lined - Accent 3"/>
    <w:basedOn w:val="28"/>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8">
    <w:name w:val="Bordered &amp; Lined - Accent 4"/>
    <w:basedOn w:val="28"/>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9">
    <w:name w:val="Bordered &amp; Lined - Accent 5"/>
    <w:basedOn w:val="28"/>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70">
    <w:name w:val="Bordered &amp; Lined - Accent 6"/>
    <w:basedOn w:val="28"/>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1">
    <w:name w:val="Bordered"/>
    <w:basedOn w:val="28"/>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2">
    <w:name w:val="Bordered - Accent 1"/>
    <w:basedOn w:val="28"/>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3">
    <w:name w:val="Bordered - Accent 2"/>
    <w:basedOn w:val="28"/>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4">
    <w:name w:val="Bordered - Accent 3"/>
    <w:basedOn w:val="28"/>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5">
    <w:name w:val="Bordered - Accent 4"/>
    <w:basedOn w:val="28"/>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6">
    <w:name w:val="Bordered - Accent 5"/>
    <w:basedOn w:val="28"/>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7">
    <w:name w:val="Bordered - Accent 6"/>
    <w:basedOn w:val="28"/>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8">
    <w:name w:val="Footnote Text Char"/>
    <w:link w:val="23"/>
    <w:qFormat/>
    <w:uiPriority w:val="99"/>
    <w:rPr>
      <w:sz w:val="18"/>
    </w:rPr>
  </w:style>
  <w:style w:type="paragraph" w:customStyle="1" w:styleId="179">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paragraph" w:customStyle="1" w:styleId="180">
    <w:name w:val="标题 11"/>
    <w:basedOn w:val="1"/>
    <w:next w:val="1"/>
    <w:qFormat/>
    <w:uiPriority w:val="0"/>
    <w:pPr>
      <w:widowControl/>
      <w:spacing w:line="560" w:lineRule="exact"/>
      <w:jc w:val="center"/>
      <w:outlineLvl w:val="0"/>
    </w:pPr>
    <w:rPr>
      <w:rFonts w:ascii="方正小标宋简体" w:hAnsi="方正小标宋简体" w:eastAsia="方正小标宋简体"/>
      <w:kern w:val="44"/>
      <w:sz w:val="44"/>
      <w:szCs w:val="32"/>
    </w:rPr>
  </w:style>
  <w:style w:type="character" w:customStyle="1" w:styleId="181">
    <w:name w:val="默认段落字体1"/>
    <w:link w:val="1"/>
    <w:semiHidden/>
    <w:qFormat/>
    <w:uiPriority w:val="0"/>
  </w:style>
  <w:style w:type="table" w:customStyle="1" w:styleId="182">
    <w:name w:val="普通表格1"/>
    <w:semiHidden/>
    <w:qFormat/>
    <w:uiPriority w:val="0"/>
  </w:style>
  <w:style w:type="paragraph" w:customStyle="1" w:styleId="183">
    <w:name w:val="正文文本1"/>
    <w:basedOn w:val="1"/>
    <w:next w:val="1"/>
    <w:qFormat/>
    <w:uiPriority w:val="0"/>
    <w:pPr>
      <w:spacing w:line="404" w:lineRule="exact"/>
      <w:ind w:left="40"/>
    </w:pPr>
    <w:rPr>
      <w:rFonts w:hint="eastAsia" w:ascii="Times New Roman" w:hAnsi="Times New Roman" w:eastAsia="宋体"/>
      <w:sz w:val="32"/>
    </w:rPr>
  </w:style>
  <w:style w:type="paragraph" w:customStyle="1" w:styleId="184">
    <w:name w:val="页脚1"/>
    <w:basedOn w:val="1"/>
    <w:qFormat/>
    <w:uiPriority w:val="0"/>
    <w:pPr>
      <w:tabs>
        <w:tab w:val="center" w:pos="4153"/>
        <w:tab w:val="right" w:pos="8306"/>
      </w:tabs>
      <w:snapToGrid w:val="0"/>
      <w:jc w:val="left"/>
    </w:pPr>
    <w:rPr>
      <w:sz w:val="18"/>
    </w:rPr>
  </w:style>
  <w:style w:type="paragraph" w:customStyle="1" w:styleId="18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86">
    <w:name w:val="普通(网站)1"/>
    <w:basedOn w:val="1"/>
    <w:qFormat/>
    <w:uiPriority w:val="0"/>
    <w:pPr>
      <w:spacing w:before="150" w:after="150" w:line="480" w:lineRule="auto"/>
      <w:jc w:val="left"/>
    </w:pPr>
    <w:rPr>
      <w:rFonts w:ascii="宋体" w:hAnsi="Times New Roman" w:eastAsia="宋体"/>
      <w:color w:val="000000"/>
      <w:kern w:val="0"/>
      <w:sz w:val="21"/>
      <w:szCs w:val="21"/>
    </w:rPr>
  </w:style>
  <w:style w:type="paragraph" w:customStyle="1" w:styleId="187">
    <w:name w:val="纯文本1"/>
    <w:basedOn w:val="1"/>
    <w:next w:val="188"/>
    <w:qFormat/>
    <w:uiPriority w:val="0"/>
    <w:rPr>
      <w:rFonts w:ascii="宋体" w:hAnsi="Times New Roman" w:eastAsia="宋体"/>
    </w:rPr>
  </w:style>
  <w:style w:type="paragraph" w:customStyle="1" w:styleId="188">
    <w:name w:val="索引 81"/>
    <w:basedOn w:val="1"/>
    <w:next w:val="1"/>
    <w:qFormat/>
    <w:uiPriority w:val="0"/>
    <w:pPr>
      <w:ind w:left="1400" w:leftChars="1400"/>
    </w:pPr>
    <w:rPr>
      <w:rFonts w:ascii="Times New Roman" w:hAnsi="Times New Roman" w:eastAsia="宋体"/>
    </w:rPr>
  </w:style>
  <w:style w:type="paragraph" w:customStyle="1" w:styleId="189">
    <w:name w:val="WW-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autoSpaceDE w:val="0"/>
      <w:spacing w:before="0" w:beforeAutospacing="0" w:after="0" w:afterAutospacing="0" w:line="240" w:lineRule="auto"/>
      <w:ind w:left="0" w:right="0" w:firstLine="0"/>
      <w:jc w:val="left"/>
    </w:pPr>
    <w:rPr>
      <w:rFonts w:hint="default" w:ascii="Times New Roman" w:hAnsi="Times New Roman" w:eastAsia="宋体" w:cs="Times New Roman"/>
      <w:color w:val="000000"/>
      <w:spacing w:val="0"/>
      <w:positio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FFFFFF"/>
        </a:solidFill>
        <a:solidFill>
          <a:srgbClr val="FFFFFF"/>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3575</Words>
  <Characters>3711</Characters>
  <TotalTime>113</TotalTime>
  <ScaleCrop>false</ScaleCrop>
  <LinksUpToDate>false</LinksUpToDate>
  <CharactersWithSpaces>3733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2025-03-30T09:06:00Z</dcterms:created>
  <dc:creator>huawei</dc:creator>
  <cp:lastModifiedBy>huawei</cp:lastModifiedBy>
  <cp:lastPrinted>2025-03-30T11:53:00Z</cp:lastPrinted>
  <dcterms:modified xsi:type="dcterms:W3CDTF">2025-04-07T14:26:24Z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eyJoZGlkIjoiNmQ2YjRiNTZlYTgwYzkwMDA0OTdkN2Q4MDkyMjU4OGMiLCJ1c2VySWQiOiIyNDQ3ODM5MDQifQ==</vt:lpwstr>
  </property>
  <property fmtid="{D5CDD505-2E9C-101B-9397-08002B2CF9AE}" pid="4" name="ICV">
    <vt:lpwstr>4FF35A4AA7CF42319C14D6ECF5EAFFBE_12</vt:lpwstr>
  </property>
</Properties>
</file>