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right="0" w:firstLine="0" w:firstLineChars="0"/>
        <w:jc w:val="center"/>
        <w:textAlignment w:val="baseline"/>
        <w:outlineLvl w:val="0"/>
        <w:rPr>
          <w:rFonts w:hint="default" w:ascii="Times New Roman" w:hAnsi="Times New Roman" w:eastAsia="方正小标宋简体" w:cs="Times New Roman"/>
          <w:b w:val="0"/>
          <w:bCs w:val="0"/>
          <w:color w:val="auto"/>
          <w:sz w:val="44"/>
          <w:szCs w:val="44"/>
          <w:highlight w:val="none"/>
          <w:lang w:val="en-US" w:eastAsia="zh-CN"/>
        </w:rPr>
      </w:pPr>
      <w:r>
        <w:rPr>
          <w:rFonts w:hint="eastAsia" w:ascii="Times New Roman" w:hAnsi="Times New Roman" w:eastAsia="方正小标宋简体" w:cs="Times New Roman"/>
          <w:b w:val="0"/>
          <w:bCs w:val="0"/>
          <w:color w:val="auto"/>
          <w:spacing w:val="-1"/>
          <w:sz w:val="44"/>
          <w:szCs w:val="44"/>
          <w:highlight w:val="none"/>
          <w:lang w:val="en-US" w:eastAsia="zh-CN"/>
        </w:rPr>
        <w:t>《</w:t>
      </w:r>
      <w:r>
        <w:rPr>
          <w:rFonts w:hint="default" w:ascii="Times New Roman" w:hAnsi="Times New Roman" w:eastAsia="方正小标宋简体" w:cs="Times New Roman"/>
          <w:b w:val="0"/>
          <w:bCs w:val="0"/>
          <w:color w:val="auto"/>
          <w:sz w:val="44"/>
          <w:szCs w:val="44"/>
          <w:highlight w:val="none"/>
          <w:lang w:val="en-US" w:eastAsia="zh-CN"/>
        </w:rPr>
        <w:t>光明区文化产业园区认定与管理办法</w:t>
      </w:r>
    </w:p>
    <w:p>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right="0" w:firstLine="0" w:firstLineChars="0"/>
        <w:jc w:val="center"/>
        <w:textAlignment w:val="baseline"/>
        <w:outlineLvl w:val="0"/>
        <w:rPr>
          <w:rFonts w:hint="default" w:ascii="Times New Roman" w:hAnsi="Times New Roman" w:eastAsia="方正小标宋简体" w:cs="Times New Roman"/>
          <w:b w:val="0"/>
          <w:bCs w:val="0"/>
          <w:color w:val="auto"/>
          <w:spacing w:val="-1"/>
          <w:sz w:val="44"/>
          <w:szCs w:val="44"/>
          <w:highlight w:val="none"/>
          <w:lang w:val="en-US" w:eastAsia="zh-CN"/>
        </w:rPr>
      </w:pPr>
      <w:r>
        <w:rPr>
          <w:rFonts w:hint="eastAsia" w:ascii="Times New Roman" w:hAnsi="Times New Roman" w:eastAsia="方正小标宋简体" w:cs="Times New Roman"/>
          <w:b w:val="0"/>
          <w:bCs w:val="0"/>
          <w:color w:val="auto"/>
          <w:spacing w:val="-1"/>
          <w:sz w:val="44"/>
          <w:szCs w:val="44"/>
          <w:highlight w:val="none"/>
          <w:lang w:val="en-US" w:eastAsia="zh-CN"/>
        </w:rPr>
        <w:t>（征求意见稿）》起草说明</w:t>
      </w:r>
    </w:p>
    <w:p>
      <w:pPr>
        <w:keepNext w:val="0"/>
        <w:keepLines w:val="0"/>
        <w:pageBreakBefore w:val="0"/>
        <w:widowControl w:val="0"/>
        <w:kinsoku/>
        <w:wordWrap/>
        <w:overflowPunct/>
        <w:topLinePunct w:val="0"/>
        <w:autoSpaceDE/>
        <w:autoSpaceDN/>
        <w:bidi w:val="0"/>
        <w:spacing w:beforeAutospacing="0" w:afterAutospacing="0" w:line="560" w:lineRule="exact"/>
        <w:ind w:firstLine="640"/>
        <w:textAlignment w:val="auto"/>
        <w:rPr>
          <w:rFonts w:hint="eastAsia" w:ascii="仿宋_GB2312" w:hAnsi="仿宋_GB2312" w:eastAsia="仿宋_GB2312" w:cs="仿宋_GB2312"/>
          <w:color w:val="auto"/>
          <w:sz w:val="32"/>
          <w:szCs w:val="32"/>
          <w:lang w:val="en"/>
        </w:rPr>
      </w:pPr>
    </w:p>
    <w:p>
      <w:pPr>
        <w:bidi w:val="0"/>
        <w:rPr>
          <w:rFonts w:hint="eastAsia" w:ascii="仿宋_GB2312" w:hAnsi="仿宋_GB2312" w:eastAsia="仿宋_GB2312" w:cs="仿宋_GB2312"/>
          <w:color w:val="auto"/>
        </w:rPr>
      </w:pPr>
      <w:r>
        <w:rPr>
          <w:rFonts w:hint="eastAsia" w:ascii="仿宋_GB2312" w:hAnsi="仿宋_GB2312" w:eastAsia="仿宋_GB2312" w:cs="仿宋_GB2312"/>
          <w:color w:val="auto"/>
          <w:lang w:val="en"/>
        </w:rPr>
        <w:t>为更好发挥财政资金</w:t>
      </w:r>
      <w:r>
        <w:rPr>
          <w:rFonts w:hint="eastAsia" w:ascii="仿宋_GB2312" w:hAnsi="仿宋_GB2312" w:eastAsia="仿宋_GB2312" w:cs="仿宋_GB2312"/>
          <w:color w:val="auto"/>
          <w:lang w:val="en" w:eastAsia="zh-CN"/>
        </w:rPr>
        <w:t>对文</w:t>
      </w:r>
      <w:r>
        <w:rPr>
          <w:rFonts w:hint="eastAsia" w:cs="仿宋_GB2312"/>
          <w:color w:val="auto"/>
          <w:lang w:val="en-US" w:eastAsia="zh-CN"/>
        </w:rPr>
        <w:t>化</w:t>
      </w:r>
      <w:r>
        <w:rPr>
          <w:rFonts w:hint="eastAsia" w:ascii="仿宋_GB2312" w:hAnsi="仿宋_GB2312" w:eastAsia="仿宋_GB2312" w:cs="仿宋_GB2312"/>
          <w:color w:val="auto"/>
          <w:lang w:val="en" w:eastAsia="zh-CN"/>
        </w:rPr>
        <w:t>产业高质量发展的扶持和促进作用，</w:t>
      </w:r>
      <w:r>
        <w:rPr>
          <w:rFonts w:hint="eastAsia" w:ascii="仿宋_GB2312" w:hAnsi="仿宋_GB2312" w:eastAsia="仿宋_GB2312" w:cs="仿宋_GB2312"/>
          <w:color w:val="auto"/>
          <w:lang w:eastAsia="zh-CN"/>
        </w:rPr>
        <w:t>进一步</w:t>
      </w:r>
      <w:r>
        <w:rPr>
          <w:rFonts w:hint="eastAsia" w:ascii="仿宋_GB2312" w:hAnsi="仿宋_GB2312" w:eastAsia="仿宋_GB2312" w:cs="仿宋_GB2312"/>
          <w:color w:val="auto"/>
        </w:rPr>
        <w:t>深入推动</w:t>
      </w:r>
      <w:r>
        <w:rPr>
          <w:rFonts w:hint="eastAsia" w:ascii="仿宋_GB2312" w:hAnsi="仿宋_GB2312" w:eastAsia="仿宋_GB2312" w:cs="仿宋_GB2312"/>
          <w:color w:val="auto"/>
          <w:lang w:eastAsia="zh-CN"/>
        </w:rPr>
        <w:t>文</w:t>
      </w:r>
      <w:r>
        <w:rPr>
          <w:rFonts w:hint="eastAsia" w:cs="仿宋_GB2312"/>
          <w:color w:val="auto"/>
          <w:lang w:val="en-US" w:eastAsia="zh-CN"/>
        </w:rPr>
        <w:t>化产业高质量</w:t>
      </w:r>
      <w:r>
        <w:rPr>
          <w:rFonts w:hint="eastAsia" w:ascii="仿宋_GB2312" w:hAnsi="仿宋_GB2312" w:eastAsia="仿宋_GB2312" w:cs="仿宋_GB2312"/>
          <w:color w:val="auto"/>
        </w:rPr>
        <w:t>发展，增强文化软实力，为全面建设世界一流科学城提供强力支撑</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区文化广电旅游体育局贯彻落实</w:t>
      </w:r>
      <w:r>
        <w:rPr>
          <w:rFonts w:hint="eastAsia" w:ascii="仿宋_GB2312" w:hAnsi="仿宋_GB2312" w:eastAsia="仿宋_GB2312" w:cs="仿宋_GB2312"/>
          <w:color w:val="auto"/>
          <w:lang w:eastAsia="zh-CN"/>
        </w:rPr>
        <w:t>国家、省、市</w:t>
      </w:r>
      <w:r>
        <w:rPr>
          <w:rFonts w:hint="eastAsia" w:ascii="仿宋_GB2312" w:hAnsi="仿宋_GB2312" w:eastAsia="仿宋_GB2312" w:cs="仿宋_GB2312"/>
          <w:color w:val="auto"/>
        </w:rPr>
        <w:t>决策部署，紧紧围</w:t>
      </w:r>
      <w:bookmarkStart w:id="0" w:name="_GoBack"/>
      <w:bookmarkEnd w:id="0"/>
      <w:r>
        <w:rPr>
          <w:rFonts w:hint="eastAsia" w:ascii="仿宋_GB2312" w:hAnsi="仿宋_GB2312" w:eastAsia="仿宋_GB2312" w:cs="仿宋_GB2312"/>
          <w:color w:val="auto"/>
        </w:rPr>
        <w:t>绕区委</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1+2+3+4</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工作体系，积极研判光明区相关产业发展新形势、新目标、新需求，</w:t>
      </w:r>
      <w:r>
        <w:rPr>
          <w:rFonts w:hint="eastAsia" w:cs="仿宋_GB2312"/>
          <w:color w:val="auto"/>
          <w:lang w:eastAsia="zh-CN"/>
        </w:rPr>
        <w:t>起草</w:t>
      </w:r>
      <w:r>
        <w:rPr>
          <w:rFonts w:hint="eastAsia" w:ascii="仿宋_GB2312" w:hAnsi="仿宋_GB2312" w:eastAsia="仿宋_GB2312" w:cs="仿宋_GB2312"/>
          <w:color w:val="auto"/>
        </w:rPr>
        <w:t>了《光明区文化产业园区认定与管理办法</w:t>
      </w:r>
      <w:r>
        <w:rPr>
          <w:rFonts w:hint="eastAsia" w:cs="仿宋_GB2312"/>
          <w:color w:val="auto"/>
          <w:lang w:eastAsia="zh-CN"/>
        </w:rPr>
        <w:t>（征求意见稿）</w:t>
      </w:r>
      <w:r>
        <w:rPr>
          <w:rFonts w:hint="eastAsia" w:ascii="仿宋_GB2312" w:hAnsi="仿宋_GB2312" w:eastAsia="仿宋_GB2312" w:cs="仿宋_GB2312"/>
          <w:color w:val="auto"/>
        </w:rPr>
        <w:t>》</w:t>
      </w:r>
      <w:r>
        <w:rPr>
          <w:rFonts w:hint="eastAsia" w:cs="仿宋_GB2312"/>
          <w:color w:val="auto"/>
          <w:lang w:eastAsia="zh-CN"/>
        </w:rPr>
        <w:t>（以下简称《管理办法》）</w:t>
      </w:r>
      <w:r>
        <w:rPr>
          <w:rFonts w:hint="eastAsia" w:ascii="仿宋_GB2312" w:hAnsi="仿宋_GB2312" w:eastAsia="仿宋_GB2312" w:cs="仿宋_GB2312"/>
          <w:color w:val="auto"/>
        </w:rPr>
        <w:t>。现将有关情况说明如下：</w:t>
      </w:r>
    </w:p>
    <w:p>
      <w:pPr>
        <w:keepNext w:val="0"/>
        <w:keepLines w:val="0"/>
        <w:pageBreakBefore w:val="0"/>
        <w:widowControl w:val="0"/>
        <w:kinsoku/>
        <w:wordWrap/>
        <w:overflowPunct/>
        <w:topLinePunct w:val="0"/>
        <w:autoSpaceDE/>
        <w:autoSpaceDN/>
        <w:bidi w:val="0"/>
        <w:spacing w:beforeAutospacing="0" w:afterAutospacing="0" w:line="560" w:lineRule="exact"/>
        <w:ind w:firstLine="643"/>
        <w:textAlignment w:val="auto"/>
        <w:rPr>
          <w:rFonts w:hint="eastAsia" w:ascii="黑体" w:hAnsi="黑体" w:eastAsia="黑体" w:cs="黑体"/>
          <w:color w:val="auto"/>
        </w:rPr>
      </w:pPr>
      <w:r>
        <w:rPr>
          <w:rFonts w:hint="eastAsia" w:ascii="黑体" w:hAnsi="黑体" w:eastAsia="黑体" w:cs="黑体"/>
          <w:color w:val="auto"/>
        </w:rPr>
        <w:t>一、</w:t>
      </w:r>
      <w:r>
        <w:rPr>
          <w:rFonts w:hint="eastAsia" w:ascii="黑体" w:hAnsi="黑体" w:eastAsia="黑体" w:cs="黑体"/>
          <w:color w:val="auto"/>
          <w:lang w:eastAsia="zh-CN"/>
        </w:rPr>
        <w:t>起草</w:t>
      </w:r>
      <w:r>
        <w:rPr>
          <w:rFonts w:hint="eastAsia" w:ascii="黑体" w:hAnsi="黑体" w:eastAsia="黑体" w:cs="黑体"/>
          <w:color w:val="auto"/>
        </w:rPr>
        <w:t>背景</w:t>
      </w:r>
    </w:p>
    <w:p>
      <w:pPr>
        <w:bidi w:val="0"/>
        <w:rPr>
          <w:rFonts w:hint="eastAsia" w:ascii="仿宋_GB2312" w:hAnsi="仿宋_GB2312" w:eastAsia="仿宋_GB2312" w:cs="仿宋_GB2312"/>
          <w:color w:val="auto"/>
          <w:lang w:val="en"/>
        </w:rPr>
      </w:pPr>
      <w:r>
        <w:rPr>
          <w:rFonts w:hint="eastAsia"/>
          <w:color w:val="auto"/>
        </w:rPr>
        <w:t>文</w:t>
      </w:r>
      <w:r>
        <w:rPr>
          <w:rFonts w:hint="eastAsia" w:cs="仿宋_GB2312"/>
          <w:color w:val="auto"/>
          <w:lang w:val="en-US" w:eastAsia="zh-CN"/>
        </w:rPr>
        <w:t>化</w:t>
      </w:r>
      <w:r>
        <w:rPr>
          <w:rFonts w:hint="eastAsia" w:ascii="仿宋_GB2312" w:hAnsi="仿宋_GB2312" w:eastAsia="仿宋_GB2312" w:cs="仿宋_GB2312"/>
          <w:color w:val="auto"/>
          <w:lang w:val="en"/>
        </w:rPr>
        <w:t>产业作为城市文明典范的重要组成部分，在经济社会持续发展中的作用越来越突出。</w:t>
      </w:r>
      <w:r>
        <w:rPr>
          <w:rFonts w:hint="eastAsia" w:ascii="仿宋_GB2312" w:hAnsi="仿宋_GB2312" w:eastAsia="仿宋_GB2312" w:cs="仿宋_GB2312"/>
          <w:color w:val="auto"/>
          <w:lang w:val="en" w:eastAsia="zh-CN"/>
        </w:rPr>
        <w:t>“十四五”规划实施以来，</w:t>
      </w:r>
      <w:r>
        <w:rPr>
          <w:rFonts w:hint="eastAsia" w:ascii="仿宋_GB2312" w:hAnsi="仿宋_GB2312" w:eastAsia="仿宋_GB2312" w:cs="仿宋_GB2312"/>
          <w:color w:val="auto"/>
          <w:lang w:val="en"/>
        </w:rPr>
        <w:t>国家</w:t>
      </w:r>
      <w:r>
        <w:rPr>
          <w:rFonts w:hint="eastAsia" w:ascii="仿宋_GB2312" w:hAnsi="仿宋_GB2312" w:eastAsia="仿宋_GB2312" w:cs="仿宋_GB2312"/>
          <w:color w:val="auto"/>
          <w:lang w:val="en" w:eastAsia="zh-CN"/>
        </w:rPr>
        <w:t>、省、市</w:t>
      </w:r>
      <w:r>
        <w:rPr>
          <w:rFonts w:hint="eastAsia" w:ascii="仿宋_GB2312" w:hAnsi="仿宋_GB2312" w:eastAsia="仿宋_GB2312" w:cs="仿宋_GB2312"/>
          <w:color w:val="auto"/>
          <w:lang w:val="en"/>
        </w:rPr>
        <w:t>出台</w:t>
      </w:r>
      <w:r>
        <w:rPr>
          <w:rFonts w:hint="eastAsia" w:ascii="仿宋_GB2312" w:hAnsi="仿宋_GB2312" w:eastAsia="仿宋_GB2312" w:cs="仿宋_GB2312"/>
          <w:color w:val="auto"/>
          <w:lang w:val="en" w:eastAsia="zh-CN"/>
        </w:rPr>
        <w:t>了</w:t>
      </w:r>
      <w:r>
        <w:rPr>
          <w:rFonts w:hint="eastAsia" w:ascii="仿宋_GB2312" w:hAnsi="仿宋_GB2312" w:eastAsia="仿宋_GB2312" w:cs="仿宋_GB2312"/>
          <w:color w:val="auto"/>
          <w:lang w:val="en"/>
        </w:rPr>
        <w:t>多项政策</w:t>
      </w:r>
      <w:r>
        <w:rPr>
          <w:rFonts w:hint="eastAsia" w:ascii="仿宋_GB2312" w:hAnsi="仿宋_GB2312" w:eastAsia="仿宋_GB2312" w:cs="仿宋_GB2312"/>
          <w:color w:val="auto"/>
          <w:lang w:val="en" w:eastAsia="zh-CN"/>
        </w:rPr>
        <w:t>，</w:t>
      </w:r>
      <w:r>
        <w:rPr>
          <w:rFonts w:hint="eastAsia" w:ascii="仿宋_GB2312" w:hAnsi="仿宋_GB2312" w:eastAsia="仿宋_GB2312" w:cs="仿宋_GB2312"/>
          <w:color w:val="auto"/>
          <w:lang w:val="en"/>
        </w:rPr>
        <w:t>对文化产业作出重要决策部署，为推动构建现代化的</w:t>
      </w:r>
      <w:r>
        <w:rPr>
          <w:rFonts w:hint="eastAsia" w:ascii="仿宋_GB2312" w:hAnsi="仿宋_GB2312" w:eastAsia="仿宋_GB2312" w:cs="仿宋_GB2312"/>
          <w:color w:val="auto"/>
          <w:lang w:val="en" w:eastAsia="zh-CN"/>
        </w:rPr>
        <w:t>文</w:t>
      </w:r>
      <w:r>
        <w:rPr>
          <w:rFonts w:hint="eastAsia" w:cs="仿宋_GB2312"/>
          <w:color w:val="auto"/>
          <w:lang w:val="en" w:eastAsia="zh-CN"/>
        </w:rPr>
        <w:t>化</w:t>
      </w:r>
      <w:r>
        <w:rPr>
          <w:rFonts w:hint="eastAsia" w:ascii="仿宋_GB2312" w:hAnsi="仿宋_GB2312" w:eastAsia="仿宋_GB2312" w:cs="仿宋_GB2312"/>
          <w:color w:val="auto"/>
          <w:lang w:val="en"/>
        </w:rPr>
        <w:t>产业体系</w:t>
      </w:r>
      <w:r>
        <w:rPr>
          <w:rFonts w:hint="eastAsia" w:ascii="仿宋_GB2312" w:hAnsi="仿宋_GB2312" w:eastAsia="仿宋_GB2312" w:cs="仿宋_GB2312"/>
          <w:color w:val="auto"/>
          <w:lang w:val="en" w:eastAsia="zh-CN"/>
        </w:rPr>
        <w:t>进一步</w:t>
      </w:r>
      <w:r>
        <w:rPr>
          <w:rFonts w:hint="eastAsia" w:ascii="仿宋_GB2312" w:hAnsi="仿宋_GB2312" w:eastAsia="仿宋_GB2312" w:cs="仿宋_GB2312"/>
          <w:color w:val="auto"/>
          <w:lang w:val="en"/>
        </w:rPr>
        <w:t>指明了方向。在粤港澳大湾区建设、中国特色社会主义</w:t>
      </w:r>
      <w:r>
        <w:rPr>
          <w:rFonts w:hint="eastAsia" w:cs="仿宋_GB2312"/>
          <w:color w:val="auto"/>
          <w:lang w:val="en" w:eastAsia="zh-CN"/>
        </w:rPr>
        <w:t>先行</w:t>
      </w:r>
      <w:r>
        <w:rPr>
          <w:rFonts w:hint="eastAsia" w:ascii="仿宋_GB2312" w:hAnsi="仿宋_GB2312" w:eastAsia="仿宋_GB2312" w:cs="仿宋_GB2312"/>
          <w:color w:val="auto"/>
          <w:lang w:val="en"/>
        </w:rPr>
        <w:t>示范区的</w:t>
      </w:r>
      <w:r>
        <w:rPr>
          <w:rFonts w:hint="eastAsia" w:ascii="仿宋_GB2312" w:hAnsi="仿宋_GB2312" w:eastAsia="仿宋_GB2312" w:cs="仿宋_GB2312"/>
          <w:color w:val="auto"/>
          <w:lang w:val="en" w:eastAsia="zh-CN"/>
        </w:rPr>
        <w:t>“</w:t>
      </w:r>
      <w:r>
        <w:rPr>
          <w:rFonts w:hint="eastAsia" w:ascii="仿宋_GB2312" w:hAnsi="仿宋_GB2312" w:eastAsia="仿宋_GB2312" w:cs="仿宋_GB2312"/>
          <w:color w:val="auto"/>
          <w:lang w:val="en"/>
        </w:rPr>
        <w:t>双区驱动</w:t>
      </w:r>
      <w:r>
        <w:rPr>
          <w:rFonts w:hint="eastAsia" w:ascii="仿宋_GB2312" w:hAnsi="仿宋_GB2312" w:eastAsia="仿宋_GB2312" w:cs="仿宋_GB2312"/>
          <w:color w:val="auto"/>
          <w:lang w:val="en" w:eastAsia="zh-CN"/>
        </w:rPr>
        <w:t>”</w:t>
      </w:r>
      <w:r>
        <w:rPr>
          <w:rFonts w:hint="eastAsia" w:ascii="仿宋_GB2312" w:hAnsi="仿宋_GB2312" w:eastAsia="仿宋_GB2312" w:cs="仿宋_GB2312"/>
          <w:color w:val="auto"/>
          <w:lang w:val="en"/>
        </w:rPr>
        <w:t>建设背景下，深圳肩负着率先示范和打造社会主义现代化文明城市的时代使命，</w:t>
      </w:r>
      <w:r>
        <w:rPr>
          <w:rFonts w:hint="eastAsia" w:ascii="仿宋_GB2312" w:hAnsi="仿宋_GB2312" w:eastAsia="仿宋_GB2312" w:cs="仿宋_GB2312"/>
          <w:color w:val="auto"/>
          <w:lang w:val="en" w:eastAsia="zh-CN"/>
        </w:rPr>
        <w:t>亟须发展</w:t>
      </w:r>
      <w:r>
        <w:rPr>
          <w:rFonts w:hint="eastAsia" w:ascii="仿宋_GB2312" w:hAnsi="仿宋_GB2312" w:eastAsia="仿宋_GB2312" w:cs="仿宋_GB2312"/>
          <w:color w:val="auto"/>
          <w:lang w:val="en"/>
        </w:rPr>
        <w:t>更具竞争力的现代文化产业体系。</w:t>
      </w:r>
    </w:p>
    <w:p>
      <w:pPr>
        <w:keepNext w:val="0"/>
        <w:keepLines w:val="0"/>
        <w:pageBreakBefore w:val="0"/>
        <w:widowControl w:val="0"/>
        <w:kinsoku/>
        <w:wordWrap/>
        <w:overflowPunct/>
        <w:topLinePunct w:val="0"/>
        <w:autoSpaceDE/>
        <w:autoSpaceDN/>
        <w:bidi w:val="0"/>
        <w:spacing w:beforeAutospacing="0" w:afterAutospacing="0" w:line="560" w:lineRule="exact"/>
        <w:ind w:firstLine="640"/>
        <w:textAlignment w:val="auto"/>
        <w:rPr>
          <w:rFonts w:hint="default" w:ascii="黑体" w:hAnsi="黑体" w:eastAsia="黑体" w:cs="黑体"/>
          <w:color w:val="auto"/>
        </w:rPr>
      </w:pPr>
      <w:r>
        <w:rPr>
          <w:rFonts w:hint="default" w:ascii="黑体" w:hAnsi="黑体" w:eastAsia="黑体" w:cs="黑体"/>
          <w:color w:val="auto"/>
          <w:lang w:eastAsia="zh-CN"/>
        </w:rPr>
        <w:t>二、</w:t>
      </w:r>
      <w:r>
        <w:rPr>
          <w:rFonts w:hint="default" w:ascii="黑体" w:hAnsi="黑体" w:eastAsia="黑体" w:cs="黑体"/>
          <w:color w:val="auto"/>
        </w:rPr>
        <w:t>必要性、可行性和理由</w:t>
      </w:r>
    </w:p>
    <w:p>
      <w:pPr>
        <w:bidi w:val="0"/>
        <w:rPr>
          <w:rFonts w:hint="eastAsia"/>
          <w:color w:val="auto"/>
          <w:lang w:val="en"/>
        </w:rPr>
      </w:pPr>
      <w:r>
        <w:rPr>
          <w:rFonts w:hint="eastAsia"/>
          <w:color w:val="auto"/>
          <w:lang w:val="en"/>
        </w:rPr>
        <w:t>由于新的产业发展形势变化较快，</w:t>
      </w:r>
      <w:r>
        <w:rPr>
          <w:rFonts w:hint="eastAsia"/>
          <w:color w:val="auto"/>
          <w:lang w:val="en" w:eastAsia="zh-CN"/>
        </w:rPr>
        <w:t>光明区文</w:t>
      </w:r>
      <w:r>
        <w:rPr>
          <w:rFonts w:hint="eastAsia"/>
          <w:color w:val="auto"/>
          <w:lang w:val="en-US" w:eastAsia="zh-CN"/>
        </w:rPr>
        <w:t>化</w:t>
      </w:r>
      <w:r>
        <w:rPr>
          <w:rFonts w:hint="eastAsia"/>
          <w:color w:val="auto"/>
          <w:lang w:val="en" w:eastAsia="zh-CN"/>
        </w:rPr>
        <w:t>产业发展面临新的机遇和</w:t>
      </w:r>
      <w:r>
        <w:rPr>
          <w:rFonts w:hint="eastAsia"/>
          <w:color w:val="auto"/>
          <w:lang w:val="en"/>
        </w:rPr>
        <w:t>新形势发展要求</w:t>
      </w:r>
      <w:r>
        <w:rPr>
          <w:rFonts w:hint="eastAsia"/>
          <w:color w:val="auto"/>
          <w:lang w:val="en" w:eastAsia="zh-CN"/>
        </w:rPr>
        <w:t>。</w:t>
      </w:r>
      <w:r>
        <w:rPr>
          <w:rFonts w:hint="eastAsia"/>
          <w:color w:val="auto"/>
          <w:lang w:val="en-US" w:eastAsia="zh-CN"/>
        </w:rPr>
        <w:t>2024年5月，</w:t>
      </w:r>
      <w:r>
        <w:rPr>
          <w:rFonts w:hint="eastAsia" w:cs="仿宋_GB2312"/>
          <w:color w:val="auto"/>
          <w:lang w:val="en" w:eastAsia="zh-CN"/>
        </w:rPr>
        <w:t>《</w:t>
      </w:r>
      <w:r>
        <w:rPr>
          <w:rFonts w:hint="eastAsia" w:cs="仿宋_GB2312"/>
          <w:color w:val="auto"/>
          <w:lang w:val="en-US" w:eastAsia="zh-CN"/>
        </w:rPr>
        <w:t>深圳市光明区文化产业园区认定与管理办法（试行）</w:t>
      </w:r>
      <w:r>
        <w:rPr>
          <w:rFonts w:hint="eastAsia" w:cs="仿宋_GB2312"/>
          <w:color w:val="auto"/>
          <w:lang w:val="en" w:eastAsia="zh-CN"/>
        </w:rPr>
        <w:t>》</w:t>
      </w:r>
      <w:r>
        <w:rPr>
          <w:rFonts w:hint="eastAsia" w:ascii="仿宋_GB2312" w:hAnsi="仿宋_GB2312" w:cs="仿宋_GB2312"/>
          <w:color w:val="auto"/>
          <w:lang w:val="en-US" w:eastAsia="zh-CN"/>
        </w:rPr>
        <w:t>（深光府规〔2021〕7号）</w:t>
      </w:r>
      <w:r>
        <w:rPr>
          <w:rFonts w:hint="eastAsia" w:cs="仿宋_GB2312"/>
          <w:color w:val="auto"/>
          <w:lang w:val="en" w:eastAsia="zh-CN"/>
        </w:rPr>
        <w:t>已到期失效，</w:t>
      </w:r>
      <w:r>
        <w:rPr>
          <w:rFonts w:hint="eastAsia"/>
          <w:color w:val="auto"/>
          <w:lang w:val="en" w:eastAsia="zh-CN"/>
        </w:rPr>
        <w:t>且存在部分</w:t>
      </w:r>
      <w:r>
        <w:rPr>
          <w:rFonts w:hint="eastAsia"/>
          <w:color w:val="auto"/>
          <w:lang w:val="en"/>
        </w:rPr>
        <w:t>条款</w:t>
      </w:r>
      <w:r>
        <w:rPr>
          <w:rFonts w:hint="eastAsia"/>
          <w:color w:val="auto"/>
          <w:lang w:val="en" w:eastAsia="zh-CN"/>
        </w:rPr>
        <w:t>缺乏落地性、前瞻性，以及</w:t>
      </w:r>
      <w:r>
        <w:rPr>
          <w:rFonts w:hint="eastAsia"/>
          <w:color w:val="auto"/>
          <w:lang w:val="en"/>
        </w:rPr>
        <w:t>表述不严谨</w:t>
      </w:r>
      <w:r>
        <w:rPr>
          <w:rFonts w:hint="eastAsia"/>
          <w:color w:val="auto"/>
          <w:lang w:val="en" w:eastAsia="zh-CN"/>
        </w:rPr>
        <w:t>，存在违反公平竞争规定、与上级文件精神不符等问题</w:t>
      </w:r>
      <w:r>
        <w:rPr>
          <w:rFonts w:hint="eastAsia"/>
          <w:color w:val="auto"/>
          <w:lang w:val="en"/>
        </w:rPr>
        <w:t>，难以适应新的产业发展需要。</w:t>
      </w:r>
      <w:r>
        <w:rPr>
          <w:rFonts w:hint="eastAsia"/>
          <w:color w:val="auto"/>
          <w:lang w:val="en" w:eastAsia="zh-CN"/>
        </w:rPr>
        <w:t>因此</w:t>
      </w:r>
      <w:r>
        <w:rPr>
          <w:rFonts w:hint="eastAsia"/>
          <w:color w:val="auto"/>
          <w:lang w:val="en"/>
        </w:rPr>
        <w:t>，</w:t>
      </w:r>
      <w:r>
        <w:rPr>
          <w:rFonts w:hint="eastAsia"/>
          <w:color w:val="auto"/>
          <w:lang w:val="en" w:eastAsia="zh-CN"/>
        </w:rPr>
        <w:t>亟须加快修订</w:t>
      </w:r>
      <w:r>
        <w:rPr>
          <w:rFonts w:hint="eastAsia"/>
          <w:color w:val="auto"/>
          <w:lang w:val="en"/>
        </w:rPr>
        <w:t>推出更贴合光明</w:t>
      </w:r>
      <w:r>
        <w:rPr>
          <w:rFonts w:hint="eastAsia"/>
          <w:color w:val="auto"/>
          <w:lang w:val="en" w:eastAsia="zh-CN"/>
        </w:rPr>
        <w:t>文</w:t>
      </w:r>
      <w:r>
        <w:rPr>
          <w:rFonts w:hint="eastAsia"/>
          <w:color w:val="auto"/>
          <w:lang w:val="en-US" w:eastAsia="zh-CN"/>
        </w:rPr>
        <w:t>化</w:t>
      </w:r>
      <w:r>
        <w:rPr>
          <w:rFonts w:hint="eastAsia"/>
          <w:color w:val="auto"/>
          <w:lang w:val="en" w:eastAsia="zh-CN"/>
        </w:rPr>
        <w:t>产业发展</w:t>
      </w:r>
      <w:r>
        <w:rPr>
          <w:rFonts w:hint="eastAsia"/>
          <w:color w:val="auto"/>
          <w:lang w:val="en"/>
        </w:rPr>
        <w:t>实际、</w:t>
      </w:r>
      <w:r>
        <w:rPr>
          <w:rFonts w:hint="eastAsia"/>
          <w:color w:val="auto"/>
          <w:lang w:val="en" w:eastAsia="zh-CN"/>
        </w:rPr>
        <w:t>更具科学性和落地性的产业政策，</w:t>
      </w:r>
      <w:r>
        <w:rPr>
          <w:rFonts w:hint="eastAsia"/>
          <w:color w:val="auto"/>
          <w:lang w:val="en-US" w:eastAsia="zh-CN"/>
        </w:rPr>
        <w:t>发挥政策引导和财政资金撬动作用，助力文化产业高质量发展</w:t>
      </w:r>
      <w:r>
        <w:rPr>
          <w:rFonts w:hint="eastAsia"/>
          <w:color w:val="auto"/>
          <w:lang w:val="en"/>
        </w:rPr>
        <w:t>。</w:t>
      </w:r>
    </w:p>
    <w:p>
      <w:pPr>
        <w:keepNext w:val="0"/>
        <w:keepLines w:val="0"/>
        <w:pageBreakBefore w:val="0"/>
        <w:widowControl w:val="0"/>
        <w:kinsoku/>
        <w:wordWrap/>
        <w:overflowPunct/>
        <w:topLinePunct w:val="0"/>
        <w:autoSpaceDE/>
        <w:autoSpaceDN/>
        <w:bidi w:val="0"/>
        <w:spacing w:beforeAutospacing="0" w:afterAutospacing="0" w:line="560" w:lineRule="exact"/>
        <w:ind w:firstLine="643"/>
        <w:textAlignment w:val="auto"/>
        <w:rPr>
          <w:rFonts w:hint="eastAsia" w:ascii="黑体" w:hAnsi="黑体" w:eastAsia="黑体" w:cs="黑体"/>
          <w:color w:val="auto"/>
          <w:lang w:eastAsia="zh-CN"/>
        </w:rPr>
      </w:pPr>
      <w:r>
        <w:rPr>
          <w:rFonts w:hint="eastAsia" w:ascii="黑体" w:hAnsi="黑体" w:eastAsia="黑体" w:cs="黑体"/>
          <w:color w:val="auto"/>
          <w:lang w:eastAsia="zh-CN"/>
        </w:rPr>
        <w:t>三、法律法规依据</w:t>
      </w:r>
    </w:p>
    <w:p>
      <w:pPr>
        <w:bidi w:val="0"/>
        <w:rPr>
          <w:rFonts w:hint="eastAsia" w:ascii="仿宋_GB2312" w:hAnsi="仿宋_GB2312" w:eastAsia="仿宋_GB2312" w:cs="仿宋_GB2312"/>
          <w:color w:val="auto"/>
          <w:lang w:val="en"/>
        </w:rPr>
      </w:pPr>
      <w:r>
        <w:rPr>
          <w:rFonts w:hint="eastAsia" w:cs="仿宋_GB2312"/>
          <w:color w:val="auto"/>
          <w:lang w:eastAsia="zh-CN"/>
        </w:rPr>
        <w:t>《管理办法》</w:t>
      </w:r>
      <w:r>
        <w:rPr>
          <w:rFonts w:hint="eastAsia" w:ascii="仿宋_GB2312" w:hAnsi="仿宋_GB2312" w:eastAsia="仿宋_GB2312" w:cs="仿宋_GB2312"/>
          <w:color w:val="auto"/>
          <w:lang w:val="en"/>
        </w:rPr>
        <w:t>起草和修订依据包括：</w:t>
      </w:r>
      <w:r>
        <w:rPr>
          <w:rFonts w:hint="eastAsia" w:ascii="仿宋_GB2312" w:hAnsi="仿宋_GB2312" w:cs="仿宋_GB2312"/>
          <w:color w:val="auto"/>
          <w:lang w:val="en" w:eastAsia="zh-CN"/>
        </w:rPr>
        <w:t>《文化和旅游部关于推动数字文化产业高质量发展的意见》（文旅产业发〔2020〕78号）、《“十四五”文化产业发展规划》（</w:t>
      </w:r>
      <w:r>
        <w:rPr>
          <w:rFonts w:hint="eastAsia" w:ascii="仿宋_GB2312" w:hAnsi="仿宋_GB2312" w:eastAsia="仿宋_GB2312" w:cs="仿宋_GB2312"/>
          <w:color w:val="auto"/>
          <w:lang w:val="en"/>
        </w:rPr>
        <w:t>文旅产业发〔2021〕42号</w:t>
      </w:r>
      <w:r>
        <w:rPr>
          <w:rFonts w:hint="eastAsia" w:ascii="仿宋_GB2312" w:hAnsi="仿宋_GB2312" w:cs="仿宋_GB2312"/>
          <w:color w:val="auto"/>
          <w:lang w:val="en" w:eastAsia="zh-CN"/>
        </w:rPr>
        <w:t>）、《广东省文化和旅游发展“十四五”规划》</w:t>
      </w:r>
      <w:r>
        <w:rPr>
          <w:rFonts w:hint="eastAsia" w:ascii="仿宋_GB2312" w:hAnsi="仿宋_GB2312" w:eastAsia="仿宋_GB2312" w:cs="仿宋_GB2312"/>
          <w:color w:val="auto"/>
          <w:lang w:val="en"/>
        </w:rPr>
        <w:t>《关于加快文化产业创新发展的实施意见》（深办发〔2020〕3号）</w:t>
      </w:r>
      <w:r>
        <w:rPr>
          <w:rFonts w:hint="eastAsia" w:cs="仿宋_GB2312"/>
          <w:color w:val="auto"/>
          <w:lang w:val="en"/>
        </w:rPr>
        <w:t>《深圳市文化产业园区管理办法》</w:t>
      </w:r>
      <w:r>
        <w:rPr>
          <w:rFonts w:hint="eastAsia" w:cs="仿宋_GB2312"/>
          <w:color w:val="auto"/>
          <w:lang w:val="en" w:eastAsia="zh-CN"/>
        </w:rPr>
        <w:t>（</w:t>
      </w:r>
      <w:r>
        <w:rPr>
          <w:rFonts w:hint="eastAsia" w:cs="仿宋_GB2312"/>
          <w:color w:val="auto"/>
          <w:lang w:val="en"/>
        </w:rPr>
        <w:t>深文规〔2022〕3号</w:t>
      </w:r>
      <w:r>
        <w:rPr>
          <w:rFonts w:hint="eastAsia" w:cs="仿宋_GB2312"/>
          <w:color w:val="auto"/>
          <w:lang w:val="en" w:eastAsia="zh-CN"/>
        </w:rPr>
        <w:t>）</w:t>
      </w:r>
      <w:r>
        <w:rPr>
          <w:rFonts w:hint="eastAsia" w:ascii="仿宋_GB2312" w:hAnsi="仿宋_GB2312" w:eastAsia="仿宋_GB2312" w:cs="仿宋_GB2312"/>
          <w:color w:val="auto"/>
          <w:lang w:val="en" w:eastAsia="zh-CN"/>
        </w:rPr>
        <w:t>等</w:t>
      </w:r>
      <w:r>
        <w:rPr>
          <w:rFonts w:hint="eastAsia" w:cs="仿宋_GB2312"/>
          <w:color w:val="auto"/>
          <w:lang w:val="en" w:eastAsia="zh-CN"/>
        </w:rPr>
        <w:t>文件</w:t>
      </w:r>
      <w:r>
        <w:rPr>
          <w:rFonts w:hint="eastAsia" w:ascii="仿宋_GB2312" w:hAnsi="仿宋_GB2312" w:eastAsia="仿宋_GB2312" w:cs="仿宋_GB2312"/>
          <w:color w:val="auto"/>
          <w:lang w:val="en"/>
        </w:rPr>
        <w:t>，同时也参考了北京、上海、</w:t>
      </w:r>
      <w:r>
        <w:rPr>
          <w:rFonts w:hint="eastAsia" w:ascii="仿宋_GB2312" w:hAnsi="仿宋_GB2312" w:eastAsia="仿宋_GB2312" w:cs="仿宋_GB2312"/>
          <w:color w:val="auto"/>
          <w:lang w:val="en-US" w:eastAsia="zh-CN"/>
        </w:rPr>
        <w:t>广州、成都</w:t>
      </w:r>
      <w:r>
        <w:rPr>
          <w:rFonts w:hint="eastAsia" w:ascii="仿宋_GB2312" w:hAnsi="仿宋_GB2312" w:eastAsia="仿宋_GB2312" w:cs="仿宋_GB2312"/>
          <w:color w:val="auto"/>
          <w:lang w:val="en"/>
        </w:rPr>
        <w:t>等先进城市及深圳市其他各区有关促进文化产业</w:t>
      </w:r>
      <w:r>
        <w:rPr>
          <w:rFonts w:hint="eastAsia" w:cs="仿宋_GB2312"/>
          <w:color w:val="auto"/>
          <w:lang w:val="en-US" w:eastAsia="zh-CN"/>
        </w:rPr>
        <w:t>园区</w:t>
      </w:r>
      <w:r>
        <w:rPr>
          <w:rFonts w:hint="eastAsia" w:ascii="仿宋_GB2312" w:hAnsi="仿宋_GB2312" w:eastAsia="仿宋_GB2312" w:cs="仿宋_GB2312"/>
          <w:color w:val="auto"/>
          <w:lang w:val="en"/>
        </w:rPr>
        <w:t>发展的措施，结合光明区实际情况编制。</w:t>
      </w:r>
    </w:p>
    <w:p>
      <w:pPr>
        <w:autoSpaceDE/>
        <w:bidi w:val="0"/>
        <w:spacing w:line="560" w:lineRule="exact"/>
        <w:ind w:firstLine="643"/>
        <w:rPr>
          <w:rFonts w:hint="default" w:ascii="黑体" w:hAnsi="黑体" w:eastAsia="黑体" w:cs="黑体"/>
          <w:color w:val="auto"/>
          <w:lang w:val="en-US" w:eastAsia="zh-CN"/>
        </w:rPr>
      </w:pPr>
      <w:r>
        <w:rPr>
          <w:rFonts w:hint="eastAsia" w:ascii="黑体" w:hAnsi="黑体" w:eastAsia="黑体" w:cs="黑体"/>
          <w:color w:val="auto"/>
          <w:lang w:val="en-US" w:eastAsia="zh-CN"/>
        </w:rPr>
        <w:t>四</w:t>
      </w:r>
      <w:r>
        <w:rPr>
          <w:rFonts w:hint="default" w:ascii="黑体" w:hAnsi="黑体" w:eastAsia="黑体" w:cs="黑体"/>
          <w:color w:val="auto"/>
          <w:lang w:val="en-US" w:eastAsia="zh-CN"/>
        </w:rPr>
        <w:t>、总体思路</w:t>
      </w:r>
    </w:p>
    <w:p>
      <w:pPr>
        <w:rPr>
          <w:rFonts w:hint="eastAsia" w:ascii="仿宋_GB2312" w:hAnsi="仿宋_GB2312" w:cs="仿宋_GB2312"/>
          <w:color w:val="auto"/>
          <w:lang w:val="en"/>
        </w:rPr>
      </w:pPr>
      <w:r>
        <w:rPr>
          <w:rFonts w:hint="eastAsia" w:ascii="楷体_GB2312" w:hAnsi="楷体_GB2312" w:eastAsia="楷体_GB2312" w:cs="楷体_GB2312"/>
          <w:color w:val="auto"/>
          <w:lang w:val="en"/>
        </w:rPr>
        <w:t>（一）坚持战略导向。</w:t>
      </w:r>
      <w:r>
        <w:rPr>
          <w:rFonts w:hint="eastAsia" w:ascii="仿宋_GB2312" w:hAnsi="仿宋_GB2312" w:cs="仿宋_GB2312"/>
          <w:color w:val="auto"/>
          <w:lang w:val="en"/>
        </w:rPr>
        <w:t>立足光明科学城的发展需求，将</w:t>
      </w:r>
      <w:r>
        <w:rPr>
          <w:rFonts w:hint="eastAsia" w:ascii="仿宋_GB2312" w:hAnsi="仿宋_GB2312" w:cs="仿宋_GB2312"/>
          <w:color w:val="auto"/>
          <w:lang w:val="en" w:eastAsia="zh-CN"/>
        </w:rPr>
        <w:t>文</w:t>
      </w:r>
      <w:r>
        <w:rPr>
          <w:rFonts w:hint="eastAsia" w:cs="仿宋_GB2312"/>
          <w:color w:val="auto"/>
          <w:lang w:val="en-US" w:eastAsia="zh-CN"/>
        </w:rPr>
        <w:t>化</w:t>
      </w:r>
      <w:r>
        <w:rPr>
          <w:rFonts w:hint="eastAsia" w:ascii="仿宋_GB2312" w:hAnsi="仿宋_GB2312" w:cs="仿宋_GB2312"/>
          <w:color w:val="auto"/>
          <w:lang w:val="en" w:eastAsia="zh-CN"/>
        </w:rPr>
        <w:t>产业</w:t>
      </w:r>
      <w:r>
        <w:rPr>
          <w:rFonts w:hint="eastAsia" w:ascii="仿宋_GB2312" w:hAnsi="仿宋_GB2312" w:cs="仿宋_GB2312"/>
          <w:color w:val="auto"/>
          <w:lang w:val="en"/>
        </w:rPr>
        <w:t>作为光明科学城发展的必要配套产业来打造，全力建设具有光明科学城特色的</w:t>
      </w:r>
      <w:r>
        <w:rPr>
          <w:rFonts w:hint="eastAsia" w:ascii="仿宋_GB2312" w:hAnsi="仿宋_GB2312" w:cs="仿宋_GB2312"/>
          <w:color w:val="auto"/>
          <w:lang w:val="en" w:eastAsia="zh-CN"/>
        </w:rPr>
        <w:t>文</w:t>
      </w:r>
      <w:r>
        <w:rPr>
          <w:rFonts w:hint="eastAsia" w:cs="仿宋_GB2312"/>
          <w:color w:val="auto"/>
          <w:lang w:val="en-US" w:eastAsia="zh-CN"/>
        </w:rPr>
        <w:t>化产</w:t>
      </w:r>
      <w:r>
        <w:rPr>
          <w:rFonts w:hint="eastAsia" w:ascii="仿宋_GB2312" w:hAnsi="仿宋_GB2312" w:cs="仿宋_GB2312"/>
          <w:color w:val="auto"/>
          <w:lang w:val="en"/>
        </w:rPr>
        <w:t>业</w:t>
      </w:r>
      <w:r>
        <w:rPr>
          <w:rFonts w:hint="eastAsia" w:ascii="仿宋_GB2312" w:hAnsi="仿宋_GB2312" w:cs="仿宋_GB2312"/>
          <w:color w:val="auto"/>
          <w:lang w:val="en" w:eastAsia="zh-CN"/>
        </w:rPr>
        <w:t>，</w:t>
      </w:r>
      <w:r>
        <w:rPr>
          <w:rFonts w:hint="eastAsia" w:ascii="仿宋_GB2312" w:hAnsi="仿宋_GB2312" w:cs="仿宋_GB2312"/>
          <w:color w:val="auto"/>
          <w:lang w:val="en"/>
        </w:rPr>
        <w:t>推动文</w:t>
      </w:r>
      <w:r>
        <w:rPr>
          <w:rFonts w:hint="eastAsia" w:cs="仿宋_GB2312"/>
          <w:color w:val="auto"/>
          <w:lang w:val="en-US" w:eastAsia="zh-CN"/>
        </w:rPr>
        <w:t>化</w:t>
      </w:r>
      <w:r>
        <w:rPr>
          <w:rFonts w:hint="eastAsia" w:ascii="仿宋_GB2312" w:hAnsi="仿宋_GB2312" w:cs="仿宋_GB2312"/>
          <w:color w:val="auto"/>
          <w:lang w:val="en"/>
        </w:rPr>
        <w:t>产业转型升级、提质增效，实现</w:t>
      </w:r>
      <w:r>
        <w:rPr>
          <w:rFonts w:hint="eastAsia" w:ascii="仿宋_GB2312" w:hAnsi="仿宋_GB2312" w:cs="仿宋_GB2312"/>
          <w:color w:val="auto"/>
          <w:lang w:val="en" w:eastAsia="zh-CN"/>
        </w:rPr>
        <w:t>文</w:t>
      </w:r>
      <w:r>
        <w:rPr>
          <w:rFonts w:hint="eastAsia" w:cs="仿宋_GB2312"/>
          <w:color w:val="auto"/>
          <w:lang w:val="en-US" w:eastAsia="zh-CN"/>
        </w:rPr>
        <w:t>化产</w:t>
      </w:r>
      <w:r>
        <w:rPr>
          <w:rFonts w:hint="eastAsia" w:ascii="仿宋_GB2312" w:hAnsi="仿宋_GB2312" w:cs="仿宋_GB2312"/>
          <w:color w:val="auto"/>
          <w:lang w:val="en"/>
        </w:rPr>
        <w:t>业成为</w:t>
      </w:r>
      <w:r>
        <w:rPr>
          <w:rFonts w:hint="eastAsia" w:ascii="仿宋_GB2312" w:hAnsi="仿宋_GB2312" w:cs="仿宋_GB2312"/>
          <w:color w:val="auto"/>
          <w:lang w:val="en" w:eastAsia="zh-CN"/>
        </w:rPr>
        <w:t>光明区</w:t>
      </w:r>
      <w:r>
        <w:rPr>
          <w:rFonts w:hint="eastAsia" w:ascii="仿宋_GB2312" w:hAnsi="仿宋_GB2312" w:cs="仿宋_GB2312"/>
          <w:color w:val="auto"/>
          <w:lang w:val="en"/>
        </w:rPr>
        <w:t>支柱性产业的战略目标。</w:t>
      </w:r>
    </w:p>
    <w:p>
      <w:pPr>
        <w:adjustRightInd/>
        <w:snapToGrid/>
        <w:spacing w:line="560" w:lineRule="exact"/>
        <w:ind w:firstLine="640" w:firstLineChars="200"/>
        <w:rPr>
          <w:rFonts w:hint="eastAsia" w:ascii="仿宋_GB2312" w:hAnsi="仿宋_GB2312" w:cs="仿宋_GB2312"/>
          <w:color w:val="auto"/>
          <w:lang w:val="en"/>
        </w:rPr>
      </w:pPr>
      <w:r>
        <w:rPr>
          <w:rFonts w:hint="eastAsia" w:ascii="楷体_GB2312" w:hAnsi="楷体_GB2312" w:eastAsia="楷体_GB2312" w:cs="楷体_GB2312"/>
          <w:color w:val="auto"/>
          <w:lang w:val="en"/>
        </w:rPr>
        <w:t>（二）坚持发展导向。</w:t>
      </w:r>
      <w:r>
        <w:rPr>
          <w:rFonts w:hint="eastAsia" w:ascii="仿宋_GB2312" w:hAnsi="仿宋_GB2312" w:cs="仿宋_GB2312"/>
          <w:color w:val="auto"/>
          <w:lang w:val="en"/>
        </w:rPr>
        <w:t>此次</w:t>
      </w:r>
      <w:r>
        <w:rPr>
          <w:rFonts w:hint="default" w:cs="仿宋_GB2312"/>
          <w:color w:val="auto"/>
          <w:lang w:val="en" w:eastAsia="zh-CN"/>
        </w:rPr>
        <w:t>《</w:t>
      </w:r>
      <w:r>
        <w:rPr>
          <w:rFonts w:hint="eastAsia" w:cs="仿宋_GB2312"/>
          <w:color w:val="auto"/>
          <w:lang w:val="en" w:eastAsia="zh-CN"/>
        </w:rPr>
        <w:t>光明区文化产业园区认定与管理办法</w:t>
      </w:r>
      <w:r>
        <w:rPr>
          <w:rFonts w:hint="default" w:cs="仿宋_GB2312"/>
          <w:color w:val="auto"/>
          <w:lang w:val="en" w:eastAsia="zh-CN"/>
        </w:rPr>
        <w:t>》</w:t>
      </w:r>
      <w:r>
        <w:rPr>
          <w:rFonts w:hint="eastAsia" w:ascii="仿宋_GB2312" w:hAnsi="仿宋_GB2312" w:cs="仿宋_GB2312"/>
          <w:color w:val="auto"/>
          <w:lang w:val="en"/>
        </w:rPr>
        <w:t>修订及编撰，</w:t>
      </w:r>
      <w:r>
        <w:rPr>
          <w:rFonts w:hint="eastAsia" w:cs="仿宋_GB2312"/>
          <w:color w:val="auto"/>
          <w:lang w:val="en" w:eastAsia="zh-CN"/>
        </w:rPr>
        <w:t>《若干措施》起草过程中</w:t>
      </w:r>
      <w:r>
        <w:rPr>
          <w:rFonts w:hint="eastAsia" w:ascii="仿宋_GB2312" w:hAnsi="仿宋_GB2312" w:cs="仿宋_GB2312"/>
          <w:color w:val="auto"/>
          <w:lang w:val="en"/>
        </w:rPr>
        <w:t>，</w:t>
      </w:r>
      <w:r>
        <w:rPr>
          <w:rFonts w:hint="eastAsia" w:cs="仿宋_GB2312"/>
          <w:color w:val="auto"/>
          <w:lang w:val="en" w:eastAsia="zh-CN"/>
        </w:rPr>
        <w:t>光明区文化广电旅游体育局坚持发展导向。</w:t>
      </w:r>
      <w:r>
        <w:rPr>
          <w:rFonts w:hint="eastAsia" w:ascii="仿宋_GB2312" w:hAnsi="仿宋_GB2312" w:cs="仿宋_GB2312"/>
          <w:color w:val="auto"/>
          <w:lang w:val="en"/>
        </w:rPr>
        <w:t>一是系统学习市区政府印发的《深圳市人民政府关于发展壮大战略性新兴产业集群和培育发展未来产业的意见》《深圳市关于加快文化产业创新发展的实施意见》等相关文件；二是认真学习上海、广州、成都、湖南等地先进政策，并赴湖南马栏山视频文创产业园实地考察；三是广泛征求区内企业、协会、园区等意见，了解企业需求</w:t>
      </w:r>
      <w:r>
        <w:rPr>
          <w:rFonts w:hint="eastAsia" w:ascii="仿宋_GB2312" w:hAnsi="仿宋_GB2312" w:cs="仿宋_GB2312"/>
          <w:color w:val="auto"/>
          <w:lang w:val="en" w:eastAsia="zh-CN"/>
        </w:rPr>
        <w:t>，</w:t>
      </w:r>
      <w:r>
        <w:rPr>
          <w:rFonts w:hint="eastAsia" w:ascii="仿宋_GB2312" w:hAnsi="仿宋_GB2312" w:cs="仿宋_GB2312"/>
          <w:color w:val="auto"/>
          <w:lang w:val="en"/>
        </w:rPr>
        <w:t>着力打造</w:t>
      </w:r>
      <w:r>
        <w:rPr>
          <w:rFonts w:hint="eastAsia" w:cs="仿宋_GB2312"/>
          <w:color w:val="auto"/>
          <w:lang w:val="en" w:eastAsia="zh-CN"/>
        </w:rPr>
        <w:t>符合</w:t>
      </w:r>
      <w:r>
        <w:rPr>
          <w:rFonts w:hint="eastAsia" w:ascii="仿宋_GB2312" w:hAnsi="仿宋_GB2312" w:cs="仿宋_GB2312"/>
          <w:color w:val="auto"/>
          <w:lang w:val="en"/>
        </w:rPr>
        <w:t>光明</w:t>
      </w:r>
      <w:r>
        <w:rPr>
          <w:rFonts w:hint="eastAsia" w:cs="仿宋_GB2312"/>
          <w:color w:val="auto"/>
          <w:lang w:val="en" w:eastAsia="zh-CN"/>
        </w:rPr>
        <w:t>实际</w:t>
      </w:r>
      <w:r>
        <w:rPr>
          <w:rFonts w:hint="eastAsia" w:ascii="仿宋_GB2312" w:hAnsi="仿宋_GB2312" w:cs="仿宋_GB2312"/>
          <w:color w:val="auto"/>
          <w:lang w:val="en"/>
        </w:rPr>
        <w:t>的</w:t>
      </w:r>
      <w:r>
        <w:rPr>
          <w:rFonts w:hint="eastAsia" w:cs="仿宋_GB2312"/>
          <w:color w:val="auto"/>
          <w:lang w:val="en-US" w:eastAsia="zh-CN"/>
        </w:rPr>
        <w:t>文化产业园区政策</w:t>
      </w:r>
      <w:r>
        <w:rPr>
          <w:rFonts w:hint="eastAsia" w:ascii="仿宋_GB2312" w:hAnsi="仿宋_GB2312" w:cs="仿宋_GB2312"/>
          <w:color w:val="auto"/>
          <w:lang w:val="en"/>
        </w:rPr>
        <w:t>。</w:t>
      </w:r>
    </w:p>
    <w:p>
      <w:pPr>
        <w:ind w:firstLine="0"/>
        <w:rPr>
          <w:rFonts w:hint="eastAsia" w:ascii="仿宋_GB2312" w:hAnsi="仿宋_GB2312" w:cs="仿宋_GB2312"/>
          <w:color w:val="auto"/>
          <w:lang w:val="en"/>
        </w:rPr>
      </w:pPr>
      <w:r>
        <w:rPr>
          <w:rFonts w:hint="eastAsia" w:ascii="楷体_GB2312" w:hAnsi="楷体_GB2312" w:eastAsia="楷体_GB2312" w:cs="楷体_GB2312"/>
          <w:color w:val="auto"/>
          <w:lang w:val="en"/>
        </w:rPr>
        <w:t>（三）坚持问题导向。</w:t>
      </w:r>
      <w:r>
        <w:rPr>
          <w:rFonts w:hint="eastAsia" w:cs="仿宋_GB2312"/>
          <w:color w:val="auto"/>
          <w:lang w:val="en" w:eastAsia="zh-CN"/>
        </w:rPr>
        <w:t>随着光明科学城的加速发展，</w:t>
      </w:r>
      <w:r>
        <w:rPr>
          <w:rFonts w:hint="eastAsia" w:ascii="仿宋_GB2312" w:hAnsi="仿宋_GB2312" w:cs="仿宋_GB2312"/>
          <w:color w:val="auto"/>
          <w:lang w:val="en" w:eastAsia="zh-CN"/>
        </w:rPr>
        <w:t>光明区文</w:t>
      </w:r>
      <w:r>
        <w:rPr>
          <w:rFonts w:hint="eastAsia" w:cs="仿宋_GB2312"/>
          <w:color w:val="auto"/>
          <w:lang w:val="en-US" w:eastAsia="zh-CN"/>
        </w:rPr>
        <w:t>化</w:t>
      </w:r>
      <w:r>
        <w:rPr>
          <w:rFonts w:hint="eastAsia" w:ascii="仿宋_GB2312" w:hAnsi="仿宋_GB2312" w:cs="仿宋_GB2312"/>
          <w:color w:val="auto"/>
          <w:lang w:val="en" w:eastAsia="zh-CN"/>
        </w:rPr>
        <w:t>产业发展</w:t>
      </w:r>
      <w:r>
        <w:rPr>
          <w:rFonts w:hint="eastAsia" w:cs="仿宋_GB2312"/>
          <w:color w:val="auto"/>
          <w:lang w:val="en" w:eastAsia="zh-CN"/>
        </w:rPr>
        <w:t>面临</w:t>
      </w:r>
      <w:r>
        <w:rPr>
          <w:rFonts w:hint="eastAsia" w:ascii="仿宋_GB2312" w:hAnsi="仿宋_GB2312" w:cs="仿宋_GB2312"/>
          <w:color w:val="auto"/>
          <w:lang w:val="en" w:eastAsia="zh-CN"/>
        </w:rPr>
        <w:t>新机遇</w:t>
      </w:r>
      <w:r>
        <w:rPr>
          <w:rFonts w:hint="eastAsia" w:cs="仿宋_GB2312"/>
          <w:color w:val="auto"/>
          <w:lang w:val="en" w:eastAsia="zh-CN"/>
        </w:rPr>
        <w:t>和挑战</w:t>
      </w:r>
      <w:r>
        <w:rPr>
          <w:rFonts w:hint="eastAsia" w:ascii="仿宋_GB2312" w:hAnsi="仿宋_GB2312" w:cs="仿宋_GB2312"/>
          <w:color w:val="auto"/>
          <w:lang w:val="en"/>
        </w:rPr>
        <w:t>，</w:t>
      </w:r>
      <w:r>
        <w:rPr>
          <w:rFonts w:hint="eastAsia" w:cs="仿宋_GB2312"/>
          <w:color w:val="auto"/>
          <w:lang w:val="en" w:eastAsia="zh-CN"/>
        </w:rPr>
        <w:t>加之旧</w:t>
      </w:r>
      <w:r>
        <w:rPr>
          <w:rFonts w:hint="eastAsia" w:ascii="仿宋_GB2312" w:hAnsi="仿宋_GB2312" w:cs="仿宋_GB2312"/>
          <w:color w:val="auto"/>
          <w:lang w:val="en" w:eastAsia="zh-CN"/>
        </w:rPr>
        <w:t>原</w:t>
      </w:r>
      <w:r>
        <w:rPr>
          <w:rFonts w:hint="eastAsia" w:ascii="仿宋_GB2312" w:hAnsi="仿宋_GB2312" w:cs="仿宋_GB2312"/>
          <w:color w:val="auto"/>
          <w:lang w:val="en"/>
        </w:rPr>
        <w:t>政策</w:t>
      </w:r>
      <w:r>
        <w:rPr>
          <w:rFonts w:hint="eastAsia" w:ascii="仿宋_GB2312" w:hAnsi="仿宋_GB2312" w:cs="仿宋_GB2312"/>
          <w:color w:val="auto"/>
          <w:lang w:val="en" w:eastAsia="zh-CN"/>
        </w:rPr>
        <w:t>存在部分</w:t>
      </w:r>
      <w:r>
        <w:rPr>
          <w:rFonts w:hint="eastAsia" w:ascii="仿宋_GB2312" w:hAnsi="仿宋_GB2312" w:cs="仿宋_GB2312"/>
          <w:color w:val="auto"/>
          <w:lang w:val="en"/>
        </w:rPr>
        <w:t>条款</w:t>
      </w:r>
      <w:r>
        <w:rPr>
          <w:rFonts w:hint="eastAsia" w:ascii="仿宋_GB2312" w:hAnsi="仿宋_GB2312" w:cs="仿宋_GB2312"/>
          <w:color w:val="auto"/>
          <w:lang w:val="en" w:eastAsia="zh-CN"/>
        </w:rPr>
        <w:t>缺乏落地性、前瞻性，与上级文件精神不符等问题</w:t>
      </w:r>
      <w:r>
        <w:rPr>
          <w:rFonts w:hint="eastAsia" w:ascii="仿宋_GB2312" w:hAnsi="仿宋_GB2312" w:cs="仿宋_GB2312"/>
          <w:color w:val="auto"/>
          <w:lang w:val="en"/>
        </w:rPr>
        <w:t>，难以适应新的产业发展需要。</w:t>
      </w:r>
      <w:r>
        <w:rPr>
          <w:rFonts w:hint="eastAsia" w:ascii="仿宋_GB2312" w:hAnsi="仿宋_GB2312" w:cs="仿宋_GB2312"/>
          <w:color w:val="auto"/>
          <w:lang w:val="en" w:eastAsia="zh-CN"/>
        </w:rPr>
        <w:t>一是政策</w:t>
      </w:r>
      <w:r>
        <w:rPr>
          <w:rFonts w:hint="eastAsia" w:ascii="仿宋_GB2312" w:hAnsi="仿宋_GB2312" w:cs="仿宋_GB2312"/>
          <w:color w:val="auto"/>
          <w:lang w:val="en"/>
        </w:rPr>
        <w:t>表述不严谨</w:t>
      </w:r>
      <w:r>
        <w:rPr>
          <w:rFonts w:hint="eastAsia" w:ascii="仿宋_GB2312" w:hAnsi="仿宋_GB2312" w:cs="仿宋_GB2312"/>
          <w:color w:val="auto"/>
          <w:lang w:val="en" w:eastAsia="zh-CN"/>
        </w:rPr>
        <w:t>，部分条款存在违反公平竞争规定的问题；</w:t>
      </w:r>
      <w:r>
        <w:rPr>
          <w:rFonts w:hint="eastAsia" w:cs="仿宋_GB2312"/>
          <w:color w:val="auto"/>
          <w:lang w:val="en-US" w:eastAsia="zh-CN"/>
        </w:rPr>
        <w:t>二</w:t>
      </w:r>
      <w:r>
        <w:rPr>
          <w:rFonts w:hint="eastAsia" w:ascii="仿宋_GB2312" w:hAnsi="仿宋_GB2312" w:cs="仿宋_GB2312"/>
          <w:color w:val="auto"/>
          <w:lang w:val="en" w:eastAsia="zh-CN"/>
        </w:rPr>
        <w:t>是政策</w:t>
      </w:r>
      <w:r>
        <w:rPr>
          <w:rFonts w:hint="eastAsia" w:cs="仿宋_GB2312"/>
          <w:color w:val="auto"/>
          <w:lang w:val="en" w:eastAsia="zh-CN"/>
        </w:rPr>
        <w:t>认定标准偏高</w:t>
      </w:r>
      <w:r>
        <w:rPr>
          <w:rFonts w:hint="eastAsia" w:ascii="仿宋_GB2312" w:hAnsi="仿宋_GB2312" w:cs="仿宋_GB2312"/>
          <w:color w:val="auto"/>
          <w:lang w:val="en" w:eastAsia="zh-CN"/>
        </w:rPr>
        <w:t>，未能贴合企业发展实际需求。在产业培育主体、认定条件等方面仍有进一步优化的空间；</w:t>
      </w:r>
      <w:r>
        <w:rPr>
          <w:rFonts w:hint="eastAsia" w:cs="仿宋_GB2312"/>
          <w:color w:val="auto"/>
          <w:lang w:val="en-US" w:eastAsia="zh-CN"/>
        </w:rPr>
        <w:t>三</w:t>
      </w:r>
      <w:r>
        <w:rPr>
          <w:rFonts w:hint="eastAsia" w:ascii="仿宋_GB2312" w:hAnsi="仿宋_GB2312" w:cs="仿宋_GB2312"/>
          <w:color w:val="auto"/>
          <w:lang w:val="en" w:eastAsia="zh-CN"/>
        </w:rPr>
        <w:t>是政策落地性有待加强。针对上述问题，</w:t>
      </w:r>
      <w:r>
        <w:rPr>
          <w:rFonts w:hint="eastAsia" w:cs="仿宋_GB2312"/>
          <w:color w:val="auto"/>
          <w:lang w:val="en" w:eastAsia="zh-CN"/>
        </w:rPr>
        <w:t>光明区文化广电旅游体育局</w:t>
      </w:r>
      <w:r>
        <w:rPr>
          <w:rFonts w:hint="eastAsia" w:ascii="仿宋_GB2312" w:hAnsi="仿宋_GB2312" w:cs="仿宋_GB2312"/>
          <w:color w:val="auto"/>
          <w:lang w:val="en" w:eastAsia="zh-CN"/>
        </w:rPr>
        <w:t>坚持问题导向，</w:t>
      </w:r>
      <w:r>
        <w:rPr>
          <w:rFonts w:hint="eastAsia" w:cs="仿宋_GB2312"/>
          <w:color w:val="auto"/>
          <w:lang w:val="en" w:eastAsia="zh-CN"/>
        </w:rPr>
        <w:t>过程中</w:t>
      </w:r>
      <w:r>
        <w:rPr>
          <w:rFonts w:hint="eastAsia" w:ascii="仿宋_GB2312" w:hAnsi="仿宋_GB2312" w:cs="仿宋_GB2312"/>
          <w:color w:val="auto"/>
          <w:lang w:val="en" w:eastAsia="zh-CN"/>
        </w:rPr>
        <w:t>不断加强合法性审查，仔细</w:t>
      </w:r>
      <w:r>
        <w:rPr>
          <w:rFonts w:hint="eastAsia" w:ascii="仿宋_GB2312" w:hAnsi="仿宋_GB2312" w:cs="仿宋_GB2312"/>
          <w:color w:val="auto"/>
          <w:lang w:val="en"/>
        </w:rPr>
        <w:t>研究政策重点支持方向</w:t>
      </w:r>
      <w:r>
        <w:rPr>
          <w:rFonts w:hint="eastAsia" w:ascii="仿宋_GB2312" w:hAnsi="仿宋_GB2312" w:cs="仿宋_GB2312"/>
          <w:color w:val="auto"/>
          <w:lang w:val="en" w:eastAsia="zh-CN"/>
        </w:rPr>
        <w:t>，结合</w:t>
      </w:r>
      <w:r>
        <w:rPr>
          <w:rFonts w:hint="eastAsia" w:ascii="仿宋_GB2312" w:hAnsi="仿宋_GB2312" w:cs="仿宋_GB2312"/>
          <w:color w:val="auto"/>
          <w:lang w:val="en"/>
        </w:rPr>
        <w:t>光明区文化产业发展实际，</w:t>
      </w:r>
      <w:r>
        <w:rPr>
          <w:rFonts w:hint="eastAsia" w:ascii="仿宋_GB2312" w:hAnsi="仿宋_GB2312" w:cs="仿宋_GB2312"/>
          <w:color w:val="auto"/>
          <w:lang w:val="en" w:eastAsia="zh-CN"/>
        </w:rPr>
        <w:t>确保新修订政策符合法律、法规、规章等上位法的规定，贴合文</w:t>
      </w:r>
      <w:r>
        <w:rPr>
          <w:rFonts w:hint="eastAsia" w:cs="仿宋_GB2312"/>
          <w:color w:val="auto"/>
          <w:lang w:val="en-US" w:eastAsia="zh-CN"/>
        </w:rPr>
        <w:t>化</w:t>
      </w:r>
      <w:r>
        <w:rPr>
          <w:rFonts w:hint="eastAsia" w:ascii="仿宋_GB2312" w:hAnsi="仿宋_GB2312" w:cs="仿宋_GB2312"/>
          <w:color w:val="auto"/>
          <w:lang w:val="en" w:eastAsia="zh-CN"/>
        </w:rPr>
        <w:t>企业产业发展的实际需求，</w:t>
      </w:r>
      <w:r>
        <w:rPr>
          <w:rFonts w:hint="eastAsia" w:ascii="仿宋_GB2312" w:hAnsi="仿宋_GB2312" w:cs="仿宋_GB2312"/>
          <w:color w:val="auto"/>
          <w:lang w:val="en"/>
        </w:rPr>
        <w:t>对</w:t>
      </w:r>
      <w:r>
        <w:rPr>
          <w:rFonts w:hint="eastAsia" w:cs="仿宋_GB2312"/>
          <w:color w:val="auto"/>
          <w:lang w:val="en" w:eastAsia="zh-CN"/>
        </w:rPr>
        <w:t>旧</w:t>
      </w:r>
      <w:r>
        <w:rPr>
          <w:rFonts w:hint="eastAsia" w:ascii="仿宋_GB2312" w:hAnsi="仿宋_GB2312" w:cs="仿宋_GB2312"/>
          <w:color w:val="auto"/>
          <w:lang w:val="en" w:eastAsia="zh-CN"/>
        </w:rPr>
        <w:t>政策</w:t>
      </w:r>
      <w:r>
        <w:rPr>
          <w:rFonts w:hint="eastAsia" w:ascii="仿宋_GB2312" w:hAnsi="仿宋_GB2312" w:cs="仿宋_GB2312"/>
          <w:color w:val="auto"/>
          <w:lang w:val="en"/>
        </w:rPr>
        <w:t>进行优化调整</w:t>
      </w:r>
      <w:r>
        <w:rPr>
          <w:rFonts w:hint="eastAsia" w:ascii="仿宋_GB2312" w:hAnsi="仿宋_GB2312" w:cs="仿宋_GB2312"/>
          <w:color w:val="auto"/>
          <w:lang w:val="en" w:eastAsia="zh-CN"/>
        </w:rPr>
        <w:t>。</w:t>
      </w:r>
    </w:p>
    <w:p>
      <w:pPr>
        <w:keepNext w:val="0"/>
        <w:keepLines w:val="0"/>
        <w:pageBreakBefore w:val="0"/>
        <w:widowControl/>
        <w:kinsoku/>
        <w:wordWrap/>
        <w:overflowPunct/>
        <w:topLinePunct w:val="0"/>
        <w:autoSpaceDE/>
        <w:autoSpaceDN/>
        <w:bidi w:val="0"/>
        <w:spacing w:beforeAutospacing="0" w:afterAutospacing="0" w:line="240" w:lineRule="auto"/>
        <w:ind w:firstLine="0"/>
        <w:textAlignment w:val="auto"/>
        <w:rPr>
          <w:rFonts w:hint="eastAsia" w:ascii="黑体" w:hAnsi="黑体" w:eastAsia="黑体" w:cs="黑体"/>
          <w:color w:val="auto"/>
        </w:rPr>
      </w:pPr>
      <w:r>
        <w:rPr>
          <w:rFonts w:hint="eastAsia" w:ascii="黑体" w:hAnsi="黑体" w:eastAsia="黑体" w:cs="黑体"/>
          <w:color w:val="auto"/>
          <w:lang w:val="en-US" w:eastAsia="zh-CN"/>
        </w:rPr>
        <w:t>五</w:t>
      </w:r>
      <w:r>
        <w:rPr>
          <w:rFonts w:hint="eastAsia" w:ascii="黑体" w:hAnsi="黑体" w:eastAsia="黑体" w:cs="黑体"/>
          <w:color w:val="auto"/>
        </w:rPr>
        <w:t>、主要内容</w:t>
      </w:r>
    </w:p>
    <w:p>
      <w:pPr>
        <w:keepNext w:val="0"/>
        <w:keepLines w:val="0"/>
        <w:pageBreakBefore w:val="0"/>
        <w:widowControl w:val="0"/>
        <w:kinsoku/>
        <w:wordWrap/>
        <w:overflowPunct/>
        <w:topLinePunct w:val="0"/>
        <w:autoSpaceDE/>
        <w:autoSpaceDN/>
        <w:bidi w:val="0"/>
        <w:spacing w:beforeAutospacing="0" w:afterAutospacing="0" w:line="560" w:lineRule="exact"/>
        <w:ind w:firstLine="640"/>
        <w:textAlignment w:val="auto"/>
        <w:rPr>
          <w:rFonts w:hint="eastAsia"/>
          <w:color w:val="auto"/>
          <w:szCs w:val="32"/>
        </w:rPr>
      </w:pPr>
      <w:r>
        <w:rPr>
          <w:rFonts w:hint="eastAsia"/>
          <w:color w:val="auto"/>
          <w:szCs w:val="32"/>
        </w:rPr>
        <w:t>本办法共五章，分别是总则、认定条件、申报及认定程序、资助标准、管理与考核、附则。本办法与原《光明区文化产业园区认定与管理办法（试行）》办法相比较，主要是第二章“认定条件”发生了变化。</w:t>
      </w:r>
    </w:p>
    <w:p>
      <w:pPr>
        <w:keepNext w:val="0"/>
        <w:keepLines w:val="0"/>
        <w:pageBreakBefore w:val="0"/>
        <w:widowControl w:val="0"/>
        <w:kinsoku/>
        <w:wordWrap/>
        <w:overflowPunct/>
        <w:topLinePunct w:val="0"/>
        <w:autoSpaceDE/>
        <w:autoSpaceDN/>
        <w:bidi w:val="0"/>
        <w:spacing w:beforeAutospacing="0" w:afterAutospacing="0" w:line="560" w:lineRule="exact"/>
        <w:ind w:firstLine="640"/>
        <w:textAlignment w:val="auto"/>
        <w:rPr>
          <w:rFonts w:hint="eastAsia"/>
          <w:color w:val="auto"/>
          <w:szCs w:val="32"/>
        </w:rPr>
      </w:pPr>
      <w:r>
        <w:rPr>
          <w:rFonts w:hint="eastAsia"/>
          <w:color w:val="auto"/>
          <w:szCs w:val="32"/>
        </w:rPr>
        <w:t>一是删去原政策第七条“存在明确物理边界且为同一业主所有或由同一主体运营的两栋及以上相邻楼宇，不能拆分申请认定文化产业园区”的认定条件，使其更符合光明区文化产业发展实际；</w:t>
      </w:r>
    </w:p>
    <w:p>
      <w:pPr>
        <w:keepNext w:val="0"/>
        <w:keepLines w:val="0"/>
        <w:pageBreakBefore w:val="0"/>
        <w:widowControl w:val="0"/>
        <w:kinsoku/>
        <w:wordWrap/>
        <w:overflowPunct/>
        <w:topLinePunct w:val="0"/>
        <w:autoSpaceDE/>
        <w:autoSpaceDN/>
        <w:bidi w:val="0"/>
        <w:spacing w:beforeAutospacing="0" w:afterAutospacing="0" w:line="560" w:lineRule="exact"/>
        <w:ind w:firstLine="640"/>
        <w:textAlignment w:val="auto"/>
        <w:rPr>
          <w:rFonts w:hint="eastAsia"/>
          <w:color w:val="auto"/>
          <w:szCs w:val="32"/>
        </w:rPr>
      </w:pPr>
      <w:r>
        <w:rPr>
          <w:rFonts w:hint="eastAsia"/>
          <w:color w:val="auto"/>
          <w:szCs w:val="32"/>
        </w:rPr>
        <w:t>二是新增专业管理运营机构专职管理人员要求，“专职管理人员不少于8人，其中具有大学本科以上学历的不低于5人”；</w:t>
      </w:r>
    </w:p>
    <w:p>
      <w:pPr>
        <w:keepNext w:val="0"/>
        <w:keepLines w:val="0"/>
        <w:pageBreakBefore w:val="0"/>
        <w:widowControl w:val="0"/>
        <w:kinsoku/>
        <w:wordWrap/>
        <w:overflowPunct/>
        <w:topLinePunct w:val="0"/>
        <w:autoSpaceDE/>
        <w:autoSpaceDN/>
        <w:bidi w:val="0"/>
        <w:spacing w:beforeAutospacing="0" w:afterAutospacing="0" w:line="560" w:lineRule="exact"/>
        <w:ind w:firstLine="640"/>
        <w:textAlignment w:val="auto"/>
        <w:rPr>
          <w:rFonts w:ascii="仿宋_GB2312" w:hAnsi="仿宋_GB2312" w:cs="仿宋_GB2312"/>
          <w:color w:val="auto"/>
          <w:szCs w:val="32"/>
        </w:rPr>
      </w:pPr>
      <w:r>
        <w:rPr>
          <w:rFonts w:hint="eastAsia"/>
          <w:color w:val="auto"/>
          <w:szCs w:val="32"/>
        </w:rPr>
        <w:t>三是提高入驻文化企业数量占比，以营业收入占比替换原入驻文化企业使用面积占比。认定条件变为“园区建筑面积应不少于10000平方米，园区已入驻文化产业研发、经营单位（包括企业、社会团体、设计室、工作室等）应不少于10家；已入驻文化产业研发、经营单位（包括企业、社会团体、设计室、工作室等）等单位数量应不少于园区入驻单位总数的55%，且入驻文化企业上一自然年度营业收入应不少于全部入驻企业上一自然年度营业收入的55%；园区招商率完成80%以上”</w:t>
      </w:r>
      <w:r>
        <w:rPr>
          <w:color w:val="auto"/>
          <w:szCs w:val="32"/>
        </w:rPr>
        <w:t>。</w:t>
      </w:r>
    </w:p>
    <w:p/>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libri Light">
    <w:altName w:val="DejaVu Sans"/>
    <w:panose1 w:val="020F0302020204030204"/>
    <w:charset w:val="00"/>
    <w:family w:val="auto"/>
    <w:pitch w:val="default"/>
    <w:sig w:usb0="00000000" w:usb1="00000000"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0133A"/>
    <w:rsid w:val="00656641"/>
    <w:rsid w:val="011E1AE4"/>
    <w:rsid w:val="01277748"/>
    <w:rsid w:val="0173585E"/>
    <w:rsid w:val="02A91DA6"/>
    <w:rsid w:val="030D4AC8"/>
    <w:rsid w:val="0321400D"/>
    <w:rsid w:val="03496B61"/>
    <w:rsid w:val="03B65F25"/>
    <w:rsid w:val="05C1367C"/>
    <w:rsid w:val="05CE4396"/>
    <w:rsid w:val="064E126A"/>
    <w:rsid w:val="06506E5A"/>
    <w:rsid w:val="07B832B0"/>
    <w:rsid w:val="0CBF6838"/>
    <w:rsid w:val="0D3835BD"/>
    <w:rsid w:val="11A64E43"/>
    <w:rsid w:val="14883E57"/>
    <w:rsid w:val="14A20267"/>
    <w:rsid w:val="15D63EB2"/>
    <w:rsid w:val="15F335E7"/>
    <w:rsid w:val="17F23A82"/>
    <w:rsid w:val="187410C9"/>
    <w:rsid w:val="194C4CA0"/>
    <w:rsid w:val="19CD1E14"/>
    <w:rsid w:val="1C0F3C96"/>
    <w:rsid w:val="1D185750"/>
    <w:rsid w:val="1E7C4D29"/>
    <w:rsid w:val="1EC37822"/>
    <w:rsid w:val="1F951D22"/>
    <w:rsid w:val="1FAB46F7"/>
    <w:rsid w:val="20837D28"/>
    <w:rsid w:val="20990887"/>
    <w:rsid w:val="22311C64"/>
    <w:rsid w:val="22CA041E"/>
    <w:rsid w:val="237138FF"/>
    <w:rsid w:val="2387656E"/>
    <w:rsid w:val="23B86930"/>
    <w:rsid w:val="24406D79"/>
    <w:rsid w:val="2445710C"/>
    <w:rsid w:val="25827825"/>
    <w:rsid w:val="26375820"/>
    <w:rsid w:val="26852BE0"/>
    <w:rsid w:val="27155FD0"/>
    <w:rsid w:val="277FCB98"/>
    <w:rsid w:val="2A5E108E"/>
    <w:rsid w:val="2BEC169E"/>
    <w:rsid w:val="2C336597"/>
    <w:rsid w:val="2CAF6831"/>
    <w:rsid w:val="2E052A7B"/>
    <w:rsid w:val="2EA77FA9"/>
    <w:rsid w:val="2F30133A"/>
    <w:rsid w:val="2FD34873"/>
    <w:rsid w:val="30501746"/>
    <w:rsid w:val="34C2713A"/>
    <w:rsid w:val="35E5279B"/>
    <w:rsid w:val="383430E5"/>
    <w:rsid w:val="3AFB7D0E"/>
    <w:rsid w:val="3B840CB4"/>
    <w:rsid w:val="3C7D481B"/>
    <w:rsid w:val="3F4A7F61"/>
    <w:rsid w:val="3F9E2286"/>
    <w:rsid w:val="410276BA"/>
    <w:rsid w:val="41100816"/>
    <w:rsid w:val="41B95348"/>
    <w:rsid w:val="433E38EC"/>
    <w:rsid w:val="464E0A98"/>
    <w:rsid w:val="46E46CF4"/>
    <w:rsid w:val="470B61DD"/>
    <w:rsid w:val="478979FD"/>
    <w:rsid w:val="48044ABC"/>
    <w:rsid w:val="4A1277A3"/>
    <w:rsid w:val="4BB943B0"/>
    <w:rsid w:val="4BBD2AC7"/>
    <w:rsid w:val="504B1ED2"/>
    <w:rsid w:val="506D0A15"/>
    <w:rsid w:val="525955B1"/>
    <w:rsid w:val="557D7DDB"/>
    <w:rsid w:val="562341D8"/>
    <w:rsid w:val="57A411D6"/>
    <w:rsid w:val="58D048D2"/>
    <w:rsid w:val="59792AEC"/>
    <w:rsid w:val="5AD05E8B"/>
    <w:rsid w:val="5B5904D9"/>
    <w:rsid w:val="5C463A16"/>
    <w:rsid w:val="5CAF05F7"/>
    <w:rsid w:val="5DDF06BF"/>
    <w:rsid w:val="62F435E7"/>
    <w:rsid w:val="63961BE0"/>
    <w:rsid w:val="63BA4B07"/>
    <w:rsid w:val="64E27EC7"/>
    <w:rsid w:val="658A2F16"/>
    <w:rsid w:val="65A17F37"/>
    <w:rsid w:val="65B02146"/>
    <w:rsid w:val="65CC5D02"/>
    <w:rsid w:val="67BE1FEE"/>
    <w:rsid w:val="699D5836"/>
    <w:rsid w:val="69F632C8"/>
    <w:rsid w:val="6A2636F0"/>
    <w:rsid w:val="6CF05300"/>
    <w:rsid w:val="6EF370DC"/>
    <w:rsid w:val="747F2966"/>
    <w:rsid w:val="75625BED"/>
    <w:rsid w:val="771C067A"/>
    <w:rsid w:val="7A014185"/>
    <w:rsid w:val="7DA0505C"/>
    <w:rsid w:val="7FD54E08"/>
    <w:rsid w:val="7FFFA667"/>
    <w:rsid w:val="AFE9DE64"/>
    <w:rsid w:val="B97D7BFE"/>
    <w:rsid w:val="D6DFB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仿宋_GB2312" w:hAnsi="仿宋_GB2312" w:eastAsia="仿宋_GB2312" w:cs="Times New Roman"/>
      <w:kern w:val="2"/>
      <w:sz w:val="32"/>
      <w:szCs w:val="24"/>
      <w:lang w:val="en-US" w:eastAsia="zh-CN" w:bidi="ar-SA"/>
    </w:rPr>
  </w:style>
  <w:style w:type="paragraph" w:styleId="2">
    <w:name w:val="heading 1"/>
    <w:basedOn w:val="1"/>
    <w:next w:val="1"/>
    <w:link w:val="15"/>
    <w:qFormat/>
    <w:uiPriority w:val="0"/>
    <w:pPr>
      <w:keepNext/>
      <w:keepLines/>
      <w:spacing w:before="340" w:after="330" w:line="579" w:lineRule="auto"/>
      <w:ind w:firstLine="600" w:firstLineChars="200"/>
      <w:outlineLvl w:val="0"/>
    </w:pPr>
    <w:rPr>
      <w:rFonts w:ascii="Times New Roman" w:hAnsi="Times New Roman" w:eastAsia="宋体" w:cs="Times New Roman"/>
      <w:b/>
      <w:bCs/>
      <w:kern w:val="44"/>
      <w:sz w:val="44"/>
      <w:szCs w:val="44"/>
    </w:rPr>
  </w:style>
  <w:style w:type="paragraph" w:styleId="3">
    <w:name w:val="heading 2"/>
    <w:basedOn w:val="1"/>
    <w:next w:val="1"/>
    <w:link w:val="16"/>
    <w:semiHidden/>
    <w:unhideWhenUsed/>
    <w:qFormat/>
    <w:uiPriority w:val="0"/>
    <w:pPr>
      <w:keepNext/>
      <w:keepLines/>
      <w:spacing w:line="560" w:lineRule="exact"/>
      <w:outlineLvl w:val="1"/>
    </w:pPr>
    <w:rPr>
      <w:rFonts w:eastAsia="楷体_GB2312" w:asciiTheme="majorAscii" w:hAnsiTheme="majorAscii" w:cstheme="majorBidi"/>
      <w:bCs/>
      <w:snapToGrid w:val="0"/>
      <w:color w:val="000000"/>
      <w:kern w:val="0"/>
      <w:szCs w:val="32"/>
    </w:rPr>
  </w:style>
  <w:style w:type="paragraph" w:styleId="4">
    <w:name w:val="heading 3"/>
    <w:basedOn w:val="1"/>
    <w:next w:val="1"/>
    <w:link w:val="17"/>
    <w:semiHidden/>
    <w:unhideWhenUsed/>
    <w:qFormat/>
    <w:uiPriority w:val="0"/>
    <w:pPr>
      <w:spacing w:before="0" w:beforeAutospacing="0" w:after="0" w:afterAutospacing="0"/>
      <w:jc w:val="both"/>
      <w:outlineLvl w:val="2"/>
    </w:pPr>
    <w:rPr>
      <w:rFonts w:hint="eastAsia" w:ascii="宋体" w:hAnsi="宋体" w:cs="宋体"/>
      <w:b/>
      <w:bCs/>
      <w:kern w:val="0"/>
      <w:sz w:val="32"/>
      <w:szCs w:val="27"/>
      <w:lang w:eastAsia="zh-CN" w:bidi="ar"/>
    </w:rPr>
  </w:style>
  <w:style w:type="paragraph" w:styleId="5">
    <w:name w:val="heading 4"/>
    <w:basedOn w:val="1"/>
    <w:next w:val="1"/>
    <w:semiHidden/>
    <w:unhideWhenUsed/>
    <w:qFormat/>
    <w:uiPriority w:val="0"/>
    <w:pPr>
      <w:keepNext/>
      <w:keepLines/>
      <w:spacing w:beforeLines="0" w:beforeAutospacing="0" w:afterLines="0" w:afterAutospacing="0" w:line="560" w:lineRule="exact"/>
      <w:outlineLvl w:val="3"/>
    </w:pPr>
    <w:rPr>
      <w:rFonts w:ascii="Arial" w:hAnsi="Arial" w:eastAsia="方正仿宋_GB2312"/>
      <w:b/>
    </w:rPr>
  </w:style>
  <w:style w:type="character" w:default="1" w:styleId="13">
    <w:name w:val="Default Paragraph Font"/>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6">
    <w:name w:val="Body Text"/>
    <w:basedOn w:val="1"/>
    <w:next w:val="1"/>
    <w:qFormat/>
    <w:uiPriority w:val="0"/>
    <w:pPr>
      <w:spacing w:afterLines="0" w:afterAutospacing="0"/>
    </w:pPr>
  </w:style>
  <w:style w:type="paragraph" w:styleId="7">
    <w:name w:val="Body Text Indent"/>
    <w:basedOn w:val="1"/>
    <w:qFormat/>
    <w:uiPriority w:val="0"/>
    <w:pPr>
      <w:spacing w:after="120" w:afterLines="0" w:afterAutospacing="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toc 1"/>
    <w:basedOn w:val="1"/>
    <w:next w:val="1"/>
    <w:qFormat/>
    <w:uiPriority w:val="0"/>
    <w:pPr>
      <w:adjustRightInd w:val="0"/>
      <w:snapToGrid w:val="0"/>
      <w:spacing w:line="360" w:lineRule="auto"/>
      <w:ind w:firstLine="480" w:firstLineChars="200"/>
    </w:pPr>
    <w:rPr>
      <w:rFonts w:ascii="黑体" w:hAnsi="黑体" w:eastAsia="黑体" w:cs="黑体"/>
      <w:sz w:val="24"/>
      <w:szCs w:val="24"/>
    </w:rPr>
  </w:style>
  <w:style w:type="paragraph" w:styleId="10">
    <w:name w:val="footnote text"/>
    <w:basedOn w:val="1"/>
    <w:link w:val="14"/>
    <w:qFormat/>
    <w:uiPriority w:val="0"/>
    <w:pPr>
      <w:keepNext w:val="0"/>
      <w:keepLines w:val="0"/>
      <w:widowControl w:val="0"/>
      <w:suppressLineNumbers w:val="0"/>
      <w:snapToGrid w:val="0"/>
      <w:spacing w:before="0" w:beforeAutospacing="0" w:after="0" w:afterAutospacing="0" w:line="360" w:lineRule="exact"/>
      <w:ind w:left="0" w:right="0" w:firstLine="420" w:firstLineChars="200"/>
      <w:jc w:val="left"/>
    </w:pPr>
    <w:rPr>
      <w:rFonts w:ascii="Times New Roman" w:hAnsi="Times New Roman" w:eastAsia="仿宋_GB2312" w:cs="Times New Roman"/>
      <w:sz w:val="18"/>
      <w:szCs w:val="18"/>
      <w:lang w:bidi="ar"/>
    </w:rPr>
  </w:style>
  <w:style w:type="paragraph" w:styleId="11">
    <w:name w:val="Body Text First Indent 2"/>
    <w:basedOn w:val="7"/>
    <w:qFormat/>
    <w:uiPriority w:val="0"/>
    <w:pPr>
      <w:ind w:left="0" w:leftChars="0" w:firstLine="420" w:firstLineChars="200"/>
    </w:pPr>
  </w:style>
  <w:style w:type="character" w:customStyle="1" w:styleId="14">
    <w:name w:val="脚注文本 字符"/>
    <w:basedOn w:val="13"/>
    <w:link w:val="10"/>
    <w:qFormat/>
    <w:uiPriority w:val="0"/>
    <w:rPr>
      <w:rFonts w:hint="default" w:ascii="Times New Roman" w:hAnsi="Times New Roman" w:eastAsia="仿宋_GB2312" w:cs="Times New Roman"/>
      <w:sz w:val="18"/>
      <w:szCs w:val="18"/>
    </w:rPr>
  </w:style>
  <w:style w:type="character" w:customStyle="1" w:styleId="15">
    <w:name w:val="标题 1 字符"/>
    <w:link w:val="2"/>
    <w:qFormat/>
    <w:uiPriority w:val="0"/>
    <w:rPr>
      <w:rFonts w:ascii="Times New Roman" w:hAnsi="Times New Roman" w:eastAsia="宋体" w:cs="Times New Roman"/>
      <w:b/>
      <w:bCs/>
      <w:kern w:val="44"/>
      <w:sz w:val="44"/>
      <w:szCs w:val="44"/>
    </w:rPr>
  </w:style>
  <w:style w:type="character" w:customStyle="1" w:styleId="16">
    <w:name w:val="标题 2 字符"/>
    <w:basedOn w:val="13"/>
    <w:link w:val="3"/>
    <w:qFormat/>
    <w:uiPriority w:val="0"/>
    <w:rPr>
      <w:rFonts w:eastAsia="楷体_GB2312" w:asciiTheme="majorAscii" w:hAnsiTheme="majorAscii" w:cstheme="majorBidi"/>
      <w:bCs/>
      <w:snapToGrid w:val="0"/>
      <w:color w:val="000000"/>
      <w:kern w:val="0"/>
      <w:sz w:val="32"/>
      <w:szCs w:val="32"/>
    </w:rPr>
  </w:style>
  <w:style w:type="character" w:customStyle="1" w:styleId="17">
    <w:name w:val="标题 3 Char"/>
    <w:link w:val="4"/>
    <w:qFormat/>
    <w:uiPriority w:val="0"/>
    <w:rPr>
      <w:rFonts w:ascii="宋体" w:hAnsi="宋体" w:eastAsia="宋体" w:cs="宋体"/>
      <w:b/>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3363</Words>
  <Characters>3451</Characters>
  <Lines>0</Lines>
  <Paragraphs>0</Paragraphs>
  <TotalTime>7</TotalTime>
  <ScaleCrop>false</ScaleCrop>
  <LinksUpToDate>false</LinksUpToDate>
  <CharactersWithSpaces>3451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2025-04-27T20:09:00Z</dcterms:created>
  <dc:creator>李海娟</dc:creator>
  <cp:lastModifiedBy>cyk1617</cp:lastModifiedBy>
  <dcterms:modified xsi:type="dcterms:W3CDTF">2025-04-29T14:57:49Z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FDCE210BC2FE493186D8EE8237E43EAC_11</vt:lpwstr>
  </property>
  <property fmtid="{D5CDD505-2E9C-101B-9397-08002B2CF9AE}" pid="4" name="KSOTemplateDocerSaveRecord">
    <vt:lpwstr>eyJoZGlkIjoiZWFmNDBhZDkxZWJmMWRlMTgxMTg4YzAxN2VlNzIwOTYiLCJ1c2VySWQiOiIyNDg0NzI4NjEifQ==</vt:lpwstr>
  </property>
</Properties>
</file>