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ind w:left="4186" w:right="4104" w:firstLine="0"/>
        <w:jc w:val="center"/>
        <w:rPr>
          <w:rFonts w:hint="eastAsia" w:ascii="方正小标宋_GBK" w:hAnsi="方正小标宋_GBK" w:eastAsia="方正小标宋_GBK" w:cs="Times New Roman"/>
          <w:b w:val="0"/>
          <w:bCs w:val="0"/>
          <w:kern w:val="44"/>
          <w:sz w:val="30"/>
          <w:szCs w:val="44"/>
          <w:lang w:val="en-US" w:eastAsia="zh-CN" w:bidi="ar-SA"/>
        </w:rPr>
      </w:pPr>
      <w:r>
        <w:rPr>
          <w:rFonts w:hint="eastAsia" w:ascii="方正小标宋_GBK" w:hAnsi="方正小标宋_GBK" w:eastAsia="方正小标宋_GBK" w:cs="Times New Roman"/>
          <w:b w:val="0"/>
          <w:bCs w:val="0"/>
          <w:kern w:val="44"/>
          <w:sz w:val="30"/>
          <w:szCs w:val="44"/>
          <w:lang w:val="en-US" w:eastAsia="zh-CN" w:bidi="ar-SA"/>
        </w:rPr>
        <w:t>深圳市光明区城市综合执法领域政务公开事项标准目录</w:t>
      </w:r>
    </w:p>
    <w:tbl>
      <w:tblPr>
        <w:tblStyle w:val="4"/>
        <w:tblpPr w:leftFromText="180" w:rightFromText="180" w:vertAnchor="text" w:horzAnchor="page" w:tblpX="678" w:tblpY="762"/>
        <w:tblOverlap w:val="never"/>
        <w:tblW w:w="158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859"/>
        <w:gridCol w:w="1443"/>
        <w:gridCol w:w="2354"/>
        <w:gridCol w:w="2192"/>
        <w:gridCol w:w="1684"/>
        <w:gridCol w:w="1143"/>
        <w:gridCol w:w="1015"/>
        <w:gridCol w:w="750"/>
        <w:gridCol w:w="727"/>
        <w:gridCol w:w="657"/>
        <w:gridCol w:w="611"/>
        <w:gridCol w:w="525"/>
        <w:gridCol w:w="504"/>
        <w:gridCol w:w="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13" w:type="dxa"/>
            <w:vMerge w:val="restart"/>
          </w:tcPr>
          <w:p>
            <w:pPr>
              <w:pStyle w:val="8"/>
              <w:ind w:left="69"/>
              <w:jc w:val="center"/>
              <w:rPr>
                <w:rFonts w:hint="eastAsia" w:ascii="黑体" w:hAnsi="黑体" w:eastAsia="黑体" w:cs="黑体"/>
                <w:color w:val="auto"/>
                <w:sz w:val="22"/>
                <w:szCs w:val="22"/>
              </w:rPr>
            </w:pPr>
          </w:p>
          <w:p>
            <w:pPr>
              <w:pStyle w:val="8"/>
              <w:ind w:left="69"/>
              <w:jc w:val="center"/>
              <w:rPr>
                <w:rFonts w:hint="eastAsia" w:ascii="黑体" w:hAnsi="黑体" w:eastAsia="黑体" w:cs="黑体"/>
                <w:color w:val="auto"/>
                <w:sz w:val="22"/>
                <w:szCs w:val="22"/>
              </w:rPr>
            </w:pPr>
          </w:p>
          <w:p>
            <w:pPr>
              <w:pStyle w:val="8"/>
              <w:ind w:left="69"/>
              <w:jc w:val="center"/>
              <w:rPr>
                <w:rFonts w:hint="eastAsia" w:ascii="黑体" w:hAnsi="黑体" w:eastAsia="黑体" w:cs="黑体"/>
                <w:color w:val="auto"/>
                <w:sz w:val="22"/>
                <w:szCs w:val="22"/>
              </w:rPr>
            </w:pPr>
            <w:r>
              <w:rPr>
                <w:rFonts w:hint="eastAsia" w:ascii="黑体" w:hAnsi="黑体" w:eastAsia="黑体" w:cs="黑体"/>
                <w:color w:val="auto"/>
                <w:sz w:val="22"/>
                <w:szCs w:val="22"/>
              </w:rPr>
              <w:t>序号</w:t>
            </w:r>
          </w:p>
        </w:tc>
        <w:tc>
          <w:tcPr>
            <w:tcW w:w="2302" w:type="dxa"/>
            <w:gridSpan w:val="2"/>
          </w:tcPr>
          <w:p>
            <w:pPr>
              <w:pStyle w:val="8"/>
              <w:spacing w:before="76"/>
              <w:ind w:left="354"/>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公开事项</w:t>
            </w:r>
          </w:p>
        </w:tc>
        <w:tc>
          <w:tcPr>
            <w:tcW w:w="2354" w:type="dxa"/>
            <w:vMerge w:val="restart"/>
          </w:tcPr>
          <w:p>
            <w:pPr>
              <w:pStyle w:val="8"/>
              <w:rPr>
                <w:rFonts w:hint="eastAsia" w:ascii="黑体" w:hAnsi="黑体" w:eastAsia="黑体" w:cs="黑体"/>
                <w:b/>
                <w:color w:val="auto"/>
                <w:sz w:val="22"/>
                <w:szCs w:val="22"/>
              </w:rPr>
            </w:pPr>
          </w:p>
          <w:p>
            <w:pPr>
              <w:pStyle w:val="8"/>
              <w:spacing w:before="12"/>
              <w:rPr>
                <w:rFonts w:hint="eastAsia" w:ascii="黑体" w:hAnsi="黑体" w:eastAsia="黑体" w:cs="黑体"/>
                <w:b/>
                <w:color w:val="auto"/>
                <w:sz w:val="22"/>
                <w:szCs w:val="22"/>
              </w:rPr>
            </w:pPr>
          </w:p>
          <w:p>
            <w:pPr>
              <w:pStyle w:val="8"/>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公开内容</w:t>
            </w:r>
          </w:p>
        </w:tc>
        <w:tc>
          <w:tcPr>
            <w:tcW w:w="2192" w:type="dxa"/>
            <w:vMerge w:val="restart"/>
          </w:tcPr>
          <w:p>
            <w:pPr>
              <w:pStyle w:val="8"/>
              <w:rPr>
                <w:rFonts w:hint="eastAsia" w:ascii="黑体" w:hAnsi="黑体" w:eastAsia="黑体" w:cs="黑体"/>
                <w:b/>
                <w:color w:val="auto"/>
                <w:sz w:val="22"/>
                <w:szCs w:val="22"/>
              </w:rPr>
            </w:pPr>
          </w:p>
          <w:p>
            <w:pPr>
              <w:pStyle w:val="8"/>
              <w:spacing w:before="12"/>
              <w:rPr>
                <w:rFonts w:hint="eastAsia" w:ascii="黑体" w:hAnsi="黑体" w:eastAsia="黑体" w:cs="黑体"/>
                <w:b/>
                <w:color w:val="auto"/>
                <w:sz w:val="22"/>
                <w:szCs w:val="22"/>
              </w:rPr>
            </w:pPr>
          </w:p>
          <w:p>
            <w:pPr>
              <w:pStyle w:val="8"/>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公开依据</w:t>
            </w:r>
          </w:p>
        </w:tc>
        <w:tc>
          <w:tcPr>
            <w:tcW w:w="1684" w:type="dxa"/>
            <w:vMerge w:val="restart"/>
          </w:tcPr>
          <w:p>
            <w:pPr>
              <w:pStyle w:val="8"/>
              <w:rPr>
                <w:rFonts w:hint="eastAsia" w:ascii="黑体" w:hAnsi="黑体" w:eastAsia="黑体" w:cs="黑体"/>
                <w:b/>
                <w:color w:val="auto"/>
                <w:sz w:val="22"/>
                <w:szCs w:val="22"/>
              </w:rPr>
            </w:pPr>
          </w:p>
          <w:p>
            <w:pPr>
              <w:pStyle w:val="8"/>
              <w:spacing w:before="12"/>
              <w:rPr>
                <w:rFonts w:hint="eastAsia" w:ascii="黑体" w:hAnsi="黑体" w:eastAsia="黑体" w:cs="黑体"/>
                <w:b/>
                <w:color w:val="auto"/>
                <w:sz w:val="22"/>
                <w:szCs w:val="22"/>
              </w:rPr>
            </w:pPr>
          </w:p>
          <w:p>
            <w:pPr>
              <w:pStyle w:val="8"/>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公开时限</w:t>
            </w:r>
          </w:p>
        </w:tc>
        <w:tc>
          <w:tcPr>
            <w:tcW w:w="1143" w:type="dxa"/>
            <w:vMerge w:val="restart"/>
          </w:tcPr>
          <w:p>
            <w:pPr>
              <w:pStyle w:val="8"/>
              <w:rPr>
                <w:rFonts w:hint="eastAsia" w:ascii="黑体" w:hAnsi="黑体" w:eastAsia="黑体" w:cs="黑体"/>
                <w:b/>
                <w:color w:val="auto"/>
                <w:sz w:val="22"/>
                <w:szCs w:val="22"/>
              </w:rPr>
            </w:pPr>
          </w:p>
          <w:p>
            <w:pPr>
              <w:pStyle w:val="8"/>
              <w:spacing w:before="12"/>
              <w:rPr>
                <w:rFonts w:hint="eastAsia" w:ascii="黑体" w:hAnsi="黑体" w:eastAsia="黑体" w:cs="黑体"/>
                <w:b/>
                <w:color w:val="auto"/>
                <w:sz w:val="22"/>
                <w:szCs w:val="22"/>
              </w:rPr>
            </w:pPr>
          </w:p>
          <w:p>
            <w:pPr>
              <w:pStyle w:val="8"/>
              <w:ind w:left="126"/>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公开主体</w:t>
            </w:r>
          </w:p>
        </w:tc>
        <w:tc>
          <w:tcPr>
            <w:tcW w:w="1015" w:type="dxa"/>
            <w:vMerge w:val="restart"/>
          </w:tcPr>
          <w:p>
            <w:pPr>
              <w:pStyle w:val="8"/>
              <w:spacing w:before="12"/>
              <w:rPr>
                <w:rFonts w:hint="eastAsia" w:ascii="黑体" w:hAnsi="黑体" w:eastAsia="黑体" w:cs="黑体"/>
                <w:b/>
                <w:color w:val="auto"/>
                <w:sz w:val="22"/>
                <w:szCs w:val="22"/>
              </w:rPr>
            </w:pPr>
          </w:p>
          <w:p>
            <w:pPr>
              <w:pStyle w:val="8"/>
              <w:ind w:left="111"/>
              <w:rPr>
                <w:rFonts w:hint="eastAsia" w:ascii="黑体" w:hAnsi="黑体" w:eastAsia="黑体" w:cs="黑体"/>
                <w:color w:val="auto"/>
                <w:sz w:val="22"/>
                <w:szCs w:val="22"/>
              </w:rPr>
            </w:pPr>
            <w:r>
              <w:rPr>
                <w:rFonts w:hint="eastAsia" w:ascii="黑体" w:hAnsi="黑体" w:eastAsia="黑体" w:cs="黑体"/>
                <w:color w:val="auto"/>
                <w:sz w:val="22"/>
                <w:szCs w:val="22"/>
              </w:rPr>
              <w:t>公开渠道和载体</w:t>
            </w:r>
          </w:p>
        </w:tc>
        <w:tc>
          <w:tcPr>
            <w:tcW w:w="1477" w:type="dxa"/>
            <w:gridSpan w:val="2"/>
          </w:tcPr>
          <w:p>
            <w:pPr>
              <w:pStyle w:val="8"/>
              <w:spacing w:before="76"/>
              <w:ind w:left="147"/>
              <w:rPr>
                <w:rFonts w:hint="eastAsia" w:ascii="黑体" w:hAnsi="黑体" w:eastAsia="黑体" w:cs="黑体"/>
                <w:color w:val="auto"/>
                <w:sz w:val="22"/>
                <w:szCs w:val="22"/>
              </w:rPr>
            </w:pPr>
            <w:r>
              <w:rPr>
                <w:rFonts w:hint="eastAsia" w:ascii="黑体" w:hAnsi="黑体" w:eastAsia="黑体" w:cs="黑体"/>
                <w:color w:val="auto"/>
                <w:sz w:val="22"/>
                <w:szCs w:val="22"/>
              </w:rPr>
              <w:t>公开对象</w:t>
            </w:r>
          </w:p>
        </w:tc>
        <w:tc>
          <w:tcPr>
            <w:tcW w:w="1268" w:type="dxa"/>
            <w:gridSpan w:val="2"/>
          </w:tcPr>
          <w:p>
            <w:pPr>
              <w:pStyle w:val="8"/>
              <w:spacing w:before="76"/>
              <w:ind w:left="102"/>
              <w:jc w:val="center"/>
              <w:rPr>
                <w:rFonts w:hint="eastAsia" w:ascii="黑体" w:hAnsi="黑体" w:eastAsia="黑体" w:cs="黑体"/>
                <w:color w:val="auto"/>
                <w:sz w:val="22"/>
                <w:szCs w:val="22"/>
              </w:rPr>
            </w:pPr>
            <w:r>
              <w:rPr>
                <w:rFonts w:hint="eastAsia" w:ascii="黑体" w:hAnsi="黑体" w:eastAsia="黑体" w:cs="黑体"/>
                <w:color w:val="auto"/>
                <w:sz w:val="22"/>
                <w:szCs w:val="22"/>
              </w:rPr>
              <w:t>公开方式</w:t>
            </w:r>
          </w:p>
        </w:tc>
        <w:tc>
          <w:tcPr>
            <w:tcW w:w="1661" w:type="dxa"/>
            <w:gridSpan w:val="3"/>
          </w:tcPr>
          <w:p>
            <w:pPr>
              <w:pStyle w:val="8"/>
              <w:spacing w:before="76"/>
              <w:ind w:left="240"/>
              <w:rPr>
                <w:rFonts w:hint="eastAsia" w:ascii="黑体" w:hAnsi="黑体" w:eastAsia="黑体" w:cs="黑体"/>
                <w:color w:val="auto"/>
                <w:sz w:val="22"/>
                <w:szCs w:val="22"/>
              </w:rPr>
            </w:pPr>
            <w:r>
              <w:rPr>
                <w:rFonts w:hint="eastAsia" w:ascii="黑体" w:hAnsi="黑体" w:eastAsia="黑体" w:cs="黑体"/>
                <w:color w:val="auto"/>
                <w:sz w:val="22"/>
                <w:szCs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13" w:type="dxa"/>
            <w:vMerge w:val="continue"/>
            <w:vAlign w:val="center"/>
          </w:tcPr>
          <w:p>
            <w:pPr>
              <w:jc w:val="center"/>
              <w:rPr>
                <w:rFonts w:hint="eastAsia" w:ascii="黑体" w:hAnsi="黑体" w:eastAsia="黑体" w:cs="黑体"/>
                <w:color w:val="auto"/>
                <w:sz w:val="22"/>
                <w:szCs w:val="22"/>
              </w:rPr>
            </w:pPr>
          </w:p>
        </w:tc>
        <w:tc>
          <w:tcPr>
            <w:tcW w:w="859" w:type="dxa"/>
            <w:vAlign w:val="center"/>
          </w:tcPr>
          <w:p>
            <w:pPr>
              <w:pStyle w:val="8"/>
              <w:spacing w:before="1"/>
              <w:ind w:left="70"/>
              <w:jc w:val="center"/>
              <w:rPr>
                <w:rFonts w:hint="eastAsia" w:ascii="黑体" w:hAnsi="黑体" w:eastAsia="黑体" w:cs="黑体"/>
                <w:color w:val="auto"/>
                <w:sz w:val="22"/>
                <w:szCs w:val="22"/>
              </w:rPr>
            </w:pPr>
            <w:r>
              <w:rPr>
                <w:rFonts w:hint="eastAsia" w:ascii="黑体" w:hAnsi="黑体" w:eastAsia="黑体" w:cs="黑体"/>
                <w:color w:val="auto"/>
                <w:sz w:val="22"/>
                <w:szCs w:val="22"/>
                <w:lang w:val="en-US" w:eastAsia="zh-CN"/>
              </w:rPr>
              <w:t>一</w:t>
            </w:r>
            <w:r>
              <w:rPr>
                <w:rFonts w:hint="eastAsia" w:ascii="黑体" w:hAnsi="黑体" w:eastAsia="黑体" w:cs="黑体"/>
                <w:color w:val="auto"/>
                <w:sz w:val="22"/>
                <w:szCs w:val="22"/>
              </w:rPr>
              <w:t>级</w:t>
            </w:r>
          </w:p>
          <w:p>
            <w:pPr>
              <w:pStyle w:val="8"/>
              <w:spacing w:before="119" w:line="266" w:lineRule="auto"/>
              <w:ind w:left="61" w:right="51"/>
              <w:jc w:val="center"/>
              <w:rPr>
                <w:rFonts w:hint="eastAsia" w:ascii="黑体" w:hAnsi="黑体" w:eastAsia="黑体" w:cs="黑体"/>
                <w:color w:val="auto"/>
                <w:sz w:val="22"/>
                <w:szCs w:val="22"/>
              </w:rPr>
            </w:pPr>
            <w:r>
              <w:rPr>
                <w:rFonts w:hint="eastAsia" w:ascii="黑体" w:hAnsi="黑体" w:eastAsia="黑体" w:cs="黑体"/>
                <w:color w:val="auto"/>
                <w:sz w:val="22"/>
                <w:szCs w:val="22"/>
              </w:rPr>
              <w:t>事项</w:t>
            </w:r>
          </w:p>
        </w:tc>
        <w:tc>
          <w:tcPr>
            <w:tcW w:w="1443" w:type="dxa"/>
            <w:vAlign w:val="center"/>
          </w:tcPr>
          <w:p>
            <w:pPr>
              <w:pStyle w:val="8"/>
              <w:spacing w:before="1"/>
              <w:ind w:left="70"/>
              <w:jc w:val="center"/>
              <w:rPr>
                <w:rFonts w:hint="eastAsia" w:ascii="黑体" w:hAnsi="黑体" w:eastAsia="黑体" w:cs="黑体"/>
                <w:color w:val="auto"/>
                <w:sz w:val="22"/>
                <w:szCs w:val="22"/>
              </w:rPr>
            </w:pPr>
            <w:r>
              <w:rPr>
                <w:rFonts w:hint="eastAsia" w:ascii="黑体" w:hAnsi="黑体" w:eastAsia="黑体" w:cs="黑体"/>
                <w:color w:val="auto"/>
                <w:sz w:val="22"/>
                <w:szCs w:val="22"/>
              </w:rPr>
              <w:t>二级</w:t>
            </w:r>
          </w:p>
          <w:p>
            <w:pPr>
              <w:pStyle w:val="8"/>
              <w:spacing w:before="1"/>
              <w:ind w:left="70"/>
              <w:jc w:val="center"/>
              <w:rPr>
                <w:rFonts w:hint="eastAsia" w:ascii="黑体" w:hAnsi="黑体" w:eastAsia="黑体" w:cs="黑体"/>
                <w:color w:val="auto"/>
                <w:sz w:val="22"/>
                <w:szCs w:val="22"/>
              </w:rPr>
            </w:pPr>
            <w:r>
              <w:rPr>
                <w:rFonts w:hint="eastAsia" w:ascii="黑体" w:hAnsi="黑体" w:eastAsia="黑体" w:cs="黑体"/>
                <w:color w:val="auto"/>
                <w:sz w:val="22"/>
                <w:szCs w:val="22"/>
              </w:rPr>
              <w:t>事项</w:t>
            </w:r>
          </w:p>
        </w:tc>
        <w:tc>
          <w:tcPr>
            <w:tcW w:w="2354" w:type="dxa"/>
            <w:vMerge w:val="continue"/>
            <w:tcBorders>
              <w:top w:val="nil"/>
            </w:tcBorders>
          </w:tcPr>
          <w:p>
            <w:pPr>
              <w:rPr>
                <w:rFonts w:hint="eastAsia" w:ascii="黑体" w:hAnsi="黑体" w:eastAsia="黑体" w:cs="黑体"/>
                <w:color w:val="auto"/>
                <w:sz w:val="22"/>
                <w:szCs w:val="22"/>
              </w:rPr>
            </w:pPr>
          </w:p>
        </w:tc>
        <w:tc>
          <w:tcPr>
            <w:tcW w:w="2192" w:type="dxa"/>
            <w:vMerge w:val="continue"/>
            <w:tcBorders>
              <w:top w:val="nil"/>
            </w:tcBorders>
          </w:tcPr>
          <w:p>
            <w:pPr>
              <w:rPr>
                <w:rFonts w:hint="eastAsia" w:ascii="黑体" w:hAnsi="黑体" w:eastAsia="黑体" w:cs="黑体"/>
                <w:color w:val="auto"/>
                <w:sz w:val="22"/>
                <w:szCs w:val="22"/>
              </w:rPr>
            </w:pPr>
          </w:p>
        </w:tc>
        <w:tc>
          <w:tcPr>
            <w:tcW w:w="1684" w:type="dxa"/>
            <w:vMerge w:val="continue"/>
            <w:tcBorders>
              <w:top w:val="nil"/>
            </w:tcBorders>
          </w:tcPr>
          <w:p>
            <w:pPr>
              <w:rPr>
                <w:rFonts w:hint="eastAsia" w:ascii="黑体" w:hAnsi="黑体" w:eastAsia="黑体" w:cs="黑体"/>
                <w:color w:val="auto"/>
                <w:sz w:val="22"/>
                <w:szCs w:val="22"/>
              </w:rPr>
            </w:pPr>
          </w:p>
        </w:tc>
        <w:tc>
          <w:tcPr>
            <w:tcW w:w="1143" w:type="dxa"/>
            <w:vMerge w:val="continue"/>
            <w:tcBorders>
              <w:top w:val="nil"/>
            </w:tcBorders>
          </w:tcPr>
          <w:p>
            <w:pPr>
              <w:rPr>
                <w:rFonts w:hint="eastAsia" w:ascii="黑体" w:hAnsi="黑体" w:eastAsia="黑体" w:cs="黑体"/>
                <w:color w:val="auto"/>
                <w:sz w:val="22"/>
                <w:szCs w:val="22"/>
              </w:rPr>
            </w:pPr>
          </w:p>
        </w:tc>
        <w:tc>
          <w:tcPr>
            <w:tcW w:w="1015" w:type="dxa"/>
            <w:vMerge w:val="continue"/>
            <w:tcBorders>
              <w:top w:val="nil"/>
            </w:tcBorders>
          </w:tcPr>
          <w:p>
            <w:pPr>
              <w:rPr>
                <w:rFonts w:hint="eastAsia" w:ascii="黑体" w:hAnsi="黑体" w:eastAsia="黑体" w:cs="黑体"/>
                <w:color w:val="auto"/>
                <w:sz w:val="22"/>
                <w:szCs w:val="22"/>
              </w:rPr>
            </w:pPr>
          </w:p>
        </w:tc>
        <w:tc>
          <w:tcPr>
            <w:tcW w:w="750" w:type="dxa"/>
          </w:tcPr>
          <w:p>
            <w:pPr>
              <w:pStyle w:val="8"/>
              <w:spacing w:before="119" w:line="266" w:lineRule="auto"/>
              <w:ind w:right="18"/>
              <w:rPr>
                <w:rFonts w:hint="eastAsia" w:ascii="黑体" w:hAnsi="黑体" w:eastAsia="黑体" w:cs="黑体"/>
                <w:color w:val="auto"/>
                <w:sz w:val="22"/>
                <w:szCs w:val="22"/>
              </w:rPr>
            </w:pPr>
            <w:r>
              <w:rPr>
                <w:rFonts w:hint="eastAsia" w:ascii="黑体" w:hAnsi="黑体" w:eastAsia="黑体" w:cs="黑体"/>
                <w:color w:val="auto"/>
                <w:sz w:val="22"/>
                <w:szCs w:val="22"/>
              </w:rPr>
              <w:t>全社会</w:t>
            </w:r>
          </w:p>
        </w:tc>
        <w:tc>
          <w:tcPr>
            <w:tcW w:w="727" w:type="dxa"/>
          </w:tcPr>
          <w:p>
            <w:pPr>
              <w:pStyle w:val="8"/>
              <w:spacing w:before="119" w:line="266" w:lineRule="auto"/>
              <w:ind w:left="115" w:right="103"/>
              <w:rPr>
                <w:rFonts w:hint="eastAsia" w:ascii="黑体" w:hAnsi="黑体" w:eastAsia="黑体" w:cs="黑体"/>
                <w:color w:val="auto"/>
                <w:sz w:val="22"/>
                <w:szCs w:val="22"/>
              </w:rPr>
            </w:pPr>
            <w:r>
              <w:rPr>
                <w:rFonts w:hint="eastAsia" w:ascii="黑体" w:hAnsi="黑体" w:eastAsia="黑体" w:cs="黑体"/>
                <w:color w:val="auto"/>
                <w:sz w:val="22"/>
                <w:szCs w:val="22"/>
              </w:rPr>
              <w:t>特定群体</w:t>
            </w:r>
          </w:p>
        </w:tc>
        <w:tc>
          <w:tcPr>
            <w:tcW w:w="657" w:type="dxa"/>
          </w:tcPr>
          <w:p>
            <w:pPr>
              <w:pStyle w:val="8"/>
              <w:spacing w:before="5"/>
              <w:rPr>
                <w:rFonts w:hint="eastAsia" w:ascii="黑体" w:hAnsi="黑体" w:eastAsia="黑体" w:cs="黑体"/>
                <w:b/>
                <w:color w:val="auto"/>
                <w:sz w:val="22"/>
                <w:szCs w:val="22"/>
              </w:rPr>
            </w:pPr>
          </w:p>
          <w:p>
            <w:pPr>
              <w:pStyle w:val="8"/>
              <w:spacing w:before="1"/>
              <w:ind w:left="30" w:right="21"/>
              <w:jc w:val="center"/>
              <w:rPr>
                <w:rFonts w:hint="eastAsia" w:ascii="黑体" w:hAnsi="黑体" w:eastAsia="黑体" w:cs="黑体"/>
                <w:color w:val="auto"/>
                <w:sz w:val="22"/>
                <w:szCs w:val="22"/>
              </w:rPr>
            </w:pPr>
            <w:r>
              <w:rPr>
                <w:rFonts w:hint="eastAsia" w:ascii="黑体" w:hAnsi="黑体" w:eastAsia="黑体" w:cs="黑体"/>
                <w:color w:val="auto"/>
                <w:sz w:val="22"/>
                <w:szCs w:val="22"/>
              </w:rPr>
              <w:t>主动</w:t>
            </w:r>
          </w:p>
        </w:tc>
        <w:tc>
          <w:tcPr>
            <w:tcW w:w="611" w:type="dxa"/>
          </w:tcPr>
          <w:p>
            <w:pPr>
              <w:pStyle w:val="8"/>
              <w:spacing w:before="119" w:line="266" w:lineRule="auto"/>
              <w:ind w:left="160" w:right="38" w:hanging="111"/>
              <w:rPr>
                <w:rFonts w:hint="eastAsia" w:ascii="黑体" w:hAnsi="黑体" w:eastAsia="黑体" w:cs="黑体"/>
                <w:color w:val="auto"/>
                <w:sz w:val="22"/>
                <w:szCs w:val="22"/>
              </w:rPr>
            </w:pPr>
            <w:r>
              <w:rPr>
                <w:rFonts w:hint="eastAsia" w:ascii="黑体" w:hAnsi="黑体" w:eastAsia="黑体" w:cs="黑体"/>
                <w:color w:val="auto"/>
                <w:sz w:val="22"/>
                <w:szCs w:val="22"/>
              </w:rPr>
              <w:t>依申请</w:t>
            </w:r>
          </w:p>
        </w:tc>
        <w:tc>
          <w:tcPr>
            <w:tcW w:w="525" w:type="dxa"/>
          </w:tcPr>
          <w:p>
            <w:pPr>
              <w:pStyle w:val="8"/>
              <w:spacing w:before="5"/>
              <w:rPr>
                <w:rFonts w:hint="eastAsia" w:ascii="黑体" w:hAnsi="黑体" w:eastAsia="黑体" w:cs="黑体"/>
                <w:b/>
                <w:color w:val="auto"/>
                <w:sz w:val="22"/>
                <w:szCs w:val="22"/>
              </w:rPr>
            </w:pPr>
          </w:p>
          <w:p>
            <w:pPr>
              <w:pStyle w:val="8"/>
              <w:spacing w:before="1"/>
              <w:ind w:right="84"/>
              <w:jc w:val="right"/>
              <w:rPr>
                <w:rFonts w:hint="eastAsia" w:ascii="黑体" w:hAnsi="黑体" w:eastAsia="黑体" w:cs="黑体"/>
                <w:color w:val="auto"/>
                <w:sz w:val="22"/>
                <w:szCs w:val="22"/>
              </w:rPr>
            </w:pPr>
            <w:r>
              <w:rPr>
                <w:rFonts w:hint="eastAsia" w:ascii="黑体" w:hAnsi="黑体" w:eastAsia="黑体" w:cs="黑体"/>
                <w:color w:val="auto"/>
                <w:w w:val="100"/>
                <w:sz w:val="22"/>
                <w:szCs w:val="22"/>
              </w:rPr>
              <w:t>市</w:t>
            </w:r>
          </w:p>
        </w:tc>
        <w:tc>
          <w:tcPr>
            <w:tcW w:w="504" w:type="dxa"/>
          </w:tcPr>
          <w:p>
            <w:pPr>
              <w:pStyle w:val="8"/>
              <w:spacing w:before="5"/>
              <w:rPr>
                <w:rFonts w:hint="eastAsia" w:ascii="黑体" w:hAnsi="黑体" w:eastAsia="黑体" w:cs="黑体"/>
                <w:b/>
                <w:color w:val="auto"/>
                <w:sz w:val="22"/>
                <w:szCs w:val="22"/>
              </w:rPr>
            </w:pPr>
          </w:p>
          <w:p>
            <w:pPr>
              <w:pStyle w:val="8"/>
              <w:spacing w:before="1"/>
              <w:ind w:left="11"/>
              <w:jc w:val="center"/>
              <w:rPr>
                <w:rFonts w:hint="eastAsia" w:ascii="黑体" w:hAnsi="黑体" w:eastAsia="黑体" w:cs="黑体"/>
                <w:color w:val="auto"/>
                <w:sz w:val="22"/>
                <w:szCs w:val="22"/>
              </w:rPr>
            </w:pPr>
            <w:r>
              <w:rPr>
                <w:rFonts w:hint="eastAsia" w:ascii="黑体" w:hAnsi="黑体" w:eastAsia="黑体" w:cs="黑体"/>
                <w:color w:val="auto"/>
                <w:w w:val="100"/>
                <w:sz w:val="22"/>
                <w:szCs w:val="22"/>
              </w:rPr>
              <w:t>区</w:t>
            </w:r>
          </w:p>
        </w:tc>
        <w:tc>
          <w:tcPr>
            <w:tcW w:w="632" w:type="dxa"/>
          </w:tcPr>
          <w:p>
            <w:pPr>
              <w:pStyle w:val="8"/>
              <w:spacing w:before="5"/>
              <w:rPr>
                <w:rFonts w:hint="eastAsia" w:ascii="黑体" w:hAnsi="黑体" w:eastAsia="黑体" w:cs="黑体"/>
                <w:b/>
                <w:color w:val="auto"/>
                <w:sz w:val="22"/>
                <w:szCs w:val="22"/>
              </w:rPr>
            </w:pPr>
          </w:p>
          <w:p>
            <w:pPr>
              <w:pStyle w:val="8"/>
              <w:spacing w:before="1"/>
              <w:ind w:left="49"/>
              <w:rPr>
                <w:rFonts w:hint="eastAsia" w:ascii="黑体" w:hAnsi="黑体" w:eastAsia="黑体" w:cs="黑体"/>
                <w:color w:val="auto"/>
                <w:sz w:val="22"/>
                <w:szCs w:val="22"/>
              </w:rPr>
            </w:pPr>
            <w:r>
              <w:rPr>
                <w:rFonts w:hint="eastAsia" w:ascii="黑体" w:hAnsi="黑体" w:eastAsia="黑体" w:cs="黑体"/>
                <w:color w:val="auto"/>
                <w:sz w:val="22"/>
                <w:szCs w:val="22"/>
              </w:rPr>
              <w:t>街道</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right="0" w:righ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对未按规定分类投放生活垃圾的处罚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1.</w:t>
            </w:r>
            <w:r>
              <w:rPr>
                <w:rFonts w:hint="eastAsia" w:ascii="仿宋" w:hAnsi="仿宋" w:eastAsia="仿宋" w:cs="仿宋"/>
                <w:i w:val="0"/>
                <w:color w:val="auto"/>
                <w:kern w:val="0"/>
                <w:sz w:val="18"/>
                <w:szCs w:val="18"/>
                <w:u w:val="none"/>
                <w:lang w:val="zh-CN" w:eastAsia="zh-CN" w:bidi="ar"/>
              </w:rPr>
              <w:t>机构职能、权责清单、执法人员名单；</w:t>
            </w:r>
          </w:p>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2.</w:t>
            </w:r>
            <w:r>
              <w:rPr>
                <w:rFonts w:hint="eastAsia" w:ascii="仿宋" w:hAnsi="仿宋" w:eastAsia="仿宋" w:cs="仿宋"/>
                <w:i w:val="0"/>
                <w:color w:val="auto"/>
                <w:kern w:val="0"/>
                <w:sz w:val="18"/>
                <w:szCs w:val="18"/>
                <w:u w:val="none"/>
                <w:lang w:val="zh-CN" w:eastAsia="zh-CN" w:bidi="ar"/>
              </w:rPr>
              <w:t>执法程序或行政强制流程图；</w:t>
            </w:r>
          </w:p>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3.</w:t>
            </w:r>
            <w:r>
              <w:rPr>
                <w:rFonts w:hint="eastAsia" w:ascii="仿宋" w:hAnsi="仿宋" w:eastAsia="仿宋" w:cs="仿宋"/>
                <w:i w:val="0"/>
                <w:color w:val="auto"/>
                <w:kern w:val="0"/>
                <w:sz w:val="18"/>
                <w:szCs w:val="18"/>
                <w:u w:val="none"/>
                <w:lang w:val="zh-CN" w:eastAsia="zh-CN" w:bidi="ar"/>
              </w:rPr>
              <w:t>执法依据；</w:t>
            </w:r>
          </w:p>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4.</w:t>
            </w:r>
            <w:r>
              <w:rPr>
                <w:rFonts w:hint="eastAsia" w:ascii="仿宋" w:hAnsi="仿宋" w:eastAsia="仿宋" w:cs="仿宋"/>
                <w:i w:val="0"/>
                <w:color w:val="auto"/>
                <w:kern w:val="0"/>
                <w:sz w:val="18"/>
                <w:szCs w:val="18"/>
                <w:u w:val="none"/>
                <w:lang w:val="zh-CN" w:eastAsia="zh-CN" w:bidi="ar"/>
              </w:rPr>
              <w:t>行政处罚自由裁量基准；</w:t>
            </w:r>
          </w:p>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5.</w:t>
            </w:r>
            <w:r>
              <w:rPr>
                <w:rFonts w:hint="eastAsia" w:ascii="仿宋" w:hAnsi="仿宋" w:eastAsia="仿宋" w:cs="仿宋"/>
                <w:i w:val="0"/>
                <w:color w:val="auto"/>
                <w:kern w:val="0"/>
                <w:sz w:val="18"/>
                <w:szCs w:val="18"/>
                <w:u w:val="none"/>
                <w:lang w:val="zh-CN" w:eastAsia="zh-CN" w:bidi="ar"/>
              </w:rPr>
              <w:t>咨询、监督投诉方式；</w:t>
            </w:r>
          </w:p>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6.</w:t>
            </w:r>
            <w:r>
              <w:rPr>
                <w:rFonts w:hint="eastAsia" w:ascii="仿宋" w:hAnsi="仿宋" w:eastAsia="仿宋" w:cs="仿宋"/>
                <w:i w:val="0"/>
                <w:color w:val="auto"/>
                <w:kern w:val="0"/>
                <w:sz w:val="18"/>
                <w:szCs w:val="18"/>
                <w:u w:val="none"/>
                <w:lang w:val="zh-CN" w:eastAsia="zh-CN" w:bidi="ar"/>
              </w:rPr>
              <w:t>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w:t>
            </w:r>
            <w:r>
              <w:rPr>
                <w:rFonts w:hint="eastAsia" w:ascii="仿宋" w:hAnsi="仿宋" w:eastAsia="仿宋" w:cs="仿宋"/>
                <w:i w:val="0"/>
                <w:color w:val="auto"/>
                <w:kern w:val="0"/>
                <w:sz w:val="18"/>
                <w:szCs w:val="18"/>
                <w:u w:val="none"/>
                <w:lang w:val="zh-CN" w:eastAsia="zh-CN" w:bidi="ar"/>
              </w:rPr>
              <w:t>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1.</w:t>
            </w:r>
            <w:r>
              <w:rPr>
                <w:rFonts w:hint="eastAsia" w:ascii="仿宋" w:hAnsi="仿宋" w:eastAsia="仿宋" w:cs="仿宋"/>
                <w:i w:val="0"/>
                <w:color w:val="auto"/>
                <w:kern w:val="0"/>
                <w:sz w:val="18"/>
                <w:szCs w:val="18"/>
                <w:u w:val="none"/>
                <w:lang w:val="zh-CN" w:eastAsia="zh-CN" w:bidi="ar"/>
              </w:rPr>
              <w:t>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r>
              <w:rPr>
                <w:rFonts w:hint="eastAsia" w:ascii="仿宋" w:hAnsi="仿宋" w:eastAsia="仿宋" w:cs="仿宋"/>
                <w:i w:val="0"/>
                <w:color w:val="auto"/>
                <w:kern w:val="0"/>
                <w:sz w:val="18"/>
                <w:szCs w:val="18"/>
                <w:u w:val="none"/>
                <w:lang w:val="zh-CN" w:eastAsia="zh-CN" w:bidi="ar"/>
              </w:rPr>
              <w:t>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zh-CN"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bookmarkStart w:id="0" w:name="_GoBack"/>
            <w:bookmarkEnd w:id="0"/>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right="0" w:righ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从事城市生活垃圾经营性清扫、收集、运输的企业未按环境卫生作业标准和作业规范，在规定的时间内及时清扫、收运城市生活垃圾；未将收集的城市生活垃圾运到直辖市、市、县人民政府建设（环境卫生）主管部门认可的处理场所；清扫、收运城市生活垃圾后，未对生活垃圾收集设施及时保洁、复位，未清理作业场地，未保持生活垃圾收集设施和周边环境的干净整洁；用于收集、运输城市生活垃圾的车辆、船舶未做到密闭、完好和整洁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1.</w:t>
            </w:r>
            <w:r>
              <w:rPr>
                <w:rFonts w:hint="eastAsia" w:ascii="仿宋" w:hAnsi="仿宋" w:eastAsia="仿宋" w:cs="仿宋"/>
                <w:i w:val="0"/>
                <w:color w:val="auto"/>
                <w:kern w:val="0"/>
                <w:sz w:val="18"/>
                <w:szCs w:val="18"/>
                <w:u w:val="none"/>
                <w:lang w:val="zh-CN" w:eastAsia="zh-CN" w:bidi="ar"/>
              </w:rPr>
              <w:t>机构职能、权责清单、执法人员名单；</w:t>
            </w:r>
          </w:p>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2.</w:t>
            </w:r>
            <w:r>
              <w:rPr>
                <w:rFonts w:hint="eastAsia" w:ascii="仿宋" w:hAnsi="仿宋" w:eastAsia="仿宋" w:cs="仿宋"/>
                <w:i w:val="0"/>
                <w:color w:val="auto"/>
                <w:kern w:val="0"/>
                <w:sz w:val="18"/>
                <w:szCs w:val="18"/>
                <w:u w:val="none"/>
                <w:lang w:val="zh-CN" w:eastAsia="zh-CN" w:bidi="ar"/>
              </w:rPr>
              <w:t>执法程序或行政强制流程图；</w:t>
            </w:r>
          </w:p>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3.</w:t>
            </w:r>
            <w:r>
              <w:rPr>
                <w:rFonts w:hint="eastAsia" w:ascii="仿宋" w:hAnsi="仿宋" w:eastAsia="仿宋" w:cs="仿宋"/>
                <w:i w:val="0"/>
                <w:color w:val="auto"/>
                <w:kern w:val="0"/>
                <w:sz w:val="18"/>
                <w:szCs w:val="18"/>
                <w:u w:val="none"/>
                <w:lang w:val="zh-CN" w:eastAsia="zh-CN" w:bidi="ar"/>
              </w:rPr>
              <w:t>执法依据；</w:t>
            </w:r>
          </w:p>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4.</w:t>
            </w:r>
            <w:r>
              <w:rPr>
                <w:rFonts w:hint="eastAsia" w:ascii="仿宋" w:hAnsi="仿宋" w:eastAsia="仿宋" w:cs="仿宋"/>
                <w:i w:val="0"/>
                <w:color w:val="auto"/>
                <w:kern w:val="0"/>
                <w:sz w:val="18"/>
                <w:szCs w:val="18"/>
                <w:u w:val="none"/>
                <w:lang w:val="zh-CN" w:eastAsia="zh-CN" w:bidi="ar"/>
              </w:rPr>
              <w:t>行政处罚自由裁量基准；</w:t>
            </w:r>
          </w:p>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5.</w:t>
            </w:r>
            <w:r>
              <w:rPr>
                <w:rFonts w:hint="eastAsia" w:ascii="仿宋" w:hAnsi="仿宋" w:eastAsia="仿宋" w:cs="仿宋"/>
                <w:i w:val="0"/>
                <w:color w:val="auto"/>
                <w:kern w:val="0"/>
                <w:sz w:val="18"/>
                <w:szCs w:val="18"/>
                <w:u w:val="none"/>
                <w:lang w:val="zh-CN" w:eastAsia="zh-CN" w:bidi="ar"/>
              </w:rPr>
              <w:t>咨询、监督投诉方式；</w:t>
            </w:r>
          </w:p>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6.</w:t>
            </w:r>
            <w:r>
              <w:rPr>
                <w:rFonts w:hint="eastAsia" w:ascii="仿宋" w:hAnsi="仿宋" w:eastAsia="仿宋" w:cs="仿宋"/>
                <w:i w:val="0"/>
                <w:color w:val="auto"/>
                <w:kern w:val="0"/>
                <w:sz w:val="18"/>
                <w:szCs w:val="18"/>
                <w:u w:val="none"/>
                <w:lang w:val="zh-CN" w:eastAsia="zh-CN" w:bidi="ar"/>
              </w:rPr>
              <w:t>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w:t>
            </w:r>
            <w:r>
              <w:rPr>
                <w:rFonts w:hint="eastAsia" w:ascii="仿宋" w:hAnsi="仿宋" w:eastAsia="仿宋" w:cs="仿宋"/>
                <w:i w:val="0"/>
                <w:color w:val="auto"/>
                <w:kern w:val="0"/>
                <w:sz w:val="18"/>
                <w:szCs w:val="18"/>
                <w:u w:val="none"/>
                <w:lang w:val="zh-CN" w:eastAsia="zh-CN" w:bidi="ar"/>
              </w:rPr>
              <w:t>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zh-CN" w:eastAsia="zh-CN" w:bidi="ar"/>
              </w:rPr>
            </w:pPr>
            <w:r>
              <w:rPr>
                <w:rFonts w:hint="eastAsia" w:ascii="仿宋" w:hAnsi="仿宋" w:eastAsia="仿宋" w:cs="仿宋"/>
                <w:i w:val="0"/>
                <w:color w:val="auto"/>
                <w:kern w:val="0"/>
                <w:sz w:val="18"/>
                <w:szCs w:val="18"/>
                <w:u w:val="none"/>
                <w:lang w:val="en-US" w:eastAsia="zh-CN" w:bidi="ar"/>
              </w:rPr>
              <w:t>1.</w:t>
            </w:r>
            <w:r>
              <w:rPr>
                <w:rFonts w:hint="eastAsia" w:ascii="仿宋" w:hAnsi="仿宋" w:eastAsia="仿宋" w:cs="仿宋"/>
                <w:i w:val="0"/>
                <w:color w:val="auto"/>
                <w:kern w:val="0"/>
                <w:sz w:val="18"/>
                <w:szCs w:val="18"/>
                <w:u w:val="none"/>
                <w:lang w:val="zh-CN" w:eastAsia="zh-CN" w:bidi="ar"/>
              </w:rPr>
              <w:t>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r>
              <w:rPr>
                <w:rFonts w:hint="eastAsia" w:ascii="仿宋" w:hAnsi="仿宋" w:eastAsia="仿宋" w:cs="仿宋"/>
                <w:i w:val="0"/>
                <w:color w:val="auto"/>
                <w:kern w:val="0"/>
                <w:sz w:val="18"/>
                <w:szCs w:val="18"/>
                <w:u w:val="none"/>
                <w:lang w:val="zh-CN" w:eastAsia="zh-CN" w:bidi="ar"/>
              </w:rPr>
              <w:t>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zh-CN"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对从事城市生活垃圾经营性清扫、收集、运输的企业，未经批准擅自停业、歇业的行政处罚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对从事城市生活垃圾经营性清扫、收集、运输的企业及从事城市生活垃圾经营性处置的企业，未经批准从事城市生活垃圾经营性清扫、收集、运输或处置活动的行政处罚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15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他设施或接用电源；擅自迁移、拆除、利用城市照明设施；可能影响城市照明设施正常运行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对在城市景观照明中有过度照明等超能耗标准行为的行政处罚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对施工单位未妥善处理垃圾、粪便和污水。建筑工地的宿舍、厨房、厕所不符合卫生要求。施工单位建筑垃圾和生活垃圾未分类、收集和处理的行政处罚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对未建立卫生管理制度、未确定责任人或者未配备卫生设施，室内外环境卫生未达到规定标准的行政处罚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对携带未免疫饲养动物外出、未即时清理动物的粪便等排泄物等违法行为的行政处罚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对单位和个人（不含食品生产经营者、重点场所或设施）违反病媒生物预防控制相关规定的行政处罚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对重点场所或设施违反病媒生物预防控制相关规定的行政处罚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对食品生产经营者未配备相应设施设备，未采取措施消除病媒生物及其孳生条件，病媒生物密度不符合国家规定要求的行政处罚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对施工工地的宿舍、厨房、厕所不符合卫生要求且逾期不改正的行政处罚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对单位、个人未做好防治工作的行政处罚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对废品收购、建筑工地和集贸市场、禽畜饲养场、花卉市场的经营管理者或者开办者未完善和落实防范、杀灭病媒生物措施的行政处罚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对城市绿化的规划和设计，建设单位委托不具有城市园林绿化规划和设计资质的单位承担，进行无证设计和施工的行政处罚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改变规划绿地性质；在城市绿地内，对树木和公共设施上涂、写、刻、画和悬挂重物；在城市绿地内，攀、折、钉、栓树木，采摘花草，践踏地被，丢弃废弃物；在城市绿地内，倾倒、排放有毒有害物质，堆放、焚烧物料；在城市绿地内，以树承重、就树搭建；在城市绿地内，采石取土、建坟；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对餐厨垃圾收运处理企业以餐厨垃圾为原料生产、加工食品或者非法销售废弃食用油脂的处罚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对未将家庭装修废弃物或废弃沙发、衣柜、床等大件家具预约环境卫生作业单位或再生资源回收站处理，而将其投放到垃圾收集点或收集容器内的行政处罚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对收集、运输、处置单位未按工程技术规范、操作规程和污染控制标准及时处理生活垃圾处理过程中产生的废水、废气、废渣等的行政处罚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49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对收集、运输生活垃圾的单位未实行生活垃圾密闭化运输，在运输过程中沿途丢弃、扬撒、遗漏生活垃圾以及滴漏污水；擅自混合收集、运输已分类的生活垃圾；擅自收集、运输处理境外和省外垃圾的行政处罚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对新建、改建、扩建建设项目的配套生活垃圾分类、收集、转运设施未达到规划设计要求，或未与主体工程同时交付使用的行政处罚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对已规划的城市园林用地侵占、出租或者以其他方式改变用地性质的处罚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对游人在城市园林内捕猎鸟类、其他受保护的野生动物及伤害园内观赏动物的处罚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对游人在城市园林内损害园林设施、花草树木及破坏园林环境卫生的处罚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对在城市园林内进行赌博、斗殴、乞讨，进行封建迷信和色情活动造成损失的处罚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对在城市园林内倾倒垃圾、杂物的处罚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对将不符合园林水体标准的废水排入城市园林水体的处罚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对经营性园林或者单位附属园林管理的城市园林或游乐项目未按规定对儿童、老人、残疾人士减免收费的处罚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对经营性园林或单位附属园林向游人违法收费的处罚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对经营性园林或者单位附属园林每日开放时间少于规定时间的处罚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对经营性园林或者单位附属园林未在园林显著位置明示开放时间的处罚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对经营性园林或者单位附属园林未全年开放城市园林的处罚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对经营性园林或单位附属园林未配备完善的游览指导说明、标志、疏导和安全设施的处罚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对经营性园林或单位附属园林未保持游览路线和出入口的畅通的处罚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对经营性园林或单位附属园林超容量接纳游人的处罚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对经营性园林内的商业网点的布局未按规划执行、破坏园林景观、妨碍游览秩序的处罚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对经营性园林内的商业服务没有在固定的网点进行的处罚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对经营性园林或单位附属园林未按规定实施关闭前公告的处罚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对在城管综合执法管辖范围内的场所的经营者或者管理者设置吸烟点不符合规定且逾期不改正的处罚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对在城管综合执法管辖范围内的禁烟场所违规配置与吸烟有关的器具或者附有烟草广告的物品且逾期不改正的处罚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对在城管综合执法管辖范围内的禁烟场所未按规定在禁止吸烟场所的入口及其他显著位置设置禁止吸烟标识和监督投诉电话且逾期不改正的处罚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对在城管综合执法管辖范围内的禁烟场所未按规定有效制止吸烟人员吸烟且逾期不改正的处罚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对在城管综合执法管辖范围内的禁烟场所未建立禁止吸烟的管理制度、未开展控烟宣传教育、未配备控烟检查员且逾期不改正的处罚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对在城管综合执法管辖范围内主要为孕妇、儿童提供服务的公园、医疗卫生机构、社会福利机构的室外区域吸烟且不听场所经营者、管理者劝阻的处罚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对未在绿化建设工程项目所在地的显著位置公示绿化平面图或绿化平面图不符合要求且拒不改正的处罚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对未缴纳恢复绿化补偿费且逾期不缴纳的处罚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对未恢复公共建筑和市政公用设施上建成的立体绿化的处罚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对违法占用公共建筑和市政公用设施上建成的立体绿化的处罚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对违法拆除公共建筑和市政公用设施上建成的立体绿化的处罚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对土地使用权人逾期未进行绿化覆盖的处罚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对未按规定在施工现场设立告示牌且逾期未改正的处罚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对绿化养护责任人不按照技术规范修剪树木的处罚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对非绿化养护责任人擅自修剪树木的处罚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对绿化养护责任人不履行修剪义务导致树木生长影响市政管线、交通安全以及居民采光、通风或者居住安全且逾期未改正的处罚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对未经同意擅自占用城市绿化用地或超过占用期限的行政处罚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154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以采摘、攀折、钉拴、刻划、缠绕等方式损害植物；在禁止践踏的公共绿地践踏绿地；在公共绿地焚烧、堆放、采石取土、开垦种植、私搭乱建；在公共绿地倾倒垃圾、污水和其他废弃物；在公共绿地摆摊设点、停放车辆；损坏树木支架、栏杆、花基或者绿地范围内的供排水设施等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对擅自迁移、砍伐树木的处罚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对将开挖城市道路、维修管道或者清疏排水管道、沟渠所产生的余泥、污物直接向城市道路排放的处罚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对餐厨垃圾产生单位未采用规定标准的收集容器移交餐厨垃圾的处罚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对将其他城市生活垃圾混入餐厨垃圾中交给收运处理企业的处罚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对餐厨垃圾产生单位拒不与特许经营企业签订餐厨垃圾收运合同或者未将收运合同报区主管部门备案的处罚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对餐厨垃圾收运处理企业未经市主管部门同意擅自将餐厨垃圾直接填埋处理的处罚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对餐厨垃圾收运处理企业未达到每日至少收运一次要求或者拒绝收运已签订收运合同的产生单位所产生的餐厨垃圾的处罚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对餐厨垃圾收运处理企业弄虚作假、骗取财政补贴的处罚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对餐厨垃圾收运处理企业擅自闲置、拆除、改装、损毁在线视频监控设备的处罚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对餐厨垃圾收运处理企业擅自停止处理设施运行的处罚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对餐厨垃圾收运处理企业未建立收运处理台账或者台账记载不完整的处罚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对餐厨垃圾收运处理企业拒不与餐厨垃圾产生单位签订收运合同的处罚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对餐厨垃圾未经无害化处理，直接用于饲养畜禽的处罚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对餐厨垃圾收运处理企业在运输过程中出现滴漏、撒落的处罚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对擅自从城市道路照明设施接电的处罚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对擅自在城市道路照明设施上设置广告或者装饰物的处罚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对损坏城市道路照明设施的处罚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对擅自迁移、拆除、改动城市道路照明设施或在城市道路照明管线上方开挖的处罚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对建设单位未将重点区域景观照明设施迁移、拆除、改动方案送主管部门备案的处罚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对城市照明设施未按规定进行维护管理且逾期不改正的处罚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对擅自操作城市照明开关设施或者改变其运行方式的处罚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城市道路照明设施或者重点区域景观照明设施未按照规定时间开启或者关闭且逾期不改正的处罚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对城市照明设施未与主体工程同时设计、同时施工、同时投入使用且逾期不改正的处罚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对在城市照明设施上刻划、涂污、张贴、晾晒的处罚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对在城市照明设施周边1米以内倾倒腐蚀物的处罚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对擅自在城市照明设施上架设管线或者安置其他设施的处罚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对城市照明设施不符合经批准的设计方案、相关技术标准和技术规范要求交付使用的处罚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对不文明使用公共厕所的处罚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对破坏公共厕所及其附属设施的处罚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对擅自停用公共厕所的处罚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对擅自拆除公共厕所的处罚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对公共厕所维护管理未达到规定标准和要求的处罚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对公共厕所的产权单位未按规定设置引导标识或者公示相关信息的处罚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对公共厕所的产权单位收取费用或者未在规定时间内开放的处罚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对屋顶绿化施工单位不具有相应资质的处罚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对建筑物屋顶未保持洁净且逾期不改正的处罚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对未对建筑物外立面进行定期清洗翻新且逾期不改正的处罚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对未按规定将重点区域建筑物的定期清洗翻新情况向区主管部门申报备案的处罚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对未建立、伪造、变造建筑物清洗翻新记录档案的处罚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对未修缮、更换破损的公共设施或未拆除丧失功能的公共设施且逾期不改正的处罚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对公共设施表面存在乱张贴、乱涂写、乱刻画、乱吊挂和明显污渍未及时清洗翻新且逾期不改正的处罚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对未建立或者伪造、变造公共设施清洗翻新记录档案的处罚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对未按规定将定期清洗翻新情况向区主管部门申报备案的处罚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对未定期清洗翻新公共设施且逾期不改正的处罚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对未及时清洗翻新建筑物外立面且逾期不改正的处罚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对建筑物封闭阳台、防盗网及空调外机等设施未统一规范设置且逾期不改正的处罚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对建筑物屋顶未定期清洁且逾期不改正的处罚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对临时占用、挖掘绿道超过规定期限未恢复原状的处罚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对擅自占用、挖掘绿道的处罚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对绿道维护及运营单位逾期未组织修复绿道及设施的处罚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对在绿道及控制区内堆放物品或倾倒、排放污水、垃圾、渣土及其他废弃物的处罚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对在绿道及控制区内养殖禽畜的处罚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对在绿道及控制区内生火、烧烤、燃放烟花爆竹、施放孔明灯的处罚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对在绿道及控制区内挖沙、采石、取土的处罚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对破坏绿道设施的处罚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对占用绿道从事经营活动的处罚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对生活垃圾分类投放管理人未按规定履行职责的处罚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对大型群众性活动承办者未做好生活垃圾投放提示和引导，未合理安排生活垃圾的分类收集、运输的处罚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处理单位未配备相应处理设施设备、安全设备和作业人员且逾期不改正的；混合处理已分类的生活垃圾；未安装计量和监控系统并与生活垃圾分类管理信息平台联网且逾期不改正的；未建立管理台账或未按要求报送台账且逾期不改正的；擅自停止处理生活垃圾的；未定期向社会公开排放污染物的名称、排放方式、排放浓度和总量，以及生活垃圾处理设施的运行情况且逾期不改正的；未遵守安全管理相关法律、法规规定处理已分类的生活垃圾，或者未制定应急预案向市、区主管部门备案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收集、运输单位或个人未执行相关技术规范和操作规程，未配备相应运输车辆、安全设备和作业人员且逾期不改正的；未保持运输车辆密闭、整洁，未喷涂分类标识且逾期不改正的；车辆未安装定位和监控系统并与生活垃圾分类管理信息平台联网且逾期不改正的；未按规定时间、频次、路线和要求分类收集、运输生活垃圾且逾期不改正的；混合收集、运输已分类的生活垃圾；未公示收集、运输电话，建立管理台账，记录生活垃圾来源、种类、数量、去向等情况，并定期向区主管部门报告，且逾期不改正的；未遵守安全管理相关法律、法规规定收集、运输已分类的生活垃圾，或者未制定应急预案向区主管部门备案，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对未将不能就地处理的餐厨垃圾全量交由特许经营企业收集、运输、处理的；未经许可从事餐厨垃圾收集、运输和处理的处罚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对生活垃圾分类投放管理责任人未公示生活垃圾分类投放时间和地点的处罚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对生活垃圾分类投放管理责任人未对分类投放工作进行指导，逾期不改正的处罚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对生活垃圾运输企业的运输车辆在运输过程中随意倾倒、丢弃、堆放、遗漏生活垃圾或者滴漏污水的处罚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对生活垃圾运输企业混合运输已分类收集的生活垃圾的处罚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对停车场、车站、码头、港口等露天公共场所未按要求采取扬尘污染防治措施的处罚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对运输车辆和环境卫生清扫保洁单位未按要求采取扬尘污染防治措施的处罚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对绿化和养护作业单位未按要求采取扬尘污染防治措施的处罚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对养犬人未到住所所在地的区主管部门办理养犬登记手续而擅自饲养犬只的处罚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对携带烈性犬出户未按规定采取约束措施的处罚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对未按规定对犬只实行拴养或者圈养的处罚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对养犬人未有效制止犬吠且被投诉三次以上的处罚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对未携带养犬登记证且未按规定携带犬只进行户外活动的处罚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对违法携带犬只进入禁止进入的公共场所或者限制犬只进入的场所的处罚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对犬只伤人的处罚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对在居民住宅区、商业区、工业区以及市主管部门划定的其他禁止饲养烈性犬的区域内饲养烈性犬的处罚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对冒用、涂改、伪造、买卖养犬登记证明的处罚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对未将其饲养的犬只送动物防疫机构注射狂犬病疫苗，取得犬只免疫证明的处罚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对养犬未尽变更登记义务的处罚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对养犬未尽转让登记义务的处罚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对养犬未尽补办登记义务的处罚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对举办犬只展览未备案的处罚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对在住宅区、写字楼设立犬只养殖、销售场所的处罚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对在城管综合执法管辖范围室内工作场所、室内公共场所吸烟且不听场所经营者、管理者劝阻的处罚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对在城管综合执法管辖范围场所的非吸烟点的其他室外区域吸烟且不听场所经营者、管理者劝阻的处罚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对建筑废弃物运输车辆车身不洁、车轮带泥、车厢外挂泥的处罚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对沿途泄漏、遗撒建筑废弃物污染道路的处罚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对养犬人未采取有效措施制止犬吠被投诉三次以上且情节严重的实施暂扣其犬只</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对犬只伤人的实施暂扣犬只</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对未经批准擅自关闭、闲置或拆除城市生活垃圾处置设施、场所的行政处罚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对收集生活垃圾的容器和设施未采用密闭方式的处罚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对车辆运载建筑废弃物、泥土、沙石、水泥等，在城市道路上行驶时污染城市道路的行政处罚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对在建筑物屋顶、阳台共有部分以及外立面结构上搭棚、设架或者杂乱堆放物品，不构成违法建筑或者设施且逾期未改正的行政处罚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对在临街建筑物阳台摆放物品超出阳台立面且逾期未改正的行政处罚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对在城市道路、公共场所及其周边的护栏、电杆、树木、绿篱等处晾晒衣服以及其他物品且拒不改正的行政处罚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对擅自在城市道路、公共场所上空和住宅、楼宇之间设置架空管线且逾期未改正的行政处罚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对环境卫生设施未与主体工程同时设计、同时施工、同时投入使用的行政处罚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对违法改变环境卫生设施使用性质的行政处罚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对大中型集贸市场、旅游景点等各类场所的建设单位不按规划、标准配套建设环境卫生设施的行政处罚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对畜、禽等动物的经营、运输者对病死、毒死或者死因不明的畜、禽等动物，未交市、区城管和综合执法部门统一无害化处理的行政处罚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对从门店向城市道路、公共场所、排水检查井、雨水口、排水明渠清扫、倾倒垃圾、污水的行政处罚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对随地吐痰、便溺和乱吐、乱扔香口胶渣、瓜果皮核、纸屑、烟头或者其他垃圾的行政处罚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对城市照明设施的管理单位未按规定对城市照明设施进行维护管理且逾期未改正的行政处罚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对在住宅区、商业区、工业区内饲养家畜家禽且逾期未改正的行政处罚（因教学、科研和其他特殊需要饲养的除外。）</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对不履行市容和环境卫生主体责任且逾期未改正的行政处罚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default"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对与主体工程配套建设的功能照明设施和重点区域的景观照明设施，未与主体工程同时设计、同时施工、同时投入使用且逾期未改正的行政处罚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对城市道路清扫保洁、生活垃圾收集未按照市城管和综合执法部门制定的操作规范、质量标准和时间作业的行政处罚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对生活垃圾运输车辆未保持车体整洁，或未及时修复或更新陈旧、破损的生活垃圾运输车辆的行政处罚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对生活垃圾运输车辆不使用加装密封机械装置的车辆或专用密封车辆的行政处罚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对废品收购单位未保持场地周边干净整洁、无异味，或废品未存放整齐，或污染周围环境且逾期未改正的行政处罚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default"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对商场、门店超出门、窗外墙摆卖、经营不符合规范的行政处罚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对在划定的摊贩经营场所外，占用城市道路和公共场所堆放物品、摆摊设点、销售商品且拒不改正的行政处罚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对不按规定修整、拆除临街建（构）筑物或其他设施且逾期未改正的行政处罚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5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商场、门店超出门、窗外墙摆卖、经营不符合规范，违法占用城市道路和公共场所堆放物品、摆摊设点、销售商品，将开挖城市道路、维修管道或者清疏排水管道、沟渠所产生的余泥、污物直接向城市道路排放，车辆运载建筑废弃物、泥土、沙石、水泥等在城市道路上行驶时污染城市道路的扣押违法经营的物品和实施违法行为的工具</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对除政府重大庆典、活动外，在树木、地面、建（构）筑物和其他设施上张贴、张挂、涂写、刻画的行政处罚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对不按批准文件载明的要求设置户外广告设施且逾期未改正的行政处罚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对未经批准设置大型户外广告设施且逾期未拆除的行政处罚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对重大庆典活动或者建设施工未经批准临时占用公共场所的行政处罚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对擅自占用城市道路、公共场所设置各种设施的行政处罚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对占用城市道路、公共场所设置设施的设置人不按规定清洗翻新、清理、修缮、更换、拆除、补设设施且逾期未改正的行政处罚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对不按规定对临街建（构）筑物或其他设施的外立面进行清洗、粉刷且逾期未改正的行政处罚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对不按规定设置带有光源、声音、反光材料的户外广告设施且逾期未改正的行政处罚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对不按照城市照明专项规划设置城市照明设施且逾期未改正的行政处罚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对从事车辆清洗、修理和水产品经营、农副产品批发交易等易对环境卫生产生影响的经营单位不按规定采取措施防止污水外流和垃圾向外散落，或未保持经营场所及周围环境卫生整洁的行政处罚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对庆典、文化、体育等活动的举办单位未保持周围环境卫生整洁，或未及时清除临时设置的设施或产生的废弃物的行政处罚的行政处罚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对将清扫保洁产生的垃圾露天堆放或者扫入绿化带、排水检查井、雨水口、排水明渠等处的行政处罚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对生活垃圾清运车辆不报区城管和综合执法部门备案的行政处罚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对生活垃圾运输车辆未配备行驶记录仪、电子信息标签等监控设备，或未保持监控设备正常运行，或未将运行轨迹监控视频等监管信息接入环卫作业信息化管理平台的行政处罚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对生活垃圾运输车辆不按规定确定清运频率、清运线路，或未将清运频率、清运线路报区城管和综合执法部门备案的行政处罚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对从事生活垃圾处理活动的单位违法接收建筑废弃物或危险废物且拒不改正的行政处罚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对从事生活垃圾处理活动的单位未保持垃圾处理设施设备正常运行且拒不改正的行政处罚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对从事生活垃圾处理活动的单位不按标准监测污染物排放情况，或未按要求提交监测报告且拒不改正的行政处罚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对从事生活垃圾处理活动的单位未定期校准或维护称重计量设施，或未保证计量数据准确且拒不改正的行政处罚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对从事生活垃圾处理活动的单位不向市、区城管和综合执法部门提供运行数据或远程监控接口且拒不改正的行政处罚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对环卫服务单位未对环卫作业人员进行安全生产培训，或未落实环卫作业安全防护措施，或未配备专职安全员的行政处罚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对生活垃圾收集点未设有排水设施，确保雨污分离，防止地面积水；或未定期清洗、定期消杀，收集点存在散落、堆积垃圾，或生活垃圾收集容器未足量配置的行政处罚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对垃圾收集容器未保持外观整洁，或满溢，或残缺破损，或锈蚀磨损且逾期不改正的行政处罚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对垃圾转运站未配备专人维护管理，或未保持站点及周边区域整洁，或有积水、臭气，或有散落、堆积垃圾的行政处罚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对垃圾转运站未配备视频监控设备，或未保证视频监控设备正常运行，或未将监控信息接入环卫作业信息化管理平台的行政处罚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对垃圾处理厂（场）不按标准划定安全范围，或未设置安全标志且逾期未改正的行政处罚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对在城市道路上行驶时货运车辆运输液体、散装货物不作密封、包扎、覆盖，造成泄漏、遗撒的行政处罚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建筑施工单位在施工时未采取措施防止粉尘污染市容环境的处罚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施工现场进出路口未实行硬底化及未安排专人冲洗的处罚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对建筑施工单位在施工时未采取措施防止粉尘污染市容环境的处罚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对施工现场进出路口未实行硬底化及未安排专人冲洗和清理的处罚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对未及时清理停放在非机动车道、人行天桥、人行隧道、公共绿地、路侧带和其他城市公共场所的互联网租赁自行车的处罚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对未及时清理停放在湿地的互联网租赁自行车的处罚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对未及时清理停放在消防通道、无障碍设施的互联网租赁自行车的处罚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对带有灯光的户外广告设施不符合城市照明专项规划和技术规范要求且逾期不改正的处罚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对大型户外广告设置人提交虚假材料骗取大型户外广告设施设置权或者伪造、涂改、出租、出借、倒卖及以其他形式非法转让大型户外广告设施设置权的处罚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对未按照管理文件载明要求设置工地围墙广告设施和公交候车亭广告设施且逾期不改正的处罚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对户外广告设施设置人未按照要求发布公益广告的处罚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对户外广告设施设置人未履行安全管理主体责任且逾期不改正的处罚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对经批准设置的大型户外广告设施在有效期届满后未按规定拆除并恢复原状且逾期不改正的处罚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对户外广告设施设置人未建立户外广告设施应急处置预案或者未定期开展应急处置演练且逾期不改正的处罚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对非大型户外广告设施未按照规定设置且逾期不改正或者自行拆除的处罚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对一楼门楣招牌未备案且逾期不备案的处罚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对设置一楼门楣招牌与备案的设施样件图不一致且逾期不改正的处罚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对不按照规定设置户外招牌类户外广告设施且逾期不改正的处罚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对大型户外广告设施未按照批准文件要求设置且逾期不改正的处罚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对户外广告设施外观不符合规定要求且逾期不改正的处罚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对在公路两侧边沟外缘起算的规定范围内未经批准设置广告标牌设施的行政处罚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对毁坏、擅自改变基本生态控制线保护标志的行为的处罚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对假冒授权品种行为的处罚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对非法生产、繁殖或者销售授权品种的繁殖材料行为的处罚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对未使用注册名称销售授权品种行为的处罚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对盗伐林木行为的处罚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对滥伐林木行为的处罚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对买卖有关林木证件行为的处罚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对非法收购盗伐、滥伐的林木行为的处罚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对非法开垦、采石等活动致使林木受到毁坏行为的处罚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对擅自开垦林地尚未毁林行为的处罚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对砍柴、放牧致使林木受到毁坏行为的处罚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对未完成更新造林任务行为的处罚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对擅自改变林地用途行为的处罚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对临时占用林地逾期不归还行为的处罚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对拒绝、阻碍实施监督检查行为的处罚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对擅自移动或者毁坏封山育林标牌、界桩等林业服务标志及其他管理设施行为的处罚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对擅自改变林种行为的处罚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对无木材运输证运输木材行为的处罚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对运输木材货证不符行为的处罚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对使用伪造、涂改的木材运输证运输木材行为的处罚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对承运无木材运输证的木材行为的处罚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对木材经营加工企业不执行有关台账制度行为的处罚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对收购无合法来源木材行为的处罚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对擅自经营、加工疫木的处罚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对逃避木材检查行为的处罚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对以野生动物收容救护为名买卖野生动物及其制品行为的处罚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对非法猎捕国家重点保护野生动物行为的处罚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对非法杀害国家重点保护野生动物行为的处罚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对非法猎捕非国家重点保护野生动物的处罚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对非法人工繁育国家重点保护野生动物行为的处罚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对非法出售、购买、利用、运输、携带、寄递国家重点保护野生动物及其制品行为的处罚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对非法出售、利用、运输非国家重点保护野生动物行为的处罚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对非法生产、经营使用国家重点保护野生动物及其制品或者没有合法来源证明行为的非国家重点保护野生动物及其制品制作食品的处罚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对为食用非法购买国家重点保护野生动物及其制品行为的处罚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对非法从境外引进野生动物物种行为的处罚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对非法将从境外引进的野生动物放归野外环境行为的处罚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对非法使用有关野生动物证书和文件行为的处罚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对外国人未经批准在中国境内对国家重点保护野生动物进行野外考察、标本采集或者在野外拍摄电影、录像行为的处罚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对擅自围（开）垦、填埋湿地行为的处罚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对擅自在湿地范围内挖塘、挖砂、采砂、采矿、取土、取水、烧荒行为的处罚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对排干湿地或者永久性截断湿地水源行为的处罚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对在湿地范围内引进、放生外来物种行为的处罚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对在湿地范围内擅自放牧、捕捞行为的处罚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对非法采集国家重点保护野生植物行为的处罚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对非法出售、收购国家重点保护野生植物的处罚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对伪造、倒卖、转让有关野生植物证件、文件、标签行为的处罚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对外国人非法采集、收购国家重点保护野生植物行为的处罚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对在沙化土地封禁保护区范围内从事破坏植被活动行为的处罚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对造成土地沙化加重行为的处罚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对不按照治理方案和要求治沙行为的处罚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对擅自治沙或者开发利用沙化土地行为的处罚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对伪造林木种子测试、试验、检验数据或出具虚假证明的处罚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对生产经营假劣林木种子行为的处罚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对非法生产经营林木种子行为的处罚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对非法提供种子生产经营许可证行为的处罚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对非法推广、销售所谓林木良种行为的处罚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对非法进出口林木种子行为的处罚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对销售为境外制种的林木种子行为的处罚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对林木种子包装、标签违规行为的处罚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对未按规定建立、保存林木种子生产经营档案行为的处罚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对种子生产经营者未依法备案行为的处罚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对非法采集或者采伐林木种质资源行为的处罚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对非法采集林木种子行为的处罚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对非法收购林木种子行为的处罚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对不按规定使用林木良种造林行为的处罚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对在种子生产基地进行检疫性有害生物接种试验行为的处罚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对拒绝、阻挠林木种苗监督检查行为的处罚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对不执行种子种苗生产技术规程，影响岭南中药材生产质量行为的处罚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对未执行种子种苗检验、检疫规程，或者经检验、检疫不符合标准仍作为种子种苗使用的，或者假冒岭南中药材良种繁育基地种子种苗产品的处罚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对保护种类种植企业、农民专业合作经济组织未按照保护种类种植技术规程进行生产行为的处罚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对优质岭南中药材生产基地使用国家禁用、淘汰的种植投入品，或者使用高毒、剧毒及高残留农药，或者滥用农药、抗生素、化肥、植物生长调节剂和除草剂行为的处罚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对私自采集或者采伐岭南中药材良种繁育基地种质资源行为的处罚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对影响岭南中药材生产的生态环境，对岭南中药材产地造成破坏行为的处罚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对违法生产、加工、包装、检验和贮藏林木种子行为的处罚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对伪造林木良种证书行为的处罚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对销售、供应未经检验合格的种苗或者未附具标签、质量检验合格证、检疫合格证的林木种苗行为的处罚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对经营者未履行森林防火责任行为的处罚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对拒不接受森林防火检查或者不消除森林火灾隐患行为的处罚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对擅自在森林防火区野外用火的处罚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对擅自在森林防火区从事实弹演习、爆破行为的处罚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对未设置森林防火警示宣传标志的行为的处罚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对进入森林防火区的机动车辆未安装森林防火装置的处罚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对擅自进入森林高火险区活动行为的处罚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对破坏、侵占森林防火通道、标志、宣传牌、瞭望台、隔离带、生物防火林带、视频监控、通讯设备等，干扰森林防火专用电台频率正常使用行为的处罚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对在森林公园内破坏森林资源行为的处罚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对在森林公园内施工中未采取保护措施，造成景物、景点、水体、地形地貌、林草植被被破坏行为的处罚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对在森林公园内施工竣工后未及时清理现场、恢复原状行为的处罚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对擅自在森林公园内设置、张贴广告，造成自然景观破坏行为的处罚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对擅自进入森林公园从事教学、科研、考察、采集标本等活动行为的处罚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对在森林公园开展影视拍摄等活动所搭建的临时设施未及时拆除行为的处罚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对在森林公园指定区域以外进行经营活动行为的处罚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对违反森林公园公共管理秩序规定行为的处罚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对使用带有危险性病虫害的林木种苗育苗或者造林行为的处罚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对森林病虫害不除治或者除治不力行为的处罚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对隐瞒或者虚报森林病虫害情况行为的处罚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对破坏自然保护区资源行为的处罚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对妨碍对自然保护区监督检查行为的处罚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对弄虚作假、虚报冒领退耕还林补助钱粮的处罚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对引种在有钉螺地带培育的种苗等繁殖材料行为的处罚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对违法开展林木转基因工程活动行为的处罚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对封山育林期间在封山育林区从事猎捕野生动物、采挖树木或者采集野生植物；开垦、采石（矿）、采砂、采土活动的处罚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对在有争议的林地上从事新的生产经营活动，造成确权后的权利人损失的处罚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对伪造、变造、涂改森林、林木、林地权属凭证的处罚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对生态景观林带管护单位未落实抚育管护措施的处罚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对流动商贩以及在临时交易场所以提供食用为目的生产、经营国家重点保护野生动物及其制品行为的处罚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对流动商贩以及在临时交易场所以提供食用为目的生产、经营国家重点保护野生动物以外其他禁止食用的动物及其制品行为的处罚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对流动商贩以及在临时交易场所以提供食用为目的繁育、饲养国家重点保护野生动物行为的处罚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对流动商贩以及在临时交易场所以提供食用为目的繁育、饲养国家重点保护野生动物以外其他禁止食用的动物行为的处罚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对流动商贩以及在临时交易场所以禁止食用的动物及其制品的名称、别称、图案制作餐饮招牌行为的处罚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对流动商贩以及在临时交易场所以药膳名义生产、经营禁止食用的动物及其制品行为的处罚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对食用明知非法加工的国家重点保护野生动物或其产品行为的处罚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对人工繁育非国家重点保护野生动物未持有种源合法来源证明行为的处罚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对以食用为目的猎捕、杀害其他陆生野生动物行为的处罚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对非法购买、携带、寄递非国家重点保护野生动物及其制品行为的处罚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对以食用为目的出售、购买、运输、携带、寄递其他陆生野生动物和省禁止交易的其他野生动物行为的处罚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对食用国家重点保护野生动物行为的处罚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对食用非国家重点保护野生动物或其他陆生野生动物行为的处罚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对擅自占用生态公益林林地的处罚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对假冒授权品种案件有关的植物品种的繁殖材料的封存或扣押</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对与假冒授权品种案件有关的合同、账册及有关文件的封存</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对有证据证明违法生产经营的种子，以及用于违法生产经营的工具、设备及运输工具等的查封、扣押</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对违法从事种子生产经营活动的场所的查封</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对施工单位未取得施工许可证擅自改建（含二次装修工程）的处罚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对建设单位未取得施工许可证或开工报告未经批准擅自施工或为规避办理施工许可证，将工程项目分解后擅自施工的行政处罚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单位施工前未对有关安全施工的技术要求作出详细说明；未根据不同施工阶段和周围环境及季节、气候的变化，在施工现场采取相应的安全施工措施，或在城市市区内的建设工程的施工现场未实行封闭围挡；在尚未竣工的建筑物内设置员工集体宿舍；施工现场临时搭建的建筑物不符合安全使用要求；未对因建设工程施工可能造成损害的毗邻建筑物、构筑物和地下管线等采取专项防护措施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单位未设立安全生产管理机构、配备专职安全生产管理人员或分部分项工程施工时无专职安全生产管理人员现场监督；施工单位的主要负责人、项目负责人、专职安全生产管理人员、作业人员或特种作业人员，未经安全教育培训或经考核不合格即从事相关工作；未在施工现场的危险部位设置明显的安全警示标志，或未按国家有关规定在施工现场设置消防通道、消防水源、配备消防设施和灭火器材；未向作业人员提供安全防护用具和安全防护服装；未依规定在施工起重机械和整体提升脚手架、模板等自升式架设设施验收合格后登记；使用国家明令淘汰、禁止使用的危及施工安全的工艺、设备、材料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对施工单位的主要负责人、项目负责人违反规定未履行安全生产管理职责的行政处罚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对建设单位对勘察、设计、施工、工程监理等单位提出不符合安全生产法律、法规和强制性标准规定的要求行为的处罚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单位安全防护用具、机械设备、施工机具及配件在进入施工现场前未经查验或查验不合格即投入使用；使用未经验收或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专项施工方案；未按规定编制并审核危险性较大工程专项施工方案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对出租单位出租未经安全性能检测或经检测不合格的机械设备和施工机具及配件的行政处罚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起重机械、整体提升脚手架、模板安装、拆卸单位未编制拆装方案、制定安全施工措施；未由专业技术人员现场监督；未出具自检合格证明或出具虚假证明；未向施工单位进行安全使用说明，办理移交手续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监理单位未对施工组织设计中的安全技术措施或专项施工方案进行审查；发现安全事故隐患未及时要求施工单位整改或暂时停止施工；施工单位拒不整改或不停止施工，未及时向有关主管部门报告；未依法律、法规和工程建设强制性标准实施监理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对为建设工程提供机械设备和配件的单位，未按安全施工的要求配备齐全有效的保险、限位等安全设施和装置的行政处罚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对建设单位将建设工程发包给不具有相应资质等级的勘察、设计、施工单位，或委托给不具有相应资质等级的工程质量检测单位、工程监理单位，或将拆除工程发包给不具有相应资质等级的施工单位的行政处罚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对勘察、设计、施工、监理单位注册执业人员未执行法律、法规和工程建设强制性标准，或因过错造成工程质量、安全事故的行政处罚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对施工单位未取得施工单位资质证书承揽工程的行政处罚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对生产经营单位未采取措施消除事故隐患或拒不执行的行政处罚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对生产经营单位拒绝、阻碍负有安全生产监督管理职责的部门依法实施监督检查的行政处罚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对施工生产经营单位未依规定制定生产安全事故应急救援预案或未定期组织演练；特种作业人员未按照规定经专门的安全作业培训并取得相应资格，上岗作业的行政处罚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对小散工程中监理单位发现施工单位未按照专项施工方案实施，未要求其整改或者停工的处罚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对施工单位未取得安全生产许可证擅自进行生产的行政处罚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对施工单位未向施工现场管理人员和作业人员进行方案交底和安全技术交底；项目专职安全生产管理人员未对专项施工方案实施情况进行现场监督的行政处罚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对小散工程中建筑施工企业项目负责人未及时排查处理施工现场安全事故隐患的处罚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对小散工程中建筑施工企业项目负责人未落实安全生产管理制度的处罚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对小散工程中工程开工前，未对相邻建筑物、构筑物、地下管线、市政公用设施等进行安全防护的处罚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对结建式人防工程土建、排水防涝、环境卫生等的日常维护管理进行监督检查（不包括：人防防护、防化等专用设备）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对违反国家规定举办学校和其他教育机构行为的处罚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幼儿园：（一）未经注册登记，擅自招收幼儿的；（二）园舍、设施不符合国家卫生标准、安全标准、妨害幼儿身体健康或威胁幼儿生命安全的；（三）教育内容和方法违背幼儿教育规律，损害幼儿身心健康等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对依法应当办理民办非企业单位登记的从事校外托管服务的机构但未办理民办非企业单位登记的处罚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对依法应当办理商事登记的从事校外托管服务的机构但未办理商事登记的处罚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对利用机动车等运输工具违法销售或违法储存瓶装燃气的处罚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燃气经营者未取得燃气经营许可证，从事燃气经营活动；不按照燃气经营许可证的规定从事燃气经营活动；已取得燃气经营许可证，但不再具备燃气经营活动的规定条件，仍继续从事燃气经营活动；超越燃气经营行政许可范围从事燃气经营活动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对违反《深圳市燃气条例》规定的违法行为实施当场查封或者扣押用于违法经营的燃气钢瓶、运输工具及设施设备等</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露天焚烧或者使用未经环境保护行政主管部门批准的设施焚烧处理固体废物的，或者使用没有采取防渗措施的场所堆放、贮存、处置固体废物的；在江、河、湖、海、水库等沿岸堆放、贮存、处置固体废物，或者用填埋方式直接处置半固态或者液态废物的，或者将其他有毒有害废物混入生活垃圾填埋处置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在人口集中地区和其他依法需要特殊保护的区域内焚烧可产生有毒有害烟尘和恶臭气体的物质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对未经批准举办营业性演出；变更演出举办单位、参加演出的文艺表演团体、演员或者节目未重新报批；演出场所经营单位为未经批准的营业性演出提供场地的行为的处罚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对未经批准，擅自从事出版物发行业务行为的处罚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对涉嫌违法从事出版物出版、印刷或者复制、进口、发行等活动的行为进行查处时，对有证据证明是与违法活动有关的物品的查封或者扣押</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对未取得采矿许可证擅自采矿的，擅自进入国家规划矿区、对国民经济具有重要价值的矿区范围采矿的，擅自开采国家规定实行保护性开采的特定矿种的行为的行政处罚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对超越批准的矿区范围采矿的行为的行政处罚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对未经批准擅自从事殡葬服务业务的处罚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制造、销售封建迷信殡葬用品的</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对无营业执照生产、销售棺木和丧葬用品的处罚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制造、销售不符合国家技术标准的殡葬设备的</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接受土地调查的单位和个人有下列行为之一的行政处罚：（一）拒绝或者阻挠土地调查人员依法进行调查的；（二）提供虚假调查资料的；（三）拒绝提供调查资料的；（四）转移、隐匿、篡改、毁弃原始记录、土地登记簿等相关资料的</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对建设单位和使用单位违反城市地下空间的规划及法定实施管理程序规定，开发建设城市地下空间的行政处罚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对土地复垦义务人未按照规定补充编制土地复垦方案的行为的行政处罚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对个人未办理规划许可审批手续建设地下建筑物、构筑物；擅自改变经许可审批确定的地下空间的使用功能、高度、层数和面积的行政处罚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对违反土地管理法律、法规，出租国有土地使用权的行为的行政处罚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对在土地利用总体规划制定前已建的不符合土地利用总体规划确定的用途的建筑物、构筑物重建、扩建的行为的行政处罚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对未经批准或者采取欺骗手段骗取批准，非法占用土地的行为的行政处罚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对质量安全且不严重影响城市规划的违法开发建设的违法建筑的处罚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对建设单位未经批准进行临时建设；未按批准内容进行临时建设；临时建筑物、构筑物超过批准期限不拆除的行政处罚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对土地复垦义务人未按照规定报告土地损毁情况、土地复垦费用使用情况或者土地复垦工程实施情况的行为的行政处罚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对在临时用地上修建永久性建筑物、构筑物的行为的行政处罚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对超过区政府批准复工用地范围的工业及配套类违法建筑的处罚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对土地复垦义务人拒绝、阻碍国土资源主管部门监督检查，或者在接受监督检查时弄虚作假的行为的行政处罚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对建设单位未按规定设置建设工程规划许可公告牌的行政处罚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对破坏或者擅自改变基本农田保护区标志的行为的行政处罚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对依法收回国有土地使用权当事人拒不交出土地，临时使用土地期满拒不归还，或者不按照批准的用途使用国有土地的行为的行政处罚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对向违反城市规划或者土地管理法律、法规、规章的建设工程供水、供电或者出售预拌混凝土的处罚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对严重违反控制性详细规划的建筑物、构筑物的行政处罚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对买卖或者以其他形式非法转让土地的行为的行政处罚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对未经市、县人民政府城乡规划行政主管部门批准，在城市紫线范围内进行建设活动的行政处罚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对土地复垦义务人未按照规定将土地复垦费用列入生产成本或者建设项目总投资的行为的行政处罚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对拒绝入户等方式阻碍监察人员检查勘验的行政处罚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对在城市蓝线范围内进行各类建设活动的行政处罚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对土地复垦义务人未按照规定对拟损毁的耕地、林地、牧草地进行表土剥离的行为的行政处罚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对历史遗留违法私房超面积的处理</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对擅自拆除纳入保护名录的历史建筑的行政处罚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对拒不履行土地复垦义务的行为的行政处罚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对损坏或擅自迁移、拆除历史建筑的行政处罚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对历史遗留生产经营性违法建筑的行政处罚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对未取得建设工程规划许可证；未按建设工程规划许可证的规定进行建设的行政处罚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对非法占用已完成征转地补偿手续的国有土地，建筑物使用功能不违反城市规划，或者违反城市规划但可以采取改正措施加以利用的处罚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对建设单位在建设工程开工前未经验线；验线不合格，建设工程擅自开工的行政处罚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对建设项目施工和地质勘查需要临时占用耕地，逾期不恢复种植条件的行为的行政处罚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对未经城市规划行政主管部门批准，在住宅室内装饰装修活动中搭建建筑物、构筑物的，或者擅自改变住宅外立面、在非承重外墙上开门、窗的行政处罚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对违法占用耕地建窑、建坟或者擅自在耕地上建房、挖砂、采石、采矿、取土等，破坏种植条件，或者因开发土地造成土地荒漠化、盐渍化的行为的行政处罚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对未经直辖市、市、县人民政府建设主管部门批准在城市黄线范围内进行建设活动；擅自改变城市黄线内土地用途的；未按规划许可的要求进行建设的行政处罚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对擅自设置、移动、涂改或损毁历史文化街区、名镇、名村标志牌的行政处罚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对建设单位未办理规划许可审批手续建设地下建筑物、构筑物；擅自改变经许可审批确定的地下空间的使用功能、高度、层数和面积的行政处罚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对土地复垦义务人依照规定应当缴纳土地复垦费而不缴纳的行为的行政处罚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对违法在土地利用总体规划确定的禁止开垦区内进行开垦的行为的行政处罚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对擅自将农民集体所有的土地的使用权出让、转让或者出租用于非农业建设的行为的行政处罚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对涂改、倒卖、出租、出借或以其他形式非法转让城乡规划编制单位资质证书的行政处罚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对城乡规划编制单位未依法取得资质证书承揽城乡规划编制工作的行政处罚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对城乡规划编制单位未按规定要求提供城乡规划编制信用档案信息的行政处罚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查封未取得建设工程规划许可证或者未按照建设工程规划许可证的规定进行建设的施工现场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查封、暂扣用于施工的工具、设备、建筑材料</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对与违法行为有关的场所、设施或者财物采取查封、扣押行政强制措施</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对遵守和执行城市规划和土地管理法律、法规、规章的定期检查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对擅自从事互联网上网服务经营活动的行为的行政处罚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对擅自从事互联网上网服务经营活动的行政强制</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对擅自在河道、滩地、堤防或者护堤地上修建工程设施行为的处罚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对未按本规定（《河道管理范围内建设项目管理的有关规定》）的规定在河道管理范围内修建建设项目行为的处罚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对未经批准在河道管理范围内新建、改建、扩建工程设施行为的处罚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90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对未经审查同意工程建设方案，在河道管理范围内从事工程设施建设活动的处罚（如擅自修建水工程，或者建设桥梁、码头和其他拦河、跨河、临河建筑物、构筑物，铺设跨河管道、电缆）</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对在河道管理范围内未申请办理延期手续而开工建设行为的处罚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对未经水行政主管部门或者流域管理机构审查同意，擅自在江河、湖泊新建、改建或者扩大排污口行为的处罚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对未经水务主管部门审查同意擅自开工建设开发利用项目，未将涉河建设项目工程建设方案报水务主管部门审查同意，未按照水务主管部门审查同意涉河工程建设方案执行等的处罚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对未经批准或者不按照国家规定的防洪标准、工程安全标准整治河道或者修建水工程建筑物和其他设施行为的处罚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对未经批准在河道滩地存放物料、修建厂房或者其他建筑设施，以及开采地下资源或者进行考古发掘行为的处罚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8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对未经批准建设与防洪治污无关设施，从事开发利用项目未遵循河道整治规划、水功能区划或影响水资源合理开发利用和保护及供水、生态安全，涉河建设项目防御洪涝的设防标准与措施不符合规定等的处罚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对未按照有关水行政主管部门审查批准的位置、界限，在河道管理范围内从事工程设施建设活动的处罚（如修建水工程，或者建设桥梁、码头和其他拦河、跨河、临河建筑物、构筑物，铺设跨河管道、电缆）</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对擅自倾倒、堆放、丢弃、遗撒污泥的行政处罚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未经水行政主管部门审查同意擅自开工建设开发利用项目或者涉河建设项目的，暂扣违法工具</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对出租人出租住房的，未以原设计的房间为最小出租单位，人均租住建筑面积低于当地人民政府规定的最低标准；将厨房、卫生间、阳台和地下储藏室出租供人员居住的行政处罚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房屋租赁当事人自房屋租赁合同订立后三十日内，未到租赁房屋所在地主管部门办理房屋租赁登记备案；房屋租赁登记备案内容发生变化、续租或租赁终止，未在三十日内，到原租赁登记备案的部门办理房屋租赁登记备案的变更、延续或注销手续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单位或者个人在道路、政府储备建设用地、水源保护区、供排水设施、河道、水库、沟渠、山地、林地、菜地、农田、公园、绿地等公共场所或者其他非指定的场地消纳、倾倒、抛洒、堆放或者填埋建筑废弃物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对消纳场所未按规定办理建筑废弃物消纳备案的行政处罚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对固定消纳场未按规定办理施工许可手续的行政处罚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对建设项目环境影响报告书、报告表未报生态环境主管部门审查或者经审查后未予批准，擅自建设建筑废弃物固定消纳场的处罚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ind w:left="0"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对违反规定未经审批（涉及水务审批）建设建筑废弃物固定消纳场的处罚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对固定消纳场未按规定办理规划许可手续的行政处罚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对饲养宠物影响环境卫生，或饲养人、管理人未及时清除宠物在城市道路、公共场所便溺的行政处罚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对环境卫生设施的管理单位不保持环境卫生设施完好、整洁，或不按要求维修、保养环境卫生设施，或未配备安全设施，或不及时修复、更新陈旧破损的环境卫生设施的行政处罚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ind w:left="425" w:leftChars="0" w:right="0" w:righ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对不按规定对填埋作业至设计终场标高或者不再收纳垃圾而停止使用的垃圾填埋场进行规范化封场，或未采取污染防控、安全防护措施的行政处罚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50" w:after="0" w:line="324" w:lineRule="auto"/>
              <w:ind w:left="14" w:leftChars="0" w:right="3"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numPr>
                <w:ilvl w:val="0"/>
                <w:numId w:val="0"/>
              </w:numPr>
              <w:tabs>
                <w:tab w:val="left" w:pos="197"/>
              </w:tabs>
              <w:spacing w:before="1" w:after="0" w:line="240" w:lineRule="auto"/>
              <w:ind w:left="13"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numPr>
                <w:ilvl w:val="0"/>
                <w:numId w:val="0"/>
              </w:numPr>
              <w:tabs>
                <w:tab w:val="left" w:pos="197"/>
              </w:tabs>
              <w:spacing w:before="82"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numPr>
                <w:ilvl w:val="0"/>
                <w:numId w:val="0"/>
              </w:numPr>
              <w:tabs>
                <w:tab w:val="left" w:pos="197"/>
              </w:tabs>
              <w:spacing w:before="81" w:after="0" w:line="240" w:lineRule="auto"/>
              <w:ind w:left="13"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numPr>
                <w:ilvl w:val="0"/>
                <w:numId w:val="0"/>
              </w:numPr>
              <w:tabs>
                <w:tab w:val="left" w:pos="197"/>
              </w:tabs>
              <w:spacing w:before="82" w:after="0" w:line="240" w:lineRule="auto"/>
              <w:ind w:left="13"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numPr>
                <w:ilvl w:val="0"/>
                <w:numId w:val="0"/>
              </w:numPr>
              <w:tabs>
                <w:tab w:val="left" w:pos="197"/>
              </w:tabs>
              <w:spacing w:before="81" w:after="0" w:line="240" w:lineRule="auto"/>
              <w:ind w:left="13"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keepNext w:val="0"/>
              <w:keepLines w:val="0"/>
              <w:widowControl/>
              <w:suppressLineNumbers w:val="0"/>
              <w:ind w:left="0" w:leftChars="0" w:right="0" w:rightChars="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8"/>
              </w:tabs>
              <w:spacing w:before="1" w:after="0" w:line="324" w:lineRule="auto"/>
              <w:ind w:left="14" w:leftChars="0" w:right="109"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keepNext w:val="0"/>
              <w:keepLines w:val="0"/>
              <w:widowControl/>
              <w:suppressLineNumbers w:val="0"/>
              <w:ind w:left="0" w:leftChars="0" w:right="0" w:rightChars="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numPr>
                <w:ilvl w:val="0"/>
                <w:numId w:val="0"/>
              </w:numPr>
              <w:tabs>
                <w:tab w:val="left" w:pos="197"/>
              </w:tabs>
              <w:spacing w:before="138" w:after="0" w:line="240" w:lineRule="auto"/>
              <w:ind w:left="14" w:leftChars="0" w:right="0" w:rightChars="0" w:firstLine="0" w:firstLine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1"/>
              </w:numPr>
              <w:spacing w:before="147"/>
              <w:ind w:left="425" w:leftChars="0" w:right="0" w:rightChars="0" w:hanging="425" w:firstLineChars="0"/>
              <w:jc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行政处罚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对违法占用、损坏、拆除环境卫生设施，或未按照先建后拆原则拆除环境卫生设施的行政处罚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50" w:after="0" w:line="324" w:lineRule="auto"/>
              <w:ind w:left="14" w:leftChars="0" w:right="3"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1.机构职能、权责清单、执法人员名单；</w:t>
            </w:r>
          </w:p>
          <w:p>
            <w:pPr>
              <w:pStyle w:val="8"/>
              <w:numPr>
                <w:ilvl w:val="0"/>
                <w:numId w:val="0"/>
              </w:numPr>
              <w:tabs>
                <w:tab w:val="left" w:pos="197"/>
              </w:tabs>
              <w:spacing w:before="1" w:after="0" w:line="240" w:lineRule="auto"/>
              <w:ind w:left="13"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2.执法程序或行政强制流程图；</w:t>
            </w:r>
          </w:p>
          <w:p>
            <w:pPr>
              <w:pStyle w:val="8"/>
              <w:numPr>
                <w:ilvl w:val="0"/>
                <w:numId w:val="0"/>
              </w:numPr>
              <w:tabs>
                <w:tab w:val="left" w:pos="197"/>
              </w:tabs>
              <w:spacing w:before="82" w:after="0" w:line="240" w:lineRule="auto"/>
              <w:ind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3.执法依据；</w:t>
            </w:r>
          </w:p>
          <w:p>
            <w:pPr>
              <w:pStyle w:val="8"/>
              <w:numPr>
                <w:ilvl w:val="0"/>
                <w:numId w:val="0"/>
              </w:numPr>
              <w:tabs>
                <w:tab w:val="left" w:pos="197"/>
              </w:tabs>
              <w:spacing w:before="81" w:after="0" w:line="240" w:lineRule="auto"/>
              <w:ind w:left="13"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4.行政处罚自由裁量基准；</w:t>
            </w:r>
          </w:p>
          <w:p>
            <w:pPr>
              <w:pStyle w:val="8"/>
              <w:numPr>
                <w:ilvl w:val="0"/>
                <w:numId w:val="0"/>
              </w:numPr>
              <w:tabs>
                <w:tab w:val="left" w:pos="197"/>
              </w:tabs>
              <w:spacing w:before="82" w:after="0" w:line="240" w:lineRule="auto"/>
              <w:ind w:left="13"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5.咨询、监督投诉方式；</w:t>
            </w:r>
          </w:p>
          <w:p>
            <w:pPr>
              <w:pStyle w:val="8"/>
              <w:numPr>
                <w:ilvl w:val="0"/>
                <w:numId w:val="0"/>
              </w:numPr>
              <w:tabs>
                <w:tab w:val="left" w:pos="197"/>
              </w:tabs>
              <w:spacing w:before="81" w:after="0" w:line="240" w:lineRule="auto"/>
              <w:ind w:left="13" w:leftChars="0" w:right="0"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6.处罚决定；</w:t>
            </w:r>
          </w:p>
          <w:p>
            <w:pPr>
              <w:keepNext w:val="0"/>
              <w:keepLines w:val="0"/>
              <w:widowControl/>
              <w:suppressLineNumbers w:val="0"/>
              <w:ind w:left="0" w:leftChars="0" w:right="0" w:rightChars="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《中华人民共和国行政处罚法》第四条;《中华人民共和国政府信息公开条例》(2019修订)第二十条(六)项。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8"/>
              </w:tabs>
              <w:spacing w:before="1" w:after="0" w:line="324" w:lineRule="auto"/>
              <w:ind w:left="14" w:leftChars="0" w:right="109" w:right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1.除处罚决定外其他内容：信息形成后20个工作日内；</w:t>
            </w:r>
          </w:p>
          <w:p>
            <w:pPr>
              <w:keepNext w:val="0"/>
              <w:keepLines w:val="0"/>
              <w:widowControl/>
              <w:suppressLineNumbers w:val="0"/>
              <w:ind w:left="0" w:leftChars="0" w:right="0" w:rightChars="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光明区城市管理和综合执法局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tabs>
                <w:tab w:val="left" w:pos="197"/>
              </w:tabs>
              <w:spacing w:before="138" w:after="0" w:line="240" w:lineRule="auto"/>
              <w:ind w:left="14" w:leftChars="0" w:right="0" w:rightChars="0" w:firstLine="0" w:firstLine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■光明政府在线</w:t>
            </w:r>
          </w:p>
          <w:p>
            <w:pPr>
              <w:pStyle w:val="8"/>
              <w:numPr>
                <w:ilvl w:val="0"/>
                <w:numId w:val="0"/>
              </w:numPr>
              <w:tabs>
                <w:tab w:val="left" w:pos="197"/>
              </w:tabs>
              <w:spacing w:before="138" w:after="0" w:line="240" w:lineRule="auto"/>
              <w:ind w:left="14" w:leftChars="0" w:right="0" w:rightChars="0" w:firstLine="0" w:firstLineChars="0"/>
              <w:jc w:val="left"/>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auto"/>
                <w:kern w:val="0"/>
                <w:sz w:val="18"/>
                <w:szCs w:val="18"/>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 不符合预售条件预售商品房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《城市房地产管理法》（2019年修正）</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未取得资质等级证书或者超越资质等级从事房地产开发经营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《城市房地产开发经营管理条例》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cs="仿宋"/>
                <w:i w:val="0"/>
                <w:color w:val="auto"/>
                <w:sz w:val="18"/>
                <w:szCs w:val="18"/>
                <w:u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擅自预售商品房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《城市房地产开发经营管理条例》                                                                                                                                      《商品房销售管理办法》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cs="仿宋"/>
                <w:i w:val="0"/>
                <w:color w:val="auto"/>
                <w:sz w:val="18"/>
                <w:szCs w:val="18"/>
                <w:u w:val="none"/>
                <w:lang w:val="en-US" w:eastAsia="zh-CN"/>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房产测绘单位在房产面积测算中不执行国家标准、规范和规定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房产测绘单位在房产面积测算中弄虚作假、欺骗房屋权利人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房产测绘单位房产面积测算失误，造成重大损失</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房地产经纪人员以个人名义承接房地产经纪业务和收取费用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房地产经纪机构提供代办贷款、代办房地产登记等其他服务，未向委托人说明服务内容、收费标准等情况，并未经委托人同意</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房地产经纪服务合同未由从事该业务的一名房地产经纪人或者两名房地产经纪人协理签名</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房地产经纪机构签订房地产经纪服务合同前，不向交易当事人说明和书面告知规定事项</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房地产经纪机构未按照规定如实记录业务情况或者保存房地产经纪服务合同</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房地产经纪机构擅自对外发布房源信息</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房地产经纪机构擅自划转客户交易结算资金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房地产经纪机构和房地产经纪人员以隐瞒、欺诈、胁迫、贿赂等不正当手段招揽业务，诱骗消费者交易或者强制交易</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房地产经纪机构和房地产经纪人员泄露或者不当使用委托人的个人信息或者商业秘密，谋取不正当利益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为交易当事人规避房屋交易税费等非法目的，房地产经纪机构和房地产经纪人员就同一房屋签订不同交易价款的合同提供便利</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房地产经纪机构和房地产经纪人员改变房屋内部结构分割出租</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房地产经纪机构和房地产经纪人员侵占、挪用房地产交易资金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房地产经纪机构和房地产经纪人员承购、承租自己提供经纪服务的房屋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房地产经纪机构和房地产经纪人员为不符合交易条件的保障性住房和禁止交易的房屋提供经纪服务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房地产经纪机构和房地产经纪人员做出法律、法规禁止的其他行为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申请人隐瞒有关情况或者提供虚假材料申请房地产估价机构资质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以欺骗、贿赂等不正当手段取得房地产估价机构资质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未取得房地产估价机构资质从事房地产估价活动或者超越资质等级承揽估价业务    </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房地产估价机构不及时办理资质证书变更手续</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一级资质房地产估价机构不按规定设立分支机构，或二、三级资质房地产估价机构设立分支机构</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房地产估价机构不按照规定条件设立分支机构</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房地产估计机构新设立的分支机构不备案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房地产估价机构不按规定承揽业务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房地产估价机构不按规定出具估价报告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房地产估价机构及其估价人员应当回避未回避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房地产估价机构涂改、倒卖、出租、出借或者以其他形式非法转让资质证书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房地产估价机构超越资质等级业务范围承接房地产估价业务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房地产估价机构以迎合高估或者低估要求、给予回扣、恶意压低收费等方式进行不正当竞争</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房地产估价机构违反房地产估价规范和标准</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房地产估价机构出具有虚假记载、误导性陈述或者重大遗漏的估价报告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房地产估价机构擅自设立分支机构</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房地产估价机构未经委托人书面同意，擅自转让受托的估价业务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房地产估价机构有法律、法规禁止的其他行为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公共租赁住房的所有权人及其委托的运营单位向不符合条件的对象出租公共租赁住房的</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公共租赁住房的所有权人及其委托的运营单位未履行公共租赁住房及其配套设施维修养护义务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公共租赁住房的所有权人及其委托的运营单位改变公共租赁住房的保障性住房性质、用途，以及配套设施的规划用途</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申请人隐瞒有关情况或者提供虚假材料申请公共租赁住房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申请人以欺骗等不正手段，登记为轮候对象或者承租公共租赁住房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承租人转借、转租或者擅自调换所承租公共租赁住房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承租人改变所承租公共租赁住房用途</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承租人破坏或者擅自装修所承租公共租赁住房，拒不恢复原状</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承租人在公共租赁住房内从事违法活动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承租人无正当理由连续6个月以上闲置公共租赁住房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房地产经纪机构及其经纪人员提供公共租赁住房出租、转租、出售等经纪业务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《房地产经纪管理办法》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出租属于违法建筑的房屋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出租不符合安全、防灾等工程建设强制性标准的房屋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出租违反规定改变房屋使用性质的房屋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出租法律、法规规定禁止出租的房屋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未以原设计的房间为最小出租单位，或人均租住建筑面积低于当地人民政府规定的最低标准</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出租厨房、卫生间、阳台和地下储藏室供人员居住</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房屋租赁合同订立后三十日内，房屋租赁当事人未按规定办理房屋租赁登记备案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房屋租赁登记备案内容发生变化、续租或者租赁终止后三十日内，当事人未按规定办理房屋租赁登记备案的变更、延续或者注销手续</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公有住房售房单位未按规定交存首期住宅专项维修资金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未按规定交存首期住宅专项维修资金，公有住房售房单位将房屋交付买受人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公有住房售房单位未按规定分摊维修、更新、改造费用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未按规定交存首期住宅专项维修资金，开发建设单位将房屋交付买受人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开发建设单位未按规定分摊维修、更新和改造费用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挪用住宅专项维修资金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城市低收入住房困难家庭隐瞒有关情况或者提供虚假材料申请廉租住房保障</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《廉租住房保障办法》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对以欺骗等不正当手段，取得审核同意或者获得廉租住房保障</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《廉租住房保障办法》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隐瞒有关情况或者提供虚假材料申请房地产估价师注册</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注册房地产估价师聘用单位为申请人提供虚假注册材料</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以欺骗、贿赂等不正当手段取得注册证书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未经注册，擅自以注册房地产估价师名义从事房地产估价活动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注册房地产估价师未办理变更注册仍执业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注册房地产估价师不履行注册房地产估价师义务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注册房地产估价师在执业过程中，索贿、受贿或者谋取合同约定费用外的其他利益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注册房地产估价师在执业过程中实施商业贿赂</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注册房地产估价师签署有虚假记载、误导性陈述或者重大遗漏的估价报告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注册房地产估价师在估价报告中隐瞒或者歪曲事实</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注册房地产估价师允许他人以自己的名义从事房地产估价业务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注册房地产估价师同时在2个或者2个以上房地产估价机构执业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注册房地产估价师以个人名义承揽房地产估价业务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注册房地产估价师涂改、出租、出借或者以其他形式非法转让注册证书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注册房地产估价师超出聘用单位业务范围从事房地产估价活动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注册房地产估价师严重损害他人利益、名誉的行为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注册房地产估价师有法律、法规禁止的其他行为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注册房地产估价师或者其聘用单位未按照要求提供房地产估价师信用档案信息</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开发企业未取得《商品房预售许可证》预售商品房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《城市商品房预售管理办法》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《城市房地产开发经营管理条例》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开发企业不按规定使用商品房预售款项</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《城市商品房预售管理办法》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开发企业隐瞒有关情况、提供虚假材料，或者采用欺骗、贿赂等不正当手段取得商品房预售许可</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《城市商品房预售管理办法》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不具备条件的单位从事白蚁防治业务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《城市房屋白蚁防治管理规定》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白蚁防治单位未建立健全白蚁防治质量保证体系，未严格按照国家和地方有关城市房屋白蚁防治的施工技术规范和操作程序进行防治</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《城市房屋白蚁防治管理规定》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白蚁防治单位违反规定，使用不合格药物</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《城市房屋白蚁防治管理规定》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房地产开发企业在进行商品房销(预)售时未向购房人出具该项目的《白蚁预防合同》或者其他实施房屋白蚁预防的证明文件，或提供的《住宅质量保证书》中未包括白蚁预防质量保证的内容</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《城市房屋白蚁防治管理规定》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原有房屋和超过白蚁预防包治期限的房屋发生蚁害的，房屋所有人、使用人或者房屋管理单位未委托白蚁防治单位进行灭治或未配合白蚁防治单位进行白蚁的检查和灭治工作</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《城市房屋白蚁防治管理规定》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装修人未申报登记进行住宅室内装饰装修活动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装修人将住宅室内装饰装修工程委托给不具有相应资质等级企业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将没有防水要求的房间或者阳台改为卫生间、厨房间的，或者拆除连接阳台的砖、混凝土墙体</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损坏房屋原有节能设施或者降低节能效果</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擅自拆改供暖、燃气管道和设施</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未经原设计单位或者具有相应资质等级的设计单位提出设计方案，擅自超过设计标准或者规范增加楼面荷载</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物业管理单位发现装修人或者装饰装修企业有违反规定的行为不及时向有关部门报告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将安装有淘汰便器水箱和配件的新建房屋验收交付使用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《城市房屋便器水箱应用监督管理办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未按更新改造计划更换淘汰便器水箱和配件</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《城市房屋便器水箱应用监督管理办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在限定的期限内未更换淘汰便器水箱和配件</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《城市房屋便器水箱应用监督管理办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对漏水严重的房屋便器水箱和配件未按期进行维修或者更新</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《城市房屋便器水箱应用监督管理办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在利用房地产权属档案的过程中，损毁、丢失、涂改、伪造房地产权属档案或者擅自提供、抄录、公布、销毁房地产权属档案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《城市房地产权属档案管理办法》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企事业组织或者个人擅自出卖或者转让房地产权属档案的</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《城市房地产权属档案管理办法》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未取得房地产开发企业资质证书，擅自销售商品房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在未解除商品房买卖合同前，将作为合同标的物的商品房再行销售给他人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房地产开发企业将未组织竣工验收、验收不合格或者对不合格按合格验收的商品房擅自交付使用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《建设工程质量管理条例》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房地产开发企业未按规定将测绘成果或者需要由其提供的办理房屋权属登记的资料报送房地产行政主管部门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房地产开发企业在销售商品房中未按照规定的现售条件现售商品房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房地产开发企业在销售商品房中未按照规定在商品房现售前将房地产开发项目手册及符合商品房现售条件的有关证明文件报送房地产开发主管部门备案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房地产开发企业在销售商品房中返本销售或者变相返本销售商品房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房地产开发企业在销售商品房中在销售商品房中采取售后包租或者变相售后包租方式销售未竣工商品房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房地产开发企业在销售商品房中分割拆零销售商品住宅</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房地产开发企业在销售商品房中不符合商品房销售条件，向买受人收取预订款性质费用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房地产开发企业在销售商品房中未按照规定向买受人明示《商品房销售管理办法》、《商品房买卖合同示范文本》、《城市商品房预售管理办法》</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房地产开发企业在销售商品房中委托没有资格的机构代理销售商品房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房地产中介服务机构代理销售不符合销售条件的商品房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企业未取得资质证书从事房地产开发经营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企业超越资质等级从事房地产开发经营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企业隐瞒真实情况、弄虚作假骗取资质证书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企业涂改、出租、出借、转让、出卖资质证书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企业开发建设的项目工程质量低劣，发生重大工程质量事故</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开发企业在商品住宅销售中不按照规定发放《住宅质量保证书》和《住宅使用说明书》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企业不按照规定办理变更手续</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将不准上市出售的已购公有住房和经济适用住房上市出售</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《已购公有住房和经济适用住房上市出售管理暂行办法》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将已购公有住房和经济适用住房上市出售后，该户家庭又以非法手段按照成本价（或者标准价）购买公有住房或者政府提供优惠政策建设的住房</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《已购公有住房和经济适用住房上市出售管理暂行办法》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发包单位将工程发包给不具有相应资质条件的承包单位的，或者违反本法规定将建筑工程肢解发包</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超越本单位资质等级承揽工程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《建设工程质量管理条例》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未取得资质证书承揽工程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《建设工程质量管理条例》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《建设工程勘察设计管理条例》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以欺骗手段取得资质证书承揽工程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《建筑业企业资质管理规定》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《建设工程质量管理条例》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《建设工程勘察设计管理条例》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建筑施工企业转让、出借资质证书或者以其他方式允许他人以本企业的名义承揽工程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承包单位将承包的工程转包，或者违法分包</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《建设工程质量管理条例》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在工程发包与承包中索贿、受贿、行贿，且不构成犯罪</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工程监理单位转让监理业务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建设单位将建设工程发包给不具有相应资质等级的勘察、设计、施工单位或者委托给不具有相应资质等级的工程监理单位</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将建筑工程肢解发包</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工程监理单位转让工程监理业务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建设单位将拆除工程发包给不具有相应资质等级的施工单位</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《建设工程安全生产管理条例》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施工单位委托不具有相应资质的单位承担施工现场安装、拆卸施工起重机械和整体提升脚手架、模板等自升式架设设施</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《建设工程安全生产管理条例》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申请企业隐瞒有关真实情况或者提供虚假材料申请建筑业企业资质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企业以欺骗、贿赂等不正当手段取得建筑业企业资质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企业申请建筑业企业资质升级、资质增项，在申请之日起前一年至资质许可决定作出前，超越本企业资质等级或以其他企业的名义承揽工程，或允许其他企业或个人以本企业的名义承揽工程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企业申请建筑业企业资质升级、资质增项，在申请之日起前一年至资质许可决定作出前，与建设单位或企业之间相互串通投标，或以行贿等不正当手段谋取中标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企业申请建筑业企业资质升级、资质增项，在申请之日起前一年至资质许可决定作出前，未取得施工许可证擅自施工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企业申请建筑业企业资质升级、资质增项，在申请之日起前一年至资质许可决定作出前，将承包的工程转包或违法分包</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企业申请建筑业企业资质升级、资质增项，在申请之日起前一年至资质许可决定作出前，违反国家工程建设强制性标准施工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企业申请建筑业企业资质升级、资质增项，在申请之日起前一年至资质许可决定作出前，恶意拖欠分包企业工程款或者劳务人员工资</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企业申请建筑业企业资质升级、资质增项，在申请之日起前一年至资质许可决定作出前，隐瞒或谎报、拖延报告工程质量安全事故，破坏事故现场、阻碍对事故调查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企业申请建筑业企业资质升级、资质增项，在申请之日起前一年至资质许可决定作出前，按照国家法律、法规和标准规定需要持证上岗的现场管理人员和技术工种作业人员未取得证书上岗</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企业申请建筑业企业资质升级、资质增项，在申请之日起前一年至资质许可决定作出前，未依法履行工程质量保修义务或拖延履行保修义务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企业申请建筑业企业资质升级、资质增项，在申请之日起前一年至资质许可决定作出前，伪造、变造、倒卖、出租、出借或者以其他形式非法转让建筑业企业资质证书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企业申请建筑业企业资质升级、资质增项，在申请之日起前一年至资质许可决定作出前，发生过较大以上质量安全事故或者发生过两起以上一般质量安全事故</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企业申请建筑业企业资质升级、资质增项，在申请之日起前一年至资质许可决定作出前，有其它违反法律、法规的行为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企业未按照规定及时办理建筑业企业资质证书变更手续</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企业在接受监督检查时，不如实提供有关材料，或者拒绝、阻碍监督检查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企业未按照规定要求提供企业信用档案信息</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未取得建筑业企业资质承接分包工程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《房屋建筑和市政基础设施工程施工分包管理办法》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建设单位在工程竣工验收合格之日起15日内未办理工程竣工验收备案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《房屋建筑和市政基础设施工程竣工验收备案管理办法》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■深圳市住房和建设局官网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■光明区政府在线双公示平台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建设单位将备案机关决定重新组织竣工验收的工程，在重新组织竣工验收前，擅自使用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《房屋建筑和市政基础设施工程竣工验收备案管理办法》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■深圳市住房和建设局官网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■光明区政府在线双公示平台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建设单位采用虚假证明文件办理工程竣工验收备案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《房屋建筑和市政基础设施工程竣工验收备案管理办法》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■深圳市住房和建设局官网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■光明区政府在线双公示平台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申请人隐瞒有关情况或者提供虚假材料申请工程监理企业资质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工程监理企业以欺骗、贿赂等不正当手段取得工程监理企业资质证书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工程监理企业在监理过程中实施商业贿赂</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工程监理企业涂改、伪造、出借、转让工程监理企业资质证书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工程监理企业不及时办理资质证书变更手续</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工程监理企业未按照要求提供工程监理企业信用档案信息</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工程造价咨询企业涂改、倒卖、出租、出借资质证书，或者以其他形式非法转让资质证书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工程造价咨询企业超越资质等级业务范围承接工程造价咨询业务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工程造价咨询企业同时接受招标人和投标人或两个以上投标人对同一工程项目的工程造价咨询业务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工程造价咨询企业以给予回扣、恶意压低收费等方式进行不正当竞争</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工程造价咨询企业转包承接的工程造价咨询业务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法律、法规禁止的其他行为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未取得相应的资质，擅自承担本办法规定的检测业务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检测机构隐瞒有关情况或者提供虚假材料申请资质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以欺骗、贿赂等不正当手段取得资质证书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检测机构超出资质范围从事检测活动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检测机构涂改、倒卖、出租、出借、转让资质证书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检测机构使用不符合条件的检测人员</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检测机构未按规定上报发现的违法违规行为和检测不合格事项</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检测机构未按规定在检测报告上签字盖章</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检测机构未按照国家有关工程建设强制性标准进行检测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检测机构档案资料管理混乱，造成检测数据无法追溯</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检测机构转包检测业务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检测机构伪造检测数据，出具虚假检测报告或鉴定结论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委托方委托未取得相应资质的检测机构进行检测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委托方明示或暗示检测机构出具虚假检测报告，篡改或伪造检测报告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委托方弄虚作假送检试样</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招标人不具备自行办理施工招标事宜条件而自行招标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《房屋建筑和市政基础设施工程施工招标投标管理办法》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必须进行招标的项目不招标；将必须进行招标的项目化整为零或者以其他任何方式规避招标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招标代理机构泄露应当保密的与招标投标活动有关的情况和资料；或者与招标人、投标人串通损害国家利益、社会公共利益或者他人合法权益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《建筑工程设计招标投标管理办法》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依法必须进行招标的项目的招标人向他人透露已获取招标文件的潜在投标人的名称、数量或者可能影响公平竞争的有关招标投标的其他情况；或者泄露标底</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投标人相互串通投标或者与招标人串通投标；投标人以向招标人或者评标委员会成员行贿的手段谋取中标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投标人以他人名义投标或者以其他方式弄虚作假，骗取中标，且尚未构成犯罪</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依法必须进行招标的项目，招标人与投标人就投标价格、投标方案等实质性内容进行谈判</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招标人在评标委员会依法推荐的中标候选人以外确定中标人；依法必须进行招标的项目在所有投标被评标委员会否决后自行确定中标人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中标人将中标项目转让给他人；将中标项目肢解后分别转让给他人；违反招标投标法和招标投标法实施条例规定将中标项目的部分主体、关键性工作分包给他人；或者分包人再次分包</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招标人与中标人不按照招标文件和中标人的投标文件订立合同，或者招标人、中标人订立背离合同实质性内容的协议</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中标人不按照与招标人订立的合同履行义务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依法应当公开招标的项目招标人不按照规定在指定媒介发布资格预审公告或者招标公告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招标人在不同媒介发布的同一招标项目的资格预审公告或者招标公告的内容不一致，影响潜在投标人申请资格预审或者投标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依法必须进行招标的项目的招标人不按照规定发布资格预审公告或者招标公告，构成规避招标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依法应当公开招标而招标人采用邀请招标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招标文件、资格预审文件的发售、澄清、修改的时限，或者确定的提交资格预审申请文件、投标文件的时限不符合招标投标法和本条例规定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招标人接受未通过资格预审的单位或者个人参加投标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招标人接受应当拒收的投标文件</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招标人超过规定的比例收取投标保证金、履约保证金或者不按照规定退还投标保证金及银行同期存款利息</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出让或者出租资格、资质证书供他人投标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依法必须进行招标的项目的招标人不按照规定组建评标委员会，或者确定、更换评标委员会成员违反招标投标法和招标投标法实施条例规定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依法必须进行招标的项目的招标人无正当理由不发出中标通知书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依法必须进行招标的项目的招标人不按照规定确定中标人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依法必须进行招标的项目的招标人中标通知书发出后无正当理由改变中标结果</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依法必须进行招标的项目的招标人无正当理由不与中标人订立合同</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依法必须进行招标的项目的招标人在订立合同时向中标人提出附加条件</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中标人无正当理由不与招标人订立合同，在签订合同时向招标人提出附加条件，或者不按照招标文件要求提交履约保证金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招标人和中标人不按照招标文件和中标人的投标文件订立合同，合同的主要条款与招标文件、中标人的投标文件的内容不一致，或者招标人、中标人订立背离合同实质性内容的协议</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招标人不按照规定对异议作出答复，继续进行招标投标活动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招标人澄清、修改招标文件的时限，或者确定的提交投标文件的时限不符合规定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招标人不按照规定组建评标委员会，或者评标委员会成员的确定违反规定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招标人无正当理由未按规定发出中标通知书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招标人不按照规定确定中标人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中标通知书发出后招标人无正当理由改变中标结果</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招标人无正当理由未按规定与中标人订立合同</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招标人在订立合同时向中标人提出附加条件</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投标人以他人名义投标或者以其他方式弄虚作假，骗取中标，且尚未构成犯罪</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依法必须公开招标的项目招标人不按照规定在指定媒介发布资格预审公告或者招标公告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招标文件、资格预审文件的发售、澄清、修改的时限，或者确定的提交资格预审申请文件、投标文件的时限不符合招标投标法和招标投标法实施条例规定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依法必须进行招标的项目的投标人以他人名义投标，利用伪造、转让、租借、无效的资质证书参加投标，或者请其他单位在自己编制的投标文件上代为签字盖章，弄虚作假，骗取中标，且未构成犯罪</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招标人以抽签、摇号等不合理的条件限制或者排斥资格预审合格的潜在投标人参加投标，对潜在投标人实行歧视待遇的，强制要求投标人组成联合体共同投标，或者限制投标人之间竞争</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招标人与中标人不按照招标文件和中标人的投标文件订立合同</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招标人在不同媒介发布的同一招标项目的资格预审公告或者招标公告内容不一致，影响潜在投标人申请资格预审或者投标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招标人无正当理由不发出中标通知书</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招标人无正当理由不与中标人订立合同</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在订立合同时招标人向中标人提出附加条件</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中标通知书发出后，中标人放弃中标项目的，无正当理由不与招标人签订合同的，在签订合同时向招标人提出附加条件或者更改合同实质性内容的，或者拒不提交所要求的履约保证金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《工程建设项目货物招标投标办法》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依法必须进行招标的项目而不招标的，将必须进行招标的项目化整为零或者以其他任何方式规避招标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招标代理机构违法泄露应当保密的与招标投标活动有关的情况和资料，或者与招标人、投标人串通损害国家利益、社会公共利益或者他人合法权益</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依法必须进行招标项目的招标人向他人透露已获取招标文件的潜在投标人的名称、数量或者可能影响公平竞争的有关招标投标的其他情况，或者泄露标底</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招标人依法应当公开招标而采用邀请招标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投标人相互串通投标或者与招标人串通投标，投标人以向招标人或者评标委员会成员行贿的手段谋取中标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投标人以他人名义投标或者以其他方式弄虚作假，骗取中标的，尚未构成犯罪</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依法必须进行招标的项目，招标人违法与投标人就投标价格、投标方案等实质性内容进行谈判</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中标通知书发出后，中标人放弃中标项目；无正当理由不与招标人签订合同；在签订合同时向招标人提出附加条件或者更改合同实质性内容；或者拒不提交所要求的履约保证金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中标人将中标项目转让给他人，将中标项目肢解后分别转让给他人，违法将中标项目的部分主体、关键性工作分包给他人，或者分包人再次分包</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中标人不按照与招标人订立的合同履行义务，情节严重</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建设单位将建设工程发包给不具有相应资质等级的勘察、设计、施工单位或者委托给不具有相应资质等级的工程监理单位</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《建设工程质量管理条例》(2019修正)第二章第七条第一款、第二章第一十二条第一款、第二章第一十二条第一款、第二章第五条第一款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将建筑工程肢解发包</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《建设工程质量管理条例》（2019修正）第二章第七条第二款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建设单位迫使承包方以低于成本的价格竞标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建设单位任意压缩合理工期</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建设单位明示或者暗示设计单位或者施工单位违反工程建设强制性标准，降低工程质量</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《建设工程质量管理条例》（2019修正）第二章第一十条第二款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建设单位施工图设计文件未经审查或者审查不合格，擅自施工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1.《建设工程质量管理条例》（2019修正） 第二章第一十一条第二款；       2.《广东省建设工程质量管理条例》(2017修正) 第二章第七条第一款第二项、第三章第一十八条第一款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建设项目必须实行工程监理而未实行工程监理</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《建设工程质量管理条例》（2019修正）第二章第一十二条第二款、第二章第一十二条第二款第一项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建设单位未按照国家规定办理工程质量监督手续</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《建设工程质量管理条例》（2019修正）第二章第一十三条第一款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建设单位明示或者暗示施工单位使用不合格的建筑材料、建筑构配件和设备</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《建设工程质量管理条例》（2019修正）第二章第一十四条第二款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建设单位未按照国家规定将竣工验收报告、有关认可文件或者准许使用文件报送备案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《建设工程质量管理条例》（2019修正）第七章第四十九条第一、二款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未组织竣工验收，建设单位擅自交付使用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《建设工程质量管理条例》（2019修正）第二章第一十六条第一、二、三款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验收不合格，建设单位擅自交付使用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《建设工程质量管理条例》（2019修正）第二章第一十六条第二、三款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建设单位对不合格的建设工程按照合格工程验收</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《建设工程质量管理条例》（2019修正）第二章第一十六条第二款第一、二、三、四、五项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建设工程竣工验收后，建设单位未向建设行政主管部门或者其他有关部门移交建设项目档案</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《建设工程质量管理条例》（2019修正）第二章第一十七条第一款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勘察、设计、施工、工程监理单位允许其他单位或者个人以本单位名义承揽工程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《建设工程质量管理条例》（2019修正）第三章第一十八条第二款、第四章第二十五条第二款、 第五章第三十四条第二款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工程监理单位转让工程监理业务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《建设工程质量管理条例》（2019修正）第五章第三十四条第三款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勘察单位未按照工程建设强制性标准进行勘察</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1.《实施工程建设强制性标准监督规定》（2015年修正）第二条第一款；       2.《建设工程质量管理条例》（2019修正） 第三章第一十九条第一款；      3.《建设工程安全生产管理条例》（2004）第三章第一十二条第一款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设计单位未根据勘察成果文件进行工程设计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《建设工程质量管理条例》（2019修正）第三章第二十一条第一款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设计单位指定建筑材料、建筑构配件的生产厂、供应商</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《建设工程质量管理条例》（2019修正）第三章第二十二条第二款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设计单位未按照工程建设强制性标准进行设计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1.《实施工程建设强制性标准监督规定》（2015年修正） 第二条第一款；      2.《建设工程质量管理条例》（2019修正）第三章第一十九条第一款；        3.建设工程安全生产管理条例（2004）</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第三章第一十三条第一款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施工单位在施工中偷工减料；使用不合格的建筑材料、建筑构配件和设备；或者有不按照工程设计图纸或者施工技术标准施工的其他行为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《建设工程质量管理条例》（2019修正）第四章第二十八条第一款、第四章第二十九条第一款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施工单位未对建筑材料、建筑构配件、设备和商品混凝土进行检验，或者未对涉及结构安全的试块、试件以及有关材料取样检测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《建设工程质量管理条例》（2019修正）第四章第二十九条第一款、第四章第三十一条第一款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工程监理单位与建设单位或者施工单位串通，弄虚作假、降低工程质量</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《建设工程质量管理条例》（2019修正）第五章第三十六条第一款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工程监理单位将不合格的工程、建筑材料、构配件和设备按照合格签字</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《建设工程质量管理条例》（2019修正）第五章第三十七条第一、二款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工程监理单位与被监理工程的施工承包单位以及建筑材料、建筑构配件和设备供应单位有隶属关系或者其他利害关系承担该项建设工程的监理业务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《建设工程质量管理条例》（2019修正）第二章第一十二条第一款和第二款、第五章第三十五条第一款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涉及建筑主体或者承重结构变动的装修工程，没有设计方案擅自施工；房屋建筑使用者在装修过程中擅自变动房屋建筑主体和承重结构</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7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《建设工程质量管理条例》第一十八条第三款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7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未经注册，擅自以注册建设工程勘察、设计人员的名义从事建设工程勘察、设计活动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《建设工程勘察设计管理条例》（2017年修正）第二章第九条第一、二款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7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建设工程勘察、设计注册执业人员和其他专业技术人员未受聘于一个建设工程勘察、设计单位或者同时受聘于两个以上建设工程勘察、设计单位，从事建设工程勘察、设计活动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《建设工程勘察设计管理条例》（2017修正）第二章第一十条第一款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发包方将建设工程勘察、设计业务发包给不具有相应资质等级的建设工程勘察、设计单位</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1.《建设工程勘察设计管理条例》（2017年修正）第三章第一十七条第一款；     2.《建设工程质量管理条例》(2019修正)第二章第七条第一款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城市自来水供水企业或者自建设施对外供水的企业供水水质、水压不符合国家规定标准</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《城市供水条例》(2018年修正)第四章第二十条第一款、第四章第二十一条第一款和第二款、 第四章第二十二条第一款、第四章第二十四条第一款、第四章第二十五条第一款、 第五章第二十七条第一款、 第五章第二十九条第一款、第五章第三十条第一款、第五章第三十二条第一款和第二款、第六章第三十三条第一款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城市自来水供水企业或者自建设施对外供水的企业擅自停止供水或者未履行停水通知义务    </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《城市供水条例》(2018年修正)第四章第二十条第一款、第四章第二十一条第一款和第二款、 第四章第二十二条第一款、第四章第二十四条第一款、第四章第二十五条第一款、 第五章第二十七条第一款、 第五章第二十九条第一款、第五章第三十条第一款、第五章第三十二条第一款和第二款、第六章第三十三条第一款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城市自来水供水企业或者自建设施对外供水的企业未按照规定检修供水设施或者在供水设施发生故障后未及时抢修</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《城市供水条例》(2018年修正)第四章第二十条第一款、第四章第二十一条第一款和第二款、 第四章第二十二条第一款、第四章第二十四条第一款、第四章第二十五条第一款、 第五章第二十七条第一款、 第五章第二十九条第一款、第五章第三十条第一款、第五章第三十二条第一款和第二款、第六章第三十三条第一款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无证或者超越资质证书规定的经营范围进行城市供水工程的设计或者施工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《城市供水条例》（2018修正）第三章第一十五条第一款、 第三章第一十六条第一款、第六章第三十四条第一款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未按国家规定的技术标准和规范进行城市供水工程的设计或者施工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《城市供水条例》（2018修正）第三章第一十五条第一款、 第三章第一十六条第一款、第六章第三十四条第一款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违反城市供水发展规划及其年度建设计划兴建城市供水工程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《城市供水条例》（2018修正）第三章第一十五条第一款、 第三章第一十六条第一款、第六章第三十四条第一款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未按规定缴纳水费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盗用或者转供城市公共供水</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在规定的城市公共供水管道及其附属设施的安全保护范围内进行危害供水设施安全活动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擅自将自建设施供水管网系统与城市公共供水管网系统连接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产生或者使用有毒有害物质的单位将其生产用水管网系统与城市公共供水管网系统直接连接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在城市公共供水管道上直接装泵抽水</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擅自拆除、改装或者迁移城市公共供水设施</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在雨水、污水分流地区，建设单位、施工单位将雨水管网、污水管网相互混接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《城镇排水与污水处理条例》第三章第一十九条第一款和第二款和第三款、第六章第四十八条第一款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城镇排水与污水处理设施覆盖范围内的排水单位和个人，未按照国家有关规定将污水排入城镇排水设施，或者在雨水、污水分流地区将污水排入雨水管网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《城镇污水排入排水管网许可管理办法》第一章第四条第一款和第二款、第四章第二十五条第一款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排水户未取得污水排入排水管网许可证向城镇排水设施排放污水</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《城镇排水与污水处理条例》第三章第二十一条第一款和第二款、第六章第五十条第一款和第二款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排水户不按照污水排入排水管网许可证的要求排放污水</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《城镇排水与污水处理条例》第三章第二十一条第一款和第二款、第六章第五十条第一款和第二款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94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《城镇排水与污水处理条例》第三章第二十五条第一款、第三章第二十七条第二款、第六章第五十一条第一款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城镇污水处理设施维护运营单位未按照国家有关规定检测进出水水质，或者未报送污水处理水质和水量、主要污染物削减量等信息和生产运营成本等信息</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《城镇排水与污水处理条例》第四章第二十九条第二款、第六章第五十二条第一款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2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城镇污水处理设施维护运营单位擅自停运城镇污水处理设施，未按照规定事先报告或者采取应急处理措施</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 第四章第三十一条第一款和第二款和第三款、第六章第五十二条第一款和第二款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城镇污水处理设施维护运营单位或者污泥处理处置单位对产生的污泥以及处理处置后的污泥的去向、用途、用量等未进行跟踪、记录的，或者处理处置后的污泥不符合国家有关标准</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《城镇排水与污水处理条例》第四章第三十条第一款、第六章第五十三条第一款和第二款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擅自倾倒、堆放、丢弃、遗撒污泥</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《城镇排水与污水处理条例》第四章第三十条第一款、第六章第五十三条第一款和第二款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排水单位或者个人不缴纳污水处理费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 第四章第三十二条第一款和第二款和第三款、 第六章第五十四条第一款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城镇排水与污水处理设施维护运营单位未按照国家有关规定履行日常巡查、维修和养护责任，保障设施安全运行</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《城镇排水与污水处理条例》第五章第三十八条第一款和第二款、第五章第四十条第一款和第二款、第六章第五十五条第一款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城镇排水与污水处理设施维护运营单位未及时采取防护措施、组织事故抢修</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《城镇排水与污水处理条例》第五章第三十八条第一款和第二款、第五章第四十条第一款和第二款、第六章第五十五条第一款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城镇排水与污水处理设施维护运营单位因巡查、维护不到位，导致窨井盖丢失、损毁，造成人员伤亡和财产损失</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《城镇排水与污水处理条例》第五章第三十八条第一款和第二款、第五章第四十条第一款和第二款、第六章第五十五条第一款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从事危及城镇排水与污水处理设施安全的活动</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《城镇排水与污水处理条例》第五章第四十二条第一款、 第六章第五十六条第一款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有关单位未与施工单位、设施维护运营单位等共同制定设施保护方案，并采取相应的安全防护措施</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《城镇排水与污水处理条例》第五章第四十一条第二款、第五章第四十三条第三款、第六章第五十七条第一款和第二款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擅自拆除、改动城镇排水与污水处理设施</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《城镇排水与污水处理条例》第五章第四十三条第四款、 第六章第五十七条第一款和第二款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在城镇排水与污水处理设施覆盖范围内，未按照国家有关规定将污水排入城镇排水设施，或者在雨水、污水分流地区将污水排入雨水管网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《城镇污水排入排水管网许可管理办法》第一章第四条第一款和第二款、第四章第二十五条第一款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排水户未取得排水许可，向城镇排水设施排放污水</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《城镇污水排入排水管网许可管理办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法》第一章第四条第一款和第二款、第四章第二十六条第一款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排水户未按照排水许可证的要求，向城镇排水设施排放污水</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《城镇污水排入排水管网许可管理办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法》第一章第四条第一款和第二款、第三章第一十二条第一款、第四章第二十七条第一款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供水水质达不到国家有关标准规定</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城市供水单位、二次供水管理单位未按规定进行水质检测或者委托检测</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对于实施生产许可证管理的净水剂及与制水有关的材料等，选用未获证企业产品</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城市供水单位使用未经检验或者检验不合格的净水剂及有关制水材料</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城市供水单位使用未经检验或者检验不合格的城市供水设备、管网</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0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二次供水管理单位，未按规定对各类储水设施进行清洗消毒</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城市供水单位、二次供水管理单位隐瞒、缓报、谎报水质突发事件或者水质信息</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有危害城市供水水质安全的其他行为</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01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right="0" w:righ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《城镇排水与污水处理条例》第四章第三十条第一款、第六章第五十三条第一款和第二款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bl>
    <w:p>
      <w:pPr>
        <w:pStyle w:val="3"/>
        <w:spacing w:before="5"/>
        <w:rPr>
          <w:rFonts w:hint="eastAsia" w:ascii="仿宋" w:hAnsi="仿宋" w:eastAsia="仿宋" w:cs="仿宋"/>
          <w:b/>
          <w:color w:val="auto"/>
          <w:sz w:val="18"/>
          <w:szCs w:val="18"/>
        </w:rPr>
      </w:pPr>
    </w:p>
    <w:p>
      <w:pPr>
        <w:rPr>
          <w:rFonts w:hint="eastAsia" w:ascii="仿宋" w:hAnsi="仿宋" w:eastAsia="仿宋" w:cs="仿宋"/>
          <w:color w:val="auto"/>
          <w:sz w:val="18"/>
          <w:szCs w:val="18"/>
        </w:rPr>
      </w:pPr>
    </w:p>
    <w:sectPr>
      <w:pgSz w:w="16783" w:h="11850" w:orient="landscape"/>
      <w:pgMar w:top="720" w:right="680" w:bottom="280" w:left="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5FCF4"/>
    <w:multiLevelType w:val="singleLevel"/>
    <w:tmpl w:val="4BC5FCF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64738"/>
    <w:rsid w:val="05852631"/>
    <w:rsid w:val="085D0CDE"/>
    <w:rsid w:val="089E20BB"/>
    <w:rsid w:val="0D4F78F4"/>
    <w:rsid w:val="16663DB9"/>
    <w:rsid w:val="19FB2A6A"/>
    <w:rsid w:val="1AAC1E50"/>
    <w:rsid w:val="1AF95398"/>
    <w:rsid w:val="233F4233"/>
    <w:rsid w:val="2B8E13F7"/>
    <w:rsid w:val="3223042E"/>
    <w:rsid w:val="36D6335D"/>
    <w:rsid w:val="3AA82343"/>
    <w:rsid w:val="3AFB3E2A"/>
    <w:rsid w:val="3ED72BE0"/>
    <w:rsid w:val="41082D92"/>
    <w:rsid w:val="48FF7696"/>
    <w:rsid w:val="4B504FDA"/>
    <w:rsid w:val="4D915DD5"/>
    <w:rsid w:val="50355DD6"/>
    <w:rsid w:val="5590755D"/>
    <w:rsid w:val="56782436"/>
    <w:rsid w:val="5BEA56E9"/>
    <w:rsid w:val="60542750"/>
    <w:rsid w:val="63261019"/>
    <w:rsid w:val="67AE6F70"/>
    <w:rsid w:val="683D77CA"/>
    <w:rsid w:val="698234CB"/>
    <w:rsid w:val="6BDE548A"/>
    <w:rsid w:val="6DAA1F76"/>
    <w:rsid w:val="6E6C2F0E"/>
    <w:rsid w:val="70343336"/>
    <w:rsid w:val="70647BF1"/>
    <w:rsid w:val="71B63E66"/>
    <w:rsid w:val="739C06B8"/>
    <w:rsid w:val="74C46EBB"/>
    <w:rsid w:val="76F22A3C"/>
    <w:rsid w:val="77737259"/>
    <w:rsid w:val="777A2396"/>
    <w:rsid w:val="7EF127D4"/>
    <w:rsid w:val="7F885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18"/>
      <w:szCs w:val="18"/>
      <w:lang w:val="zh-CN" w:eastAsia="zh-CN" w:bidi="zh-CN"/>
    </w:rPr>
  </w:style>
  <w:style w:type="table" w:customStyle="1" w:styleId="6">
    <w:name w:val="Table Normal"/>
    <w:unhideWhenUsed/>
    <w:qFormat/>
    <w:uiPriority w:val="2"/>
    <w:tblPr>
      <w:tblCellMar>
        <w:top w:w="0" w:type="dxa"/>
        <w:left w:w="0" w:type="dxa"/>
        <w:bottom w:w="0" w:type="dxa"/>
        <w:right w:w="0" w:type="dxa"/>
      </w:tblCellMar>
    </w:tblPr>
  </w:style>
  <w:style w:type="paragraph" w:customStyle="1" w:styleId="7">
    <w:name w:val="List Paragraph"/>
    <w:basedOn w:val="1"/>
    <w:qFormat/>
    <w:uiPriority w:val="1"/>
    <w:pPr>
      <w:ind w:left="264" w:hanging="183"/>
    </w:pPr>
    <w:rPr>
      <w:rFonts w:ascii="仿宋" w:hAnsi="仿宋" w:eastAsia="仿宋" w:cs="仿宋"/>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 w:type="character" w:customStyle="1" w:styleId="9">
    <w:name w:val="font11"/>
    <w:basedOn w:val="5"/>
    <w:qFormat/>
    <w:uiPriority w:val="0"/>
    <w:rPr>
      <w:rFonts w:hint="eastAsia" w:ascii="宋体" w:hAnsi="宋体" w:eastAsia="宋体" w:cs="宋体"/>
      <w:color w:val="000000"/>
      <w:sz w:val="21"/>
      <w:szCs w:val="21"/>
      <w:u w:val="none"/>
    </w:rPr>
  </w:style>
  <w:style w:type="character" w:customStyle="1" w:styleId="10">
    <w:name w:val="font0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2020-09-11T02:55:00Z</dcterms:created>
  <dc:creator>Administrator</dc:creator>
  <cp:lastModifiedBy>陈裕伟</cp:lastModifiedBy>
  <dcterms:modified xsi:type="dcterms:W3CDTF">2025-05-15T01:59:54Z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WPS 文字</vt:lpwstr>
  </property>
  <property fmtid="{D5CDD505-2E9C-101B-9397-08002B2CF9AE}" pid="4" name="LastSaved">
    <vt:filetime>2020-09-11T00:00:00Z</vt:filetime>
  </property>
  <property fmtid="{D5CDD505-2E9C-101B-9397-08002B2CF9AE}" pid="5" name="KSOProductBuildVer">
    <vt:lpwstr>2052-11.8.2.12085</vt:lpwstr>
  </property>
  <property fmtid="{D5CDD505-2E9C-101B-9397-08002B2CF9AE}" pid="6" name="ICV">
    <vt:lpwstr>24BF0FA4CDF84AF68CCCAA9F9E24F6FC</vt:lpwstr>
  </property>
</Properties>
</file>