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85"/>
        <w:tblW w:w="1521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5"/>
        <w:gridCol w:w="1888"/>
        <w:gridCol w:w="4740"/>
        <w:gridCol w:w="7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15211" w:type="dxa"/>
            <w:gridSpan w:val="4"/>
            <w:noWrap w:val="0"/>
            <w:vAlign w:val="top"/>
          </w:tcPr>
          <w:p>
            <w:pPr>
              <w:keepNext w:val="0"/>
              <w:keepLines w:val="0"/>
              <w:pageBreakBefore w:val="0"/>
              <w:widowControl w:val="0"/>
              <w:spacing w:line="560" w:lineRule="exact"/>
              <w:ind w:firstLine="643" w:firstLineChars="200"/>
              <w:jc w:val="center"/>
              <w:rPr>
                <w:rFonts w:hint="eastAsia" w:ascii="仿宋_GB2312" w:hAnsi="仿宋_GB2312" w:eastAsia="仿宋_GB2312"/>
                <w:sz w:val="32"/>
                <w:szCs w:val="32"/>
              </w:rPr>
            </w:pPr>
            <w:bookmarkStart w:id="0" w:name="_GoBack"/>
            <w:bookmarkEnd w:id="0"/>
            <w:r>
              <w:rPr>
                <w:rFonts w:hint="eastAsia" w:ascii="仿宋_GB2312" w:hAnsi="仿宋_GB2312" w:eastAsia="仿宋_GB2312"/>
                <w:b/>
                <w:bCs/>
                <w:sz w:val="32"/>
                <w:szCs w:val="32"/>
              </w:rPr>
              <w:t>听证意见汇总表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875"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sz w:val="32"/>
                <w:szCs w:val="32"/>
              </w:rPr>
            </w:pPr>
            <w:r>
              <w:rPr>
                <w:rFonts w:hint="eastAsia" w:ascii="仿宋_GB2312" w:hAnsi="仿宋_GB2312" w:eastAsia="仿宋_GB2312"/>
                <w:sz w:val="32"/>
                <w:szCs w:val="32"/>
              </w:rPr>
              <w:t>序号</w:t>
            </w:r>
          </w:p>
        </w:tc>
        <w:tc>
          <w:tcPr>
            <w:tcW w:w="1888"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听证参加人</w:t>
            </w:r>
          </w:p>
        </w:tc>
        <w:tc>
          <w:tcPr>
            <w:tcW w:w="47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sz w:val="32"/>
                <w:szCs w:val="32"/>
              </w:rPr>
            </w:pPr>
            <w:r>
              <w:rPr>
                <w:rFonts w:hint="eastAsia" w:ascii="仿宋_GB2312" w:hAnsi="仿宋_GB2312" w:eastAsia="仿宋_GB2312"/>
                <w:sz w:val="32"/>
                <w:szCs w:val="32"/>
                <w:lang w:eastAsia="zh-CN"/>
              </w:rPr>
              <w:t>听证</w:t>
            </w:r>
            <w:r>
              <w:rPr>
                <w:rFonts w:hint="eastAsia" w:ascii="仿宋_GB2312" w:hAnsi="仿宋_GB2312" w:eastAsia="仿宋_GB2312"/>
                <w:sz w:val="32"/>
                <w:szCs w:val="32"/>
              </w:rPr>
              <w:t>意见</w:t>
            </w:r>
          </w:p>
        </w:tc>
        <w:tc>
          <w:tcPr>
            <w:tcW w:w="7708"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sz w:val="32"/>
                <w:szCs w:val="32"/>
              </w:rPr>
            </w:pPr>
            <w:r>
              <w:rPr>
                <w:rFonts w:hint="eastAsia" w:ascii="仿宋_GB2312" w:hAnsi="仿宋_GB2312" w:eastAsia="仿宋_GB2312"/>
                <w:sz w:val="32"/>
                <w:szCs w:val="32"/>
              </w:rPr>
              <w:t>采纳情况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75" w:type="dxa"/>
            <w:noWrap w:val="0"/>
            <w:vAlign w:val="center"/>
          </w:tcPr>
          <w:p>
            <w:pPr>
              <w:keepNext w:val="0"/>
              <w:keepLines w:val="0"/>
              <w:pageBreakBefore w:val="0"/>
              <w:widowControl w:val="0"/>
              <w:kinsoku/>
              <w:wordWrap/>
              <w:overflowPunct/>
              <w:topLinePunct w:val="0"/>
              <w:autoSpaceDN/>
              <w:bidi w:val="0"/>
              <w:adjustRightInd/>
              <w:snapToGrid/>
              <w:spacing w:line="440" w:lineRule="exact"/>
              <w:ind w:firstLine="0" w:firstLineChars="0"/>
              <w:jc w:val="center"/>
              <w:textAlignment w:val="auto"/>
              <w:rPr>
                <w:rFonts w:hint="eastAsia" w:ascii="仿宋_GB2312" w:hAnsi="仿宋_GB2312" w:eastAsia="仿宋_GB2312"/>
                <w:sz w:val="28"/>
                <w:szCs w:val="28"/>
              </w:rPr>
            </w:pPr>
            <w:r>
              <w:rPr>
                <w:rFonts w:hint="eastAsia" w:ascii="仿宋_GB2312" w:hAnsi="仿宋_GB2312" w:eastAsia="仿宋_GB2312"/>
                <w:sz w:val="28"/>
                <w:szCs w:val="28"/>
              </w:rPr>
              <w:t>1</w:t>
            </w:r>
          </w:p>
        </w:tc>
        <w:tc>
          <w:tcPr>
            <w:tcW w:w="1888" w:type="dxa"/>
            <w:noWrap w:val="0"/>
            <w:vAlign w:val="center"/>
          </w:tcPr>
          <w:p>
            <w:pPr>
              <w:keepNext w:val="0"/>
              <w:keepLines w:val="0"/>
              <w:pageBreakBefore w:val="0"/>
              <w:widowControl w:val="0"/>
              <w:kinsoku/>
              <w:wordWrap/>
              <w:overflowPunct/>
              <w:topLinePunct w:val="0"/>
              <w:autoSpaceDN/>
              <w:bidi w:val="0"/>
              <w:adjustRightInd/>
              <w:snapToGrid/>
              <w:spacing w:line="440" w:lineRule="exact"/>
              <w:ind w:firstLine="0" w:firstLineChars="0"/>
              <w:jc w:val="center"/>
              <w:textAlignment w:val="auto"/>
              <w:rPr>
                <w:rFonts w:ascii="仿宋_GB2312" w:hAnsi="仿宋_GB2312" w:eastAsia="仿宋_GB2312"/>
                <w:sz w:val="24"/>
                <w:szCs w:val="24"/>
                <w:lang w:val="en-US" w:eastAsia="zh-CN"/>
              </w:rPr>
            </w:pPr>
            <w:r>
              <w:rPr>
                <w:rFonts w:hint="eastAsia" w:ascii="仿宋_GB2312" w:hAnsi="仿宋_GB2312" w:eastAsia="仿宋_GB2312"/>
                <w:sz w:val="28"/>
                <w:szCs w:val="28"/>
                <w:lang w:val="en-US" w:eastAsia="zh-CN"/>
              </w:rPr>
              <w:t>陈卓鹏</w:t>
            </w:r>
          </w:p>
        </w:tc>
        <w:tc>
          <w:tcPr>
            <w:tcW w:w="474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rPr>
            </w:pPr>
            <w:r>
              <w:rPr>
                <w:rFonts w:hint="eastAsia" w:ascii="仿宋_GB2312" w:hAnsi="仿宋_GB2312" w:eastAsia="仿宋_GB2312"/>
                <w:sz w:val="24"/>
                <w:szCs w:val="24"/>
                <w:lang w:val="en-US" w:eastAsia="zh-CN"/>
              </w:rPr>
              <w:t>《深圳市光明区处理历史遗留生产经营性违法建筑实施办法》《深圳市光明区处理历史遗留违法私房实施办法》和《实施细则》处理范围是否存在重叠，如何衔接？</w:t>
            </w:r>
          </w:p>
        </w:tc>
        <w:tc>
          <w:tcPr>
            <w:tcW w:w="7708"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_GB2312" w:hAnsi="仿宋_GB2312" w:eastAsia="仿宋_GB2312"/>
                <w:sz w:val="24"/>
                <w:szCs w:val="24"/>
                <w:lang w:val="en-US" w:eastAsia="zh-CN"/>
              </w:rPr>
            </w:pPr>
            <w:r>
              <w:rPr>
                <w:rFonts w:hint="eastAsia" w:ascii="仿宋_GB2312" w:hAnsi="仿宋_GB2312" w:eastAsia="仿宋_GB2312"/>
                <w:kern w:val="2"/>
                <w:sz w:val="24"/>
                <w:szCs w:val="24"/>
                <w:lang w:val="en-US" w:eastAsia="zh-CN" w:bidi="ar-SA"/>
              </w:rPr>
              <w:t>《深圳市光明区处理历史遗留违法私房实施办法》和《实施细则》处理范围不存在重叠，目前《实施细则》只处理产业类和公共配套类的农村城市化历史遗留违法建筑，不处理住宅类（即私房）；《深圳市光明区处理历史遗留生产经营性违法建筑实施办法》和《实施细则》存在重叠，针对建成时间是1999年3月5日之前的范围内建筑可依据《实施细则》第二十六条规定进行，建成时间是1999年3月5日之后2009年6月2日之前的范围内建筑则仅可依据《实施细则》进行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75" w:type="dxa"/>
            <w:noWrap w:val="0"/>
            <w:vAlign w:val="center"/>
          </w:tcPr>
          <w:p>
            <w:pPr>
              <w:keepNext w:val="0"/>
              <w:keepLines w:val="0"/>
              <w:pageBreakBefore w:val="0"/>
              <w:widowControl w:val="0"/>
              <w:kinsoku/>
              <w:wordWrap/>
              <w:overflowPunct/>
              <w:topLinePunct w:val="0"/>
              <w:autoSpaceDN/>
              <w:bidi w:val="0"/>
              <w:adjustRightInd/>
              <w:snapToGrid/>
              <w:spacing w:line="440" w:lineRule="exact"/>
              <w:ind w:firstLine="0" w:firstLineChars="0"/>
              <w:jc w:val="center"/>
              <w:textAlignment w:val="auto"/>
              <w:rPr>
                <w:rFonts w:hint="eastAsia" w:ascii="仿宋_GB2312" w:hAnsi="仿宋_GB2312" w:eastAsia="仿宋_GB2312"/>
                <w:sz w:val="28"/>
                <w:szCs w:val="28"/>
              </w:rPr>
            </w:pPr>
            <w:r>
              <w:rPr>
                <w:rFonts w:hint="eastAsia" w:ascii="仿宋_GB2312" w:hAnsi="仿宋_GB2312" w:eastAsia="仿宋_GB2312"/>
                <w:sz w:val="28"/>
                <w:szCs w:val="28"/>
              </w:rPr>
              <w:t>2</w:t>
            </w:r>
          </w:p>
        </w:tc>
        <w:tc>
          <w:tcPr>
            <w:tcW w:w="1888" w:type="dxa"/>
            <w:noWrap w:val="0"/>
            <w:vAlign w:val="top"/>
          </w:tcPr>
          <w:p>
            <w:pPr>
              <w:keepNext w:val="0"/>
              <w:keepLines w:val="0"/>
              <w:pageBreakBefore w:val="0"/>
              <w:widowControl w:val="0"/>
              <w:kinsoku/>
              <w:wordWrap/>
              <w:overflowPunct/>
              <w:topLinePunct w:val="0"/>
              <w:autoSpaceDN/>
              <w:bidi w:val="0"/>
              <w:adjustRightInd/>
              <w:snapToGrid/>
              <w:spacing w:line="440" w:lineRule="exact"/>
              <w:ind w:firstLine="0" w:firstLineChars="0"/>
              <w:jc w:val="center"/>
              <w:textAlignment w:val="auto"/>
              <w:rPr>
                <w:rFonts w:hint="eastAsia" w:ascii="仿宋_GB2312" w:hAnsi="仿宋_GB2312" w:eastAsia="仿宋_GB2312"/>
                <w:sz w:val="28"/>
                <w:szCs w:val="28"/>
                <w:lang w:val="en-US" w:eastAsia="zh-CN"/>
              </w:rPr>
            </w:pPr>
          </w:p>
          <w:p>
            <w:pPr>
              <w:keepNext w:val="0"/>
              <w:keepLines w:val="0"/>
              <w:pageBreakBefore w:val="0"/>
              <w:widowControl w:val="0"/>
              <w:kinsoku/>
              <w:wordWrap/>
              <w:overflowPunct/>
              <w:topLinePunct w:val="0"/>
              <w:autoSpaceDN/>
              <w:bidi w:val="0"/>
              <w:adjustRightInd/>
              <w:snapToGrid/>
              <w:spacing w:line="440" w:lineRule="exact"/>
              <w:ind w:firstLine="0" w:firstLineChars="0"/>
              <w:jc w:val="center"/>
              <w:textAlignment w:val="auto"/>
              <w:rPr>
                <w:rFonts w:hint="eastAsia" w:ascii="仿宋_GB2312" w:hAnsi="仿宋_GB2312" w:eastAsia="仿宋_GB2312"/>
                <w:sz w:val="28"/>
                <w:szCs w:val="28"/>
                <w:lang w:val="en-US" w:eastAsia="zh-CN"/>
              </w:rPr>
            </w:pPr>
          </w:p>
          <w:p>
            <w:pPr>
              <w:keepNext w:val="0"/>
              <w:keepLines w:val="0"/>
              <w:pageBreakBefore w:val="0"/>
              <w:widowControl w:val="0"/>
              <w:kinsoku/>
              <w:wordWrap/>
              <w:overflowPunct/>
              <w:topLinePunct w:val="0"/>
              <w:autoSpaceDN/>
              <w:bidi w:val="0"/>
              <w:adjustRightInd/>
              <w:snapToGrid/>
              <w:spacing w:line="440" w:lineRule="exact"/>
              <w:ind w:firstLine="0" w:firstLineChars="0"/>
              <w:jc w:val="center"/>
              <w:textAlignment w:val="auto"/>
              <w:rPr>
                <w:rFonts w:hint="eastAsia" w:ascii="仿宋_GB2312" w:hAnsi="仿宋_GB2312" w:eastAsia="仿宋_GB2312"/>
                <w:sz w:val="28"/>
                <w:szCs w:val="28"/>
                <w:lang w:val="en-US" w:eastAsia="zh-CN"/>
              </w:rPr>
            </w:pPr>
          </w:p>
          <w:p>
            <w:pPr>
              <w:keepNext w:val="0"/>
              <w:keepLines w:val="0"/>
              <w:pageBreakBefore w:val="0"/>
              <w:widowControl w:val="0"/>
              <w:kinsoku/>
              <w:wordWrap/>
              <w:overflowPunct/>
              <w:topLinePunct w:val="0"/>
              <w:autoSpaceDN/>
              <w:bidi w:val="0"/>
              <w:adjustRightInd/>
              <w:snapToGrid/>
              <w:spacing w:line="440" w:lineRule="exact"/>
              <w:ind w:firstLine="0" w:firstLineChars="0"/>
              <w:jc w:val="center"/>
              <w:textAlignment w:val="auto"/>
              <w:rPr>
                <w:rFonts w:hint="eastAsia" w:ascii="仿宋_GB2312" w:hAnsi="仿宋_GB2312" w:eastAsia="仿宋_GB2312"/>
                <w:sz w:val="28"/>
                <w:szCs w:val="28"/>
                <w:lang w:val="en-US" w:eastAsia="zh-CN"/>
              </w:rPr>
            </w:pPr>
          </w:p>
          <w:p>
            <w:pPr>
              <w:keepNext w:val="0"/>
              <w:keepLines w:val="0"/>
              <w:pageBreakBefore w:val="0"/>
              <w:widowControl w:val="0"/>
              <w:kinsoku/>
              <w:wordWrap/>
              <w:overflowPunct/>
              <w:topLinePunct w:val="0"/>
              <w:autoSpaceDN/>
              <w:bidi w:val="0"/>
              <w:adjustRightInd/>
              <w:snapToGrid/>
              <w:spacing w:line="440" w:lineRule="exact"/>
              <w:ind w:firstLine="0" w:firstLineChars="0"/>
              <w:jc w:val="center"/>
              <w:textAlignment w:val="auto"/>
              <w:rPr>
                <w:rFonts w:hint="eastAsia" w:ascii="仿宋_GB2312" w:hAnsi="仿宋_GB2312" w:eastAsia="仿宋_GB2312"/>
                <w:sz w:val="28"/>
                <w:szCs w:val="28"/>
                <w:lang w:val="en-US" w:eastAsia="zh-CN"/>
              </w:rPr>
            </w:pPr>
          </w:p>
          <w:p>
            <w:pPr>
              <w:keepNext w:val="0"/>
              <w:keepLines w:val="0"/>
              <w:pageBreakBefore w:val="0"/>
              <w:widowControl w:val="0"/>
              <w:kinsoku/>
              <w:wordWrap/>
              <w:overflowPunct/>
              <w:topLinePunct w:val="0"/>
              <w:autoSpaceDN/>
              <w:bidi w:val="0"/>
              <w:adjustRightInd/>
              <w:snapToGrid/>
              <w:spacing w:line="440" w:lineRule="exact"/>
              <w:ind w:firstLine="0" w:firstLineChars="0"/>
              <w:jc w:val="center"/>
              <w:textAlignment w:val="auto"/>
              <w:rPr>
                <w:rFonts w:ascii="仿宋_GB2312" w:hAnsi="仿宋_GB2312" w:eastAsia="仿宋_GB2312"/>
                <w:sz w:val="24"/>
                <w:szCs w:val="24"/>
                <w:lang w:val="en-US" w:eastAsia="zh-CN"/>
              </w:rPr>
            </w:pPr>
            <w:r>
              <w:rPr>
                <w:rFonts w:hint="eastAsia" w:ascii="仿宋_GB2312" w:hAnsi="仿宋_GB2312" w:eastAsia="仿宋_GB2312"/>
                <w:sz w:val="28"/>
                <w:szCs w:val="28"/>
                <w:lang w:val="en-US" w:eastAsia="zh-CN"/>
              </w:rPr>
              <w:t>麦伟秋</w:t>
            </w:r>
          </w:p>
        </w:tc>
        <w:tc>
          <w:tcPr>
            <w:tcW w:w="4740" w:type="dxa"/>
            <w:noWrap w:val="0"/>
            <w:vAlign w:val="center"/>
          </w:tcPr>
          <w:p>
            <w:pPr>
              <w:pStyle w:val="2"/>
              <w:keepNext w:val="0"/>
              <w:keepLines w:val="0"/>
              <w:pageBreakBefore w:val="0"/>
              <w:widowControl w:val="0"/>
              <w:kinsoku/>
              <w:wordWrap/>
              <w:overflowPunct/>
              <w:topLinePunct w:val="0"/>
              <w:autoSpaceDN/>
              <w:bidi w:val="0"/>
              <w:adjustRightInd/>
              <w:snapToGrid/>
              <w:spacing w:line="420" w:lineRule="exact"/>
              <w:ind w:firstLine="480" w:firstLineChars="200"/>
              <w:jc w:val="both"/>
              <w:textAlignment w:val="auto"/>
              <w:rPr>
                <w:sz w:val="24"/>
                <w:szCs w:val="24"/>
                <w:lang w:val="en-US" w:eastAsia="zh-CN"/>
              </w:rPr>
            </w:pPr>
            <w:r>
              <w:rPr>
                <w:rFonts w:hint="eastAsia" w:ascii="仿宋_GB2312" w:hAnsi="仿宋_GB2312" w:eastAsia="仿宋_GB2312"/>
                <w:kern w:val="2"/>
                <w:sz w:val="24"/>
                <w:szCs w:val="24"/>
                <w:lang w:val="en-US" w:eastAsia="zh-CN" w:bidi="ar-SA"/>
              </w:rPr>
              <w:t>把光明区之前的《深圳市光明区农村城市化历史遗留产业类和公共配套类违法建筑处理实施细则》和这次《实施细则》内容进行对比，发现删除了一个条款，主要是什么内容？</w:t>
            </w:r>
          </w:p>
        </w:tc>
        <w:tc>
          <w:tcPr>
            <w:tcW w:w="7708" w:type="dxa"/>
            <w:noWrap w:val="0"/>
            <w:vAlign w:val="center"/>
          </w:tcPr>
          <w:p>
            <w:pPr>
              <w:keepNext w:val="0"/>
              <w:keepLines w:val="0"/>
              <w:pageBreakBefore w:val="0"/>
              <w:widowControl w:val="0"/>
              <w:kinsoku/>
              <w:wordWrap/>
              <w:overflowPunct/>
              <w:topLinePunct w:val="0"/>
              <w:autoSpaceDN/>
              <w:bidi w:val="0"/>
              <w:adjustRightInd/>
              <w:snapToGrid/>
              <w:spacing w:line="420" w:lineRule="exact"/>
              <w:ind w:firstLine="480" w:firstLineChars="200"/>
              <w:textAlignment w:val="auto"/>
              <w:rPr>
                <w:rFonts w:hint="eastAsia" w:ascii="仿宋_GB2312" w:hAnsi="仿宋_GB2312" w:eastAsia="仿宋_GB2312"/>
                <w:sz w:val="24"/>
                <w:szCs w:val="24"/>
              </w:rPr>
            </w:pPr>
            <w:r>
              <w:rPr>
                <w:rFonts w:hint="eastAsia" w:ascii="仿宋_GB2312" w:hAnsi="仿宋_GB2312" w:eastAsia="仿宋_GB2312"/>
                <w:kern w:val="2"/>
                <w:sz w:val="24"/>
                <w:szCs w:val="24"/>
                <w:lang w:val="en-US" w:eastAsia="zh-CN" w:bidi="ar-SA"/>
              </w:rPr>
              <w:t>原《实施细则》的第二十四条的原文是“历史违建符合本实施细则第二条适用范围，且用地范围涉及国土部门与股份合作公司、用地单位已签订土地征用补偿协议，由用地单位代为实施征地补偿但尚未履行补偿支付手续的情形，经市规划和自然资源局光明管理局对是否存在历史三方征地协议进行核查、街道办事处对补偿情况进行认定后，由所在股份合作公司申报，《申报人与原农村集体经济组织或者其继受单位出具的承诺书》按照《深圳市光明区农村城市化历史遗留产业类和公共配套类违法建筑处理申报资料指引》第九条规定的程序出具”，主要内容是对“三方征地”情况的处理，从2020年施行以来，股份公司申报历史违建的情形中并未包含“三方征地”的情况，且存在缺乏依据因此进行删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0" w:hRule="atLeast"/>
        </w:trPr>
        <w:tc>
          <w:tcPr>
            <w:tcW w:w="875" w:type="dxa"/>
            <w:noWrap w:val="0"/>
            <w:vAlign w:val="center"/>
          </w:tcPr>
          <w:p>
            <w:pPr>
              <w:keepNext w:val="0"/>
              <w:keepLines w:val="0"/>
              <w:pageBreakBefore w:val="0"/>
              <w:widowControl w:val="0"/>
              <w:kinsoku/>
              <w:wordWrap/>
              <w:overflowPunct/>
              <w:topLinePunct w:val="0"/>
              <w:autoSpaceDN/>
              <w:bidi w:val="0"/>
              <w:adjustRightInd/>
              <w:snapToGrid/>
              <w:spacing w:line="440" w:lineRule="exact"/>
              <w:ind w:firstLine="0" w:firstLineChars="0"/>
              <w:jc w:val="center"/>
              <w:textAlignment w:val="auto"/>
              <w:rPr>
                <w:rFonts w:hint="eastAsia" w:ascii="仿宋_GB2312" w:hAnsi="仿宋_GB2312" w:eastAsia="仿宋_GB2312"/>
                <w:sz w:val="28"/>
                <w:szCs w:val="28"/>
              </w:rPr>
            </w:pPr>
            <w:r>
              <w:rPr>
                <w:rFonts w:hint="eastAsia" w:ascii="仿宋_GB2312" w:hAnsi="仿宋_GB2312" w:eastAsia="仿宋_GB2312"/>
                <w:sz w:val="28"/>
                <w:szCs w:val="28"/>
              </w:rPr>
              <w:t>3</w:t>
            </w:r>
          </w:p>
        </w:tc>
        <w:tc>
          <w:tcPr>
            <w:tcW w:w="1888" w:type="dxa"/>
            <w:noWrap w:val="0"/>
            <w:vAlign w:val="center"/>
          </w:tcPr>
          <w:p>
            <w:pPr>
              <w:keepNext w:val="0"/>
              <w:keepLines w:val="0"/>
              <w:pageBreakBefore w:val="0"/>
              <w:widowControl w:val="0"/>
              <w:kinsoku/>
              <w:wordWrap/>
              <w:overflowPunct/>
              <w:topLinePunct w:val="0"/>
              <w:autoSpaceDN/>
              <w:bidi w:val="0"/>
              <w:adjustRightInd/>
              <w:snapToGrid/>
              <w:spacing w:line="440" w:lineRule="exact"/>
              <w:ind w:firstLine="0" w:firstLineChars="0"/>
              <w:jc w:val="center"/>
              <w:textAlignment w:val="auto"/>
              <w:rPr>
                <w:rFonts w:ascii="仿宋_GB2312" w:hAnsi="仿宋_GB2312" w:eastAsia="仿宋_GB2312"/>
                <w:color w:val="000000"/>
                <w:kern w:val="0"/>
                <w:sz w:val="24"/>
                <w:szCs w:val="24"/>
                <w:lang w:val="en-US" w:eastAsia="zh-CN" w:bidi="ar-SA"/>
              </w:rPr>
            </w:pPr>
            <w:r>
              <w:rPr>
                <w:rFonts w:hint="eastAsia" w:ascii="仿宋_GB2312" w:hAnsi="仿宋_GB2312" w:eastAsia="仿宋_GB2312"/>
                <w:color w:val="000000"/>
                <w:kern w:val="0"/>
                <w:sz w:val="28"/>
                <w:szCs w:val="28"/>
                <w:lang w:val="en-US" w:eastAsia="zh-CN" w:bidi="ar-SA"/>
              </w:rPr>
              <w:t>麦燕姻</w:t>
            </w:r>
          </w:p>
        </w:tc>
        <w:tc>
          <w:tcPr>
            <w:tcW w:w="4740" w:type="dxa"/>
            <w:noWrap w:val="0"/>
            <w:vAlign w:val="center"/>
          </w:tcPr>
          <w:p>
            <w:pPr>
              <w:pStyle w:val="182"/>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仿宋_GB2312" w:hAnsi="仿宋_GB2312" w:eastAsia="仿宋_GB2312"/>
                <w:color w:val="000000"/>
                <w:kern w:val="0"/>
                <w:sz w:val="24"/>
                <w:szCs w:val="24"/>
                <w:lang w:val="en-US" w:eastAsia="zh-CN" w:bidi="ar-SA"/>
              </w:rPr>
            </w:pPr>
            <w:r>
              <w:rPr>
                <w:rFonts w:hint="eastAsia" w:ascii="仿宋_GB2312" w:hAnsi="仿宋_GB2312" w:eastAsia="仿宋_GB2312"/>
                <w:color w:val="000000"/>
                <w:kern w:val="0"/>
                <w:sz w:val="24"/>
                <w:szCs w:val="24"/>
                <w:lang w:val="en-US" w:eastAsia="zh-CN" w:bidi="ar-SA"/>
              </w:rPr>
              <w:t>根据《广东省自然资源厅关于明确市县级国土空间总体规划数据库启用条件及使用规则的通知》相关规定，已经没有“土地利用总体规划规定的禁止建设区内”、“禁止建设区”的相关字眼，那么《实施细则》第十条中关于是否“位于土地利用总体规划规定的禁止建设区内”的审查应该进行相应的修改，建议以现行规划使用规则作为核查依据的表述。</w:t>
            </w:r>
          </w:p>
        </w:tc>
        <w:tc>
          <w:tcPr>
            <w:tcW w:w="7708" w:type="dxa"/>
            <w:noWrap w:val="0"/>
            <w:vAlign w:val="center"/>
          </w:tcPr>
          <w:p>
            <w:pPr>
              <w:pStyle w:val="2"/>
              <w:keepNext w:val="0"/>
              <w:keepLines w:val="0"/>
              <w:pageBreakBefore w:val="0"/>
              <w:widowControl w:val="0"/>
              <w:kinsoku/>
              <w:wordWrap/>
              <w:overflowPunct/>
              <w:topLinePunct w:val="0"/>
              <w:autoSpaceDE w:val="0"/>
              <w:autoSpaceDN/>
              <w:bidi w:val="0"/>
              <w:adjustRightInd/>
              <w:snapToGrid/>
              <w:spacing w:line="440" w:lineRule="exact"/>
              <w:ind w:firstLine="480" w:firstLineChars="200"/>
              <w:jc w:val="both"/>
              <w:textAlignment w:val="auto"/>
              <w:rPr>
                <w:sz w:val="24"/>
                <w:szCs w:val="24"/>
                <w:lang w:val="en-US" w:eastAsia="zh-CN"/>
              </w:rPr>
            </w:pPr>
            <w:r>
              <w:rPr>
                <w:rFonts w:hint="eastAsia" w:ascii="仿宋_GB2312" w:hAnsi="仿宋_GB2312" w:eastAsia="仿宋_GB2312"/>
                <w:color w:val="000000"/>
                <w:kern w:val="0"/>
                <w:sz w:val="24"/>
                <w:szCs w:val="24"/>
                <w:lang w:val="en-US" w:eastAsia="zh-CN" w:bidi="ar-SA"/>
              </w:rPr>
              <w:t>针对“禁止建设区”的表述，在修订时也向深圳市规划和自然资源局进行请示和探讨，深圳市规划和自然资源局认为暂未有明确替代“禁止建设区”的用词，建议我们保持与《处理办法》规定的表述一致即可。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0" w:hRule="atLeast"/>
        </w:trPr>
        <w:tc>
          <w:tcPr>
            <w:tcW w:w="875" w:type="dxa"/>
            <w:noWrap w:val="0"/>
            <w:vAlign w:val="center"/>
          </w:tcPr>
          <w:p>
            <w:pPr>
              <w:keepNext w:val="0"/>
              <w:keepLines w:val="0"/>
              <w:pageBreakBefore w:val="0"/>
              <w:widowControl w:val="0"/>
              <w:kinsoku/>
              <w:wordWrap/>
              <w:overflowPunct/>
              <w:topLinePunct w:val="0"/>
              <w:autoSpaceDN/>
              <w:bidi w:val="0"/>
              <w:adjustRightInd/>
              <w:snapToGrid/>
              <w:spacing w:line="440" w:lineRule="exact"/>
              <w:ind w:firstLine="0" w:firstLineChars="0"/>
              <w:jc w:val="center"/>
              <w:textAlignment w:val="auto"/>
              <w:rPr>
                <w:rFonts w:hint="eastAsia" w:ascii="仿宋_GB2312" w:hAnsi="仿宋_GB2312" w:eastAsia="仿宋_GB2312"/>
                <w:sz w:val="28"/>
                <w:szCs w:val="28"/>
              </w:rPr>
            </w:pPr>
            <w:r>
              <w:rPr>
                <w:rFonts w:hint="eastAsia" w:ascii="仿宋_GB2312" w:hAnsi="仿宋_GB2312" w:eastAsia="仿宋_GB2312"/>
                <w:sz w:val="28"/>
                <w:szCs w:val="28"/>
              </w:rPr>
              <w:t>4</w:t>
            </w:r>
          </w:p>
        </w:tc>
        <w:tc>
          <w:tcPr>
            <w:tcW w:w="1888" w:type="dxa"/>
            <w:noWrap w:val="0"/>
            <w:vAlign w:val="center"/>
          </w:tcPr>
          <w:p>
            <w:pPr>
              <w:keepNext w:val="0"/>
              <w:keepLines w:val="0"/>
              <w:pageBreakBefore w:val="0"/>
              <w:widowControl w:val="0"/>
              <w:kinsoku/>
              <w:wordWrap/>
              <w:overflowPunct/>
              <w:topLinePunct w:val="0"/>
              <w:autoSpaceDN/>
              <w:bidi w:val="0"/>
              <w:adjustRightInd/>
              <w:snapToGrid/>
              <w:spacing w:line="440" w:lineRule="exact"/>
              <w:ind w:firstLine="0" w:firstLineChars="0"/>
              <w:jc w:val="center"/>
              <w:textAlignment w:val="auto"/>
              <w:rPr>
                <w:rFonts w:hint="eastAsia" w:ascii="仿宋_GB2312" w:hAnsi="仿宋_GB2312" w:eastAsia="仿宋_GB2312"/>
                <w:sz w:val="28"/>
                <w:szCs w:val="28"/>
                <w:lang w:val="en-US" w:eastAsia="zh-CN"/>
              </w:rPr>
            </w:pPr>
          </w:p>
          <w:p>
            <w:pPr>
              <w:keepNext w:val="0"/>
              <w:keepLines w:val="0"/>
              <w:pageBreakBefore w:val="0"/>
              <w:widowControl w:val="0"/>
              <w:kinsoku/>
              <w:wordWrap/>
              <w:overflowPunct/>
              <w:topLinePunct w:val="0"/>
              <w:autoSpaceDN/>
              <w:bidi w:val="0"/>
              <w:adjustRightInd/>
              <w:snapToGrid/>
              <w:spacing w:line="440" w:lineRule="exact"/>
              <w:ind w:firstLine="0" w:firstLineChars="0"/>
              <w:jc w:val="center"/>
              <w:textAlignment w:val="auto"/>
              <w:rPr>
                <w:rFonts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温影树</w:t>
            </w:r>
          </w:p>
        </w:tc>
        <w:tc>
          <w:tcPr>
            <w:tcW w:w="4740" w:type="dxa"/>
            <w:noWrap w:val="0"/>
            <w:vAlign w:val="center"/>
          </w:tcPr>
          <w:p>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仿宋_GB2312" w:hAnsi="仿宋_GB2312" w:eastAsia="仿宋_GB2312"/>
                <w:sz w:val="24"/>
                <w:szCs w:val="24"/>
              </w:rPr>
            </w:pPr>
            <w:r>
              <w:rPr>
                <w:rFonts w:hint="eastAsia" w:ascii="仿宋_GB2312" w:hAnsi="仿宋_GB2312" w:eastAsia="仿宋_GB2312"/>
                <w:sz w:val="24"/>
                <w:szCs w:val="24"/>
                <w:lang w:eastAsia="zh-CN"/>
              </w:rPr>
              <w:t>建议明确历史违建处理确认后能否进行转让或者抵押之类，转让的时候是否存在限制条件。</w:t>
            </w:r>
          </w:p>
        </w:tc>
        <w:tc>
          <w:tcPr>
            <w:tcW w:w="7708" w:type="dxa"/>
            <w:noWrap w:val="0"/>
            <w:vAlign w:val="center"/>
          </w:tcPr>
          <w:p>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实施细则》第二十一条已经规定了经处理确认为非商品性质是不能进行转让或者抵押的，但经处理确认为商品性质是可以转让的，至于转让的限制的条件则以《深圳市农村城市化历史遗留违法建筑处理证明书》载明为准，例如“产权限整体转让”等。此外，《处理办法》第四十条规定了在国有建设用地使用权及房屋所有权首次登记办理为非商品性质房地产后，按有关程序申请转为商品性质。因此，无需再次明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75" w:type="dxa"/>
            <w:noWrap w:val="0"/>
            <w:vAlign w:val="center"/>
          </w:tcPr>
          <w:p>
            <w:pPr>
              <w:keepNext w:val="0"/>
              <w:keepLines w:val="0"/>
              <w:pageBreakBefore w:val="0"/>
              <w:widowControl w:val="0"/>
              <w:kinsoku/>
              <w:wordWrap/>
              <w:overflowPunct/>
              <w:topLinePunct w:val="0"/>
              <w:autoSpaceDN/>
              <w:bidi w:val="0"/>
              <w:adjustRightInd/>
              <w:snapToGrid/>
              <w:spacing w:line="440" w:lineRule="exact"/>
              <w:ind w:firstLine="0" w:firstLineChars="0"/>
              <w:jc w:val="center"/>
              <w:textAlignment w:val="auto"/>
              <w:rPr>
                <w:rFonts w:hint="eastAsia" w:ascii="仿宋_GB2312" w:hAnsi="仿宋_GB2312" w:eastAsia="仿宋_GB2312"/>
                <w:sz w:val="28"/>
                <w:szCs w:val="28"/>
              </w:rPr>
            </w:pPr>
            <w:r>
              <w:rPr>
                <w:rFonts w:hint="eastAsia" w:ascii="仿宋_GB2312" w:hAnsi="仿宋_GB2312" w:eastAsia="仿宋_GB2312"/>
                <w:sz w:val="28"/>
                <w:szCs w:val="28"/>
              </w:rPr>
              <w:t>5</w:t>
            </w:r>
          </w:p>
        </w:tc>
        <w:tc>
          <w:tcPr>
            <w:tcW w:w="1888" w:type="dxa"/>
            <w:noWrap w:val="0"/>
            <w:vAlign w:val="center"/>
          </w:tcPr>
          <w:p>
            <w:pPr>
              <w:keepNext w:val="0"/>
              <w:keepLines w:val="0"/>
              <w:pageBreakBefore w:val="0"/>
              <w:widowControl w:val="0"/>
              <w:kinsoku/>
              <w:wordWrap/>
              <w:overflowPunct/>
              <w:topLinePunct w:val="0"/>
              <w:autoSpaceDN/>
              <w:bidi w:val="0"/>
              <w:adjustRightInd/>
              <w:snapToGrid/>
              <w:spacing w:line="440" w:lineRule="exact"/>
              <w:ind w:firstLine="0" w:firstLineChars="0"/>
              <w:jc w:val="center"/>
              <w:textAlignment w:val="auto"/>
              <w:rPr>
                <w:rFonts w:ascii="仿宋_GB2312" w:hAnsi="仿宋_GB2312" w:eastAsia="仿宋_GB2312"/>
                <w:sz w:val="24"/>
                <w:szCs w:val="24"/>
                <w:lang w:val="en-US" w:eastAsia="zh-CN"/>
              </w:rPr>
            </w:pPr>
            <w:r>
              <w:rPr>
                <w:rFonts w:hint="eastAsia" w:ascii="仿宋_GB2312" w:hAnsi="仿宋_GB2312" w:eastAsia="仿宋_GB2312"/>
                <w:sz w:val="28"/>
                <w:szCs w:val="28"/>
                <w:lang w:val="en-US" w:eastAsia="zh-CN"/>
              </w:rPr>
              <w:t>曾彦淋</w:t>
            </w:r>
          </w:p>
        </w:tc>
        <w:tc>
          <w:tcPr>
            <w:tcW w:w="4740" w:type="dxa"/>
            <w:noWrap w:val="0"/>
            <w:vAlign w:val="center"/>
          </w:tcPr>
          <w:p>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没有申请处理确权的农村城市化历史遗留违法建筑是否还能继续使用，是否一定会被执法拆除，拆除有没有相应的补偿？</w:t>
            </w:r>
          </w:p>
        </w:tc>
        <w:tc>
          <w:tcPr>
            <w:tcW w:w="7708" w:type="dxa"/>
            <w:noWrap w:val="0"/>
            <w:vAlign w:val="center"/>
          </w:tcPr>
          <w:p>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仿宋_GB2312" w:hAnsi="仿宋_GB2312" w:eastAsia="仿宋_GB2312"/>
                <w:sz w:val="24"/>
                <w:szCs w:val="24"/>
              </w:rPr>
            </w:pPr>
            <w:r>
              <w:rPr>
                <w:rFonts w:hint="eastAsia" w:ascii="仿宋_GB2312" w:hAnsi="仿宋_GB2312" w:eastAsia="仿宋_GB2312"/>
                <w:sz w:val="24"/>
                <w:szCs w:val="24"/>
                <w:lang w:val="en-US" w:eastAsia="zh-CN"/>
              </w:rPr>
              <w:t>一是《深圳市人民代表大会常务委员会关于农村城市化历史遗留违法建筑的处理决定》（下称《决定》）第十一条规定，经普查记录的违法建筑，尚未按照本决定和相关规定处理前，可以允许有条件临时使用。二是在《决定》第九条规定应当依法拆除、第十条规定应当依法没收的情形当中，方才会执法查处。三是存在占用基本农田，占用一级水源保护区用地，占用公共道路、广场、绿地、高压供电走廊、公共设施和公益项目用地，压占地下管线或者其他严重影响城市规划，又不能采取措施加以改正的情形之一的违法建筑，且建设行为发生在土地用途依法确定前的，拆除时是应当予以适当补偿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2" w:hRule="atLeast"/>
        </w:trPr>
        <w:tc>
          <w:tcPr>
            <w:tcW w:w="875" w:type="dxa"/>
            <w:noWrap w:val="0"/>
            <w:vAlign w:val="center"/>
          </w:tcPr>
          <w:p>
            <w:pPr>
              <w:keepNext w:val="0"/>
              <w:keepLines w:val="0"/>
              <w:pageBreakBefore w:val="0"/>
              <w:widowControl w:val="0"/>
              <w:kinsoku/>
              <w:wordWrap/>
              <w:overflowPunct/>
              <w:topLinePunct w:val="0"/>
              <w:autoSpaceDN/>
              <w:bidi w:val="0"/>
              <w:adjustRightInd/>
              <w:snapToGrid/>
              <w:spacing w:line="440" w:lineRule="exact"/>
              <w:ind w:firstLine="0" w:firstLineChars="0"/>
              <w:jc w:val="center"/>
              <w:textAlignment w:val="auto"/>
              <w:rPr>
                <w:rFonts w:hint="eastAsia" w:ascii="仿宋_GB2312" w:hAnsi="仿宋_GB2312" w:eastAsia="仿宋_GB2312"/>
                <w:sz w:val="28"/>
                <w:szCs w:val="28"/>
              </w:rPr>
            </w:pPr>
            <w:r>
              <w:rPr>
                <w:rFonts w:hint="eastAsia" w:ascii="仿宋_GB2312" w:hAnsi="仿宋_GB2312" w:eastAsia="仿宋_GB2312"/>
                <w:sz w:val="28"/>
                <w:szCs w:val="28"/>
              </w:rPr>
              <w:t>6</w:t>
            </w:r>
          </w:p>
        </w:tc>
        <w:tc>
          <w:tcPr>
            <w:tcW w:w="1888" w:type="dxa"/>
            <w:noWrap w:val="0"/>
            <w:vAlign w:val="center"/>
          </w:tcPr>
          <w:p>
            <w:pPr>
              <w:keepNext w:val="0"/>
              <w:keepLines w:val="0"/>
              <w:pageBreakBefore w:val="0"/>
              <w:widowControl w:val="0"/>
              <w:kinsoku/>
              <w:wordWrap/>
              <w:overflowPunct/>
              <w:topLinePunct w:val="0"/>
              <w:autoSpaceDN/>
              <w:bidi w:val="0"/>
              <w:adjustRightInd/>
              <w:snapToGrid/>
              <w:spacing w:line="440" w:lineRule="exact"/>
              <w:ind w:firstLine="0" w:firstLineChars="0"/>
              <w:jc w:val="center"/>
              <w:textAlignment w:val="auto"/>
              <w:rPr>
                <w:rFonts w:ascii="仿宋_GB2312" w:hAnsi="仿宋_GB2312" w:eastAsia="仿宋_GB2312"/>
                <w:sz w:val="24"/>
                <w:szCs w:val="24"/>
                <w:lang w:val="en-US" w:eastAsia="zh-CN"/>
              </w:rPr>
            </w:pPr>
            <w:r>
              <w:rPr>
                <w:rFonts w:hint="eastAsia" w:ascii="仿宋_GB2312" w:hAnsi="仿宋_GB2312" w:eastAsia="仿宋_GB2312"/>
                <w:sz w:val="28"/>
                <w:szCs w:val="28"/>
                <w:lang w:val="en-US" w:eastAsia="zh-CN"/>
              </w:rPr>
              <w:t>吴芷姗</w:t>
            </w:r>
          </w:p>
        </w:tc>
        <w:tc>
          <w:tcPr>
            <w:tcW w:w="4740" w:type="dxa"/>
            <w:noWrap w:val="0"/>
            <w:vAlign w:val="center"/>
          </w:tcPr>
          <w:p>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仿宋_GB2312" w:hAnsi="仿宋_GB2312" w:eastAsia="仿宋_GB2312"/>
                <w:sz w:val="24"/>
                <w:szCs w:val="24"/>
              </w:rPr>
            </w:pPr>
            <w:r>
              <w:rPr>
                <w:rFonts w:hint="eastAsia" w:ascii="仿宋_GB2312" w:hAnsi="仿宋_GB2312" w:eastAsia="仿宋_GB2312"/>
                <w:sz w:val="24"/>
                <w:szCs w:val="24"/>
              </w:rPr>
              <w:t>如果厂房是2008年建成的，当事人将该厂房进行申请历史违建处理，那么处理后土地使用年限从哪天开始计算？</w:t>
            </w:r>
          </w:p>
        </w:tc>
        <w:tc>
          <w:tcPr>
            <w:tcW w:w="7708" w:type="dxa"/>
            <w:noWrap w:val="0"/>
            <w:vAlign w:val="top"/>
          </w:tcPr>
          <w:p>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根据《深圳市人民政府关于农村城市化历史遗留产业类和公共配套类违法建筑的处理办法》第二十四条规定，土地使用期限自2009年6月2日起算，按照法定最高使用年期确定。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5" w:hRule="atLeast"/>
        </w:trPr>
        <w:tc>
          <w:tcPr>
            <w:tcW w:w="875" w:type="dxa"/>
            <w:noWrap w:val="0"/>
            <w:vAlign w:val="center"/>
          </w:tcPr>
          <w:p>
            <w:pPr>
              <w:keepNext w:val="0"/>
              <w:keepLines w:val="0"/>
              <w:pageBreakBefore w:val="0"/>
              <w:widowControl w:val="0"/>
              <w:kinsoku/>
              <w:wordWrap/>
              <w:overflowPunct/>
              <w:topLinePunct w:val="0"/>
              <w:autoSpaceDN/>
              <w:bidi w:val="0"/>
              <w:adjustRightInd/>
              <w:snapToGrid/>
              <w:spacing w:line="440" w:lineRule="exact"/>
              <w:ind w:firstLine="0" w:firstLineChars="0"/>
              <w:jc w:val="center"/>
              <w:textAlignment w:val="auto"/>
              <w:rPr>
                <w:rFonts w:hint="eastAsia" w:ascii="仿宋_GB2312" w:hAnsi="仿宋_GB2312" w:eastAsia="仿宋_GB2312"/>
                <w:sz w:val="28"/>
                <w:szCs w:val="28"/>
              </w:rPr>
            </w:pPr>
            <w:r>
              <w:rPr>
                <w:rFonts w:hint="eastAsia" w:ascii="仿宋_GB2312" w:hAnsi="仿宋_GB2312" w:eastAsia="仿宋_GB2312"/>
                <w:sz w:val="28"/>
                <w:szCs w:val="28"/>
              </w:rPr>
              <w:t>7</w:t>
            </w:r>
          </w:p>
        </w:tc>
        <w:tc>
          <w:tcPr>
            <w:tcW w:w="1888" w:type="dxa"/>
            <w:noWrap w:val="0"/>
            <w:vAlign w:val="center"/>
          </w:tcPr>
          <w:p>
            <w:pPr>
              <w:keepNext w:val="0"/>
              <w:keepLines w:val="0"/>
              <w:pageBreakBefore w:val="0"/>
              <w:widowControl w:val="0"/>
              <w:kinsoku/>
              <w:wordWrap/>
              <w:overflowPunct/>
              <w:topLinePunct w:val="0"/>
              <w:autoSpaceDN/>
              <w:bidi w:val="0"/>
              <w:adjustRightInd/>
              <w:snapToGrid/>
              <w:spacing w:line="440" w:lineRule="exact"/>
              <w:ind w:firstLine="0" w:firstLineChars="0"/>
              <w:jc w:val="center"/>
              <w:textAlignment w:val="auto"/>
              <w:rPr>
                <w:rFonts w:ascii="仿宋_GB2312" w:hAnsi="仿宋_GB2312" w:eastAsia="仿宋_GB2312"/>
                <w:sz w:val="24"/>
                <w:szCs w:val="24"/>
                <w:lang w:val="en-US" w:eastAsia="zh-CN"/>
              </w:rPr>
            </w:pPr>
            <w:r>
              <w:rPr>
                <w:rFonts w:hint="eastAsia" w:ascii="仿宋_GB2312" w:hAnsi="仿宋_GB2312" w:eastAsia="仿宋_GB2312"/>
                <w:sz w:val="28"/>
                <w:szCs w:val="28"/>
                <w:lang w:val="en-US" w:eastAsia="zh-CN"/>
              </w:rPr>
              <w:t>彭奇锋</w:t>
            </w:r>
          </w:p>
        </w:tc>
        <w:tc>
          <w:tcPr>
            <w:tcW w:w="4740" w:type="dxa"/>
            <w:noWrap w:val="0"/>
            <w:vAlign w:val="top"/>
          </w:tcPr>
          <w:p>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仿宋_GB2312" w:hAnsi="仿宋_GB2312" w:eastAsia="仿宋_GB2312"/>
                <w:sz w:val="24"/>
                <w:szCs w:val="24"/>
              </w:rPr>
            </w:pPr>
            <w:r>
              <w:rPr>
                <w:rFonts w:hint="eastAsia" w:ascii="仿宋_GB2312" w:hAnsi="仿宋_GB2312" w:eastAsia="仿宋_GB2312"/>
                <w:sz w:val="24"/>
                <w:szCs w:val="24"/>
                <w:lang w:eastAsia="zh-CN"/>
              </w:rPr>
              <w:t>《实施细则》中仅适用于农村城市化历史遗留产业类违法建筑和农村城市化历史遗留公共配套类违法建筑的安全纳管、处理确认、依法拆除或者没收，建议将农村城市化历史遗留住宅类违法建筑也纳入适用范围。</w:t>
            </w:r>
          </w:p>
        </w:tc>
        <w:tc>
          <w:tcPr>
            <w:tcW w:w="7708" w:type="dxa"/>
            <w:noWrap w:val="0"/>
            <w:vAlign w:val="center"/>
          </w:tcPr>
          <w:p>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实施细则》是为贯彻落实《处理办法》，结合光明区实际情况，明确处理工作中各部门单位的工作职责和理顺处理工作程序所起草的，《处理办法》并未将住宅类纳入适用范围，根据“法的效力位阶”原则，《实施细则》不能突破上位法规定，将农村城市化历史遗留住宅类违法建筑纳入适用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2" w:hRule="atLeast"/>
        </w:trPr>
        <w:tc>
          <w:tcPr>
            <w:tcW w:w="875" w:type="dxa"/>
            <w:noWrap w:val="0"/>
            <w:vAlign w:val="center"/>
          </w:tcPr>
          <w:p>
            <w:pPr>
              <w:keepNext w:val="0"/>
              <w:keepLines w:val="0"/>
              <w:pageBreakBefore w:val="0"/>
              <w:widowControl w:val="0"/>
              <w:kinsoku/>
              <w:wordWrap/>
              <w:overflowPunct/>
              <w:topLinePunct w:val="0"/>
              <w:autoSpaceDN/>
              <w:bidi w:val="0"/>
              <w:adjustRightInd/>
              <w:snapToGrid/>
              <w:spacing w:line="440" w:lineRule="exact"/>
              <w:ind w:firstLine="0" w:firstLineChars="0"/>
              <w:jc w:val="center"/>
              <w:textAlignment w:val="auto"/>
              <w:rPr>
                <w:rFonts w:hint="eastAsia" w:ascii="仿宋_GB2312" w:hAnsi="仿宋_GB2312" w:eastAsia="仿宋_GB2312"/>
                <w:sz w:val="28"/>
                <w:szCs w:val="28"/>
              </w:rPr>
            </w:pPr>
            <w:r>
              <w:rPr>
                <w:rFonts w:hint="eastAsia" w:ascii="仿宋_GB2312" w:hAnsi="仿宋_GB2312" w:eastAsia="仿宋_GB2312"/>
                <w:sz w:val="28"/>
                <w:szCs w:val="28"/>
              </w:rPr>
              <w:t>8</w:t>
            </w:r>
          </w:p>
        </w:tc>
        <w:tc>
          <w:tcPr>
            <w:tcW w:w="1888" w:type="dxa"/>
            <w:noWrap w:val="0"/>
            <w:vAlign w:val="center"/>
          </w:tcPr>
          <w:p>
            <w:pPr>
              <w:keepNext w:val="0"/>
              <w:keepLines w:val="0"/>
              <w:pageBreakBefore w:val="0"/>
              <w:widowControl w:val="0"/>
              <w:kinsoku/>
              <w:wordWrap/>
              <w:overflowPunct/>
              <w:topLinePunct w:val="0"/>
              <w:autoSpaceDN/>
              <w:bidi w:val="0"/>
              <w:adjustRightInd/>
              <w:snapToGrid/>
              <w:spacing w:line="440" w:lineRule="exact"/>
              <w:ind w:firstLine="0" w:firstLineChars="0"/>
              <w:jc w:val="center"/>
              <w:textAlignment w:val="auto"/>
              <w:rPr>
                <w:rFonts w:ascii="仿宋_GB2312" w:hAnsi="仿宋_GB2312" w:eastAsia="仿宋_GB2312"/>
                <w:sz w:val="24"/>
                <w:szCs w:val="24"/>
                <w:lang w:val="en-US" w:eastAsia="zh-CN"/>
              </w:rPr>
            </w:pPr>
            <w:r>
              <w:rPr>
                <w:rFonts w:hint="eastAsia" w:ascii="仿宋_GB2312" w:hAnsi="仿宋_GB2312" w:eastAsia="仿宋_GB2312"/>
                <w:sz w:val="28"/>
                <w:szCs w:val="28"/>
                <w:lang w:val="en-US" w:eastAsia="zh-CN"/>
              </w:rPr>
              <w:t>麦俊雄</w:t>
            </w:r>
          </w:p>
        </w:tc>
        <w:tc>
          <w:tcPr>
            <w:tcW w:w="4740" w:type="dxa"/>
            <w:noWrap w:val="0"/>
            <w:vAlign w:val="center"/>
          </w:tcPr>
          <w:p>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根据《实施细则》第十一条规定，土地使用期限自2009年6月2日起算，按照法定最高使用年期确定。那么这个法定最高使用年限依据是什么呢？</w:t>
            </w:r>
          </w:p>
        </w:tc>
        <w:tc>
          <w:tcPr>
            <w:tcW w:w="7708" w:type="dxa"/>
            <w:noWrap w:val="0"/>
            <w:vAlign w:val="center"/>
          </w:tcPr>
          <w:p>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仿宋_GB2312" w:hAnsi="仿宋_GB2312" w:eastAsia="仿宋_GB2312"/>
                <w:sz w:val="24"/>
                <w:szCs w:val="24"/>
              </w:rPr>
            </w:pPr>
            <w:r>
              <w:rPr>
                <w:rFonts w:hint="eastAsia" w:ascii="仿宋_GB2312" w:hAnsi="仿宋_GB2312" w:eastAsia="仿宋_GB2312"/>
                <w:sz w:val="24"/>
                <w:szCs w:val="24"/>
                <w:lang w:val="en-US" w:eastAsia="zh-CN"/>
              </w:rPr>
              <w:t>主要是依据《中华人民共和国城镇国有土地使用权出让和转让暂行条例》，该条例第十二条规定，土地使用权出让最高年限按下列用途确定：（一）居住用地七十年；（二）工业用地五十年；（三）教育、科技、文化、卫生、体育用地五十年；（四）商业、旅游、娱乐用地四十年；（五）综合或者其他用地五十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7" w:hRule="atLeast"/>
        </w:trPr>
        <w:tc>
          <w:tcPr>
            <w:tcW w:w="875" w:type="dxa"/>
            <w:noWrap w:val="0"/>
            <w:vAlign w:val="center"/>
          </w:tcPr>
          <w:p>
            <w:pPr>
              <w:keepNext w:val="0"/>
              <w:keepLines w:val="0"/>
              <w:pageBreakBefore w:val="0"/>
              <w:widowControl w:val="0"/>
              <w:kinsoku/>
              <w:wordWrap/>
              <w:overflowPunct/>
              <w:topLinePunct w:val="0"/>
              <w:autoSpaceDN/>
              <w:bidi w:val="0"/>
              <w:adjustRightInd/>
              <w:snapToGrid/>
              <w:spacing w:line="440" w:lineRule="exact"/>
              <w:ind w:firstLine="0" w:firstLineChars="0"/>
              <w:jc w:val="center"/>
              <w:textAlignment w:val="auto"/>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9</w:t>
            </w:r>
          </w:p>
        </w:tc>
        <w:tc>
          <w:tcPr>
            <w:tcW w:w="1888" w:type="dxa"/>
            <w:noWrap w:val="0"/>
            <w:vAlign w:val="center"/>
          </w:tcPr>
          <w:p>
            <w:pPr>
              <w:keepNext w:val="0"/>
              <w:keepLines w:val="0"/>
              <w:pageBreakBefore w:val="0"/>
              <w:widowControl w:val="0"/>
              <w:kinsoku/>
              <w:wordWrap/>
              <w:overflowPunct/>
              <w:topLinePunct w:val="0"/>
              <w:autoSpaceDN/>
              <w:bidi w:val="0"/>
              <w:adjustRightInd/>
              <w:snapToGrid/>
              <w:spacing w:line="440" w:lineRule="exact"/>
              <w:ind w:firstLine="0" w:firstLineChars="0"/>
              <w:jc w:val="center"/>
              <w:textAlignment w:val="auto"/>
              <w:rPr>
                <w:rFonts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陈宇彬</w:t>
            </w:r>
          </w:p>
        </w:tc>
        <w:tc>
          <w:tcPr>
            <w:tcW w:w="4740" w:type="dxa"/>
            <w:noWrap w:val="0"/>
            <w:vAlign w:val="center"/>
          </w:tcPr>
          <w:p>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实施细则》规定申报处理的历史违建建筑覆盖率按照公共配套类历史违建不低于20%，产业类历史违建不低于40%，这与《深圳市人民政府关于农村城市化历史遗留产业类和公共配套类违法建筑的处理办法》规定的建筑覆盖率原则上按照公共配套类历史违建50%以上，产业类历史违建60%以上存在冲突。另外《实施细则》属于规范性文件，建议起草部门在申请印发之前做好公平竞争审查和合法性审查工作，确保内容、程序合法后在进行印发。</w:t>
            </w:r>
          </w:p>
        </w:tc>
        <w:tc>
          <w:tcPr>
            <w:tcW w:w="7708" w:type="dxa"/>
            <w:noWrap w:val="0"/>
            <w:vAlign w:val="center"/>
          </w:tcPr>
          <w:p>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仿宋_GB2312" w:hAnsi="仿宋_GB2312" w:eastAsia="仿宋_GB2312"/>
                <w:sz w:val="24"/>
                <w:szCs w:val="24"/>
                <w:lang w:eastAsia="zh-CN"/>
              </w:rPr>
            </w:pPr>
            <w:r>
              <w:rPr>
                <w:rFonts w:hint="eastAsia" w:ascii="仿宋_GB2312" w:hAnsi="仿宋_GB2312" w:eastAsia="仿宋_GB2312"/>
                <w:sz w:val="24"/>
                <w:szCs w:val="24"/>
                <w:lang w:val="en-US" w:eastAsia="zh-CN"/>
              </w:rPr>
              <w:t>虽然根据《深圳市人民政府关于农村城市化历史遗留产业类和公共配套类违法建筑的处理办法》（下称《处理办法》）规定，建筑覆盖率原则上按照公共配套类历史违建50%以上，产业类历史违建60%以上，但是在实际处理中，因学校运动场、工业厂房转运货场及材料成品堆场等现实需要，历史违建建筑覆盖率普遍不高。为解决处理实际需求，根据《处理办法》第四条规定“各区可以结合辖区实际，就历史违建处理工作制定实施细则”，因此光明区、宝安区、龙华区等其他区在出台的实施细则中，公共配套类、产业类历史违建建筑覆盖率普遍按照20%、40%确定。</w:t>
            </w:r>
          </w:p>
        </w:tc>
      </w:tr>
    </w:tbl>
    <w:p>
      <w:pPr>
        <w:tabs>
          <w:tab w:val="left" w:pos="3441"/>
        </w:tabs>
        <w:jc w:val="left"/>
      </w:pPr>
    </w:p>
    <w:sectPr>
      <w:footerReference r:id="rId5" w:type="default"/>
      <w:pgSz w:w="16838" w:h="11906" w:orient="landscape"/>
      <w:pgMar w:top="1800" w:right="1440" w:bottom="1800" w:left="1440" w:header="851" w:footer="992" w:gutter="0"/>
      <w:pgNumType w:fmt="numberInDash"/>
      <w:cols w:space="1701"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characterSpacingControl w:val="compressPunctuation"/>
  <w:footnotePr>
    <w:footnote w:id="0"/>
    <w:footnote w:id="1"/>
  </w:footnotePr>
  <w:endnotePr>
    <w:endnote w:id="0"/>
    <w:endnote w:id="1"/>
  </w:endnotePr>
  <w:compat>
    <w:balanceSingleByteDoubleByteWidth/>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8ADF79"/>
    <w:rsid w:val="35F26FC0"/>
    <w:rsid w:val="3FEA09A8"/>
    <w:rsid w:val="5FFF2D0B"/>
    <w:rsid w:val="FBFE21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86"/>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spacing w:before="0" w:beforeAutospacing="0" w:after="0" w:afterAutospacing="0" w:line="240" w:lineRule="auto"/>
      <w:ind w:left="0" w:right="0" w:firstLine="0"/>
      <w:jc w:val="both"/>
    </w:pPr>
    <w:rPr>
      <w:rFonts w:hint="default" w:ascii="Calibri" w:hAnsi="Calibri" w:eastAsia="宋体" w:cs="Times New Roman"/>
      <w:color w:val="auto"/>
      <w:spacing w:val="0"/>
      <w:kern w:val="2"/>
      <w:position w:val="0"/>
      <w:sz w:val="21"/>
      <w:szCs w:val="22"/>
      <w:lang w:val="en-US" w:eastAsia="zh-CN" w:bidi="ar-SA"/>
    </w:rPr>
  </w:style>
  <w:style w:type="paragraph" w:styleId="3">
    <w:name w:val="heading 1"/>
    <w:basedOn w:val="1"/>
    <w:next w:val="1"/>
    <w:link w:val="32"/>
    <w:qFormat/>
    <w:uiPriority w:val="9"/>
    <w:pPr>
      <w:keepNext/>
      <w:keepLines/>
      <w:overflowPunct w:val="0"/>
      <w:autoSpaceDE w:val="0"/>
      <w:autoSpaceDN w:val="0"/>
      <w:spacing w:before="480" w:after="200"/>
      <w:outlineLvl w:val="0"/>
    </w:pPr>
    <w:rPr>
      <w:rFonts w:ascii="Arial" w:hAnsi="Arial" w:eastAsia="Arial" w:cs="Arial"/>
      <w:sz w:val="40"/>
      <w:szCs w:val="40"/>
    </w:rPr>
  </w:style>
  <w:style w:type="paragraph" w:styleId="4">
    <w:name w:val="heading 2"/>
    <w:basedOn w:val="1"/>
    <w:next w:val="1"/>
    <w:link w:val="33"/>
    <w:unhideWhenUsed/>
    <w:qFormat/>
    <w:uiPriority w:val="9"/>
    <w:pPr>
      <w:keepNext/>
      <w:keepLines/>
      <w:overflowPunct w:val="0"/>
      <w:autoSpaceDE w:val="0"/>
      <w:autoSpaceDN w:val="0"/>
      <w:spacing w:before="360" w:after="200"/>
      <w:outlineLvl w:val="1"/>
    </w:pPr>
    <w:rPr>
      <w:rFonts w:ascii="Arial" w:hAnsi="Arial" w:eastAsia="Arial" w:cs="Arial"/>
      <w:sz w:val="34"/>
    </w:rPr>
  </w:style>
  <w:style w:type="paragraph" w:styleId="5">
    <w:name w:val="heading 3"/>
    <w:basedOn w:val="1"/>
    <w:next w:val="1"/>
    <w:link w:val="34"/>
    <w:unhideWhenUsed/>
    <w:qFormat/>
    <w:uiPriority w:val="9"/>
    <w:pPr>
      <w:keepNext/>
      <w:keepLines/>
      <w:overflowPunct w:val="0"/>
      <w:autoSpaceDE w:val="0"/>
      <w:autoSpaceDN w:val="0"/>
      <w:spacing w:before="320" w:after="200"/>
      <w:outlineLvl w:val="2"/>
    </w:pPr>
    <w:rPr>
      <w:rFonts w:ascii="Arial" w:hAnsi="Arial" w:eastAsia="Arial" w:cs="Arial"/>
      <w:sz w:val="30"/>
      <w:szCs w:val="30"/>
    </w:rPr>
  </w:style>
  <w:style w:type="paragraph" w:styleId="6">
    <w:name w:val="heading 4"/>
    <w:basedOn w:val="1"/>
    <w:next w:val="1"/>
    <w:link w:val="35"/>
    <w:unhideWhenUsed/>
    <w:qFormat/>
    <w:uiPriority w:val="9"/>
    <w:pPr>
      <w:keepNext/>
      <w:keepLines/>
      <w:overflowPunct w:val="0"/>
      <w:autoSpaceDE w:val="0"/>
      <w:autoSpaceDN w:val="0"/>
      <w:spacing w:before="320" w:after="200"/>
      <w:outlineLvl w:val="3"/>
    </w:pPr>
    <w:rPr>
      <w:rFonts w:ascii="Arial" w:hAnsi="Arial" w:eastAsia="Arial" w:cs="Arial"/>
      <w:b/>
      <w:bCs/>
      <w:sz w:val="26"/>
      <w:szCs w:val="26"/>
    </w:rPr>
  </w:style>
  <w:style w:type="paragraph" w:styleId="7">
    <w:name w:val="heading 5"/>
    <w:basedOn w:val="1"/>
    <w:next w:val="1"/>
    <w:link w:val="36"/>
    <w:unhideWhenUsed/>
    <w:qFormat/>
    <w:uiPriority w:val="9"/>
    <w:pPr>
      <w:keepNext/>
      <w:keepLines/>
      <w:overflowPunct w:val="0"/>
      <w:autoSpaceDE w:val="0"/>
      <w:autoSpaceDN w:val="0"/>
      <w:spacing w:before="320" w:after="200"/>
      <w:outlineLvl w:val="4"/>
    </w:pPr>
    <w:rPr>
      <w:rFonts w:ascii="Arial" w:hAnsi="Arial" w:eastAsia="Arial" w:cs="Arial"/>
      <w:b/>
      <w:bCs/>
      <w:sz w:val="24"/>
      <w:szCs w:val="24"/>
    </w:rPr>
  </w:style>
  <w:style w:type="paragraph" w:styleId="8">
    <w:name w:val="heading 6"/>
    <w:basedOn w:val="1"/>
    <w:next w:val="1"/>
    <w:link w:val="37"/>
    <w:unhideWhenUsed/>
    <w:qFormat/>
    <w:uiPriority w:val="9"/>
    <w:pPr>
      <w:keepNext/>
      <w:keepLines/>
      <w:overflowPunct w:val="0"/>
      <w:autoSpaceDE w:val="0"/>
      <w:autoSpaceDN w:val="0"/>
      <w:spacing w:before="320" w:after="200"/>
      <w:outlineLvl w:val="5"/>
    </w:pPr>
    <w:rPr>
      <w:rFonts w:ascii="Arial" w:hAnsi="Arial" w:eastAsia="Arial" w:cs="Arial"/>
      <w:b/>
      <w:bCs/>
      <w:sz w:val="22"/>
      <w:szCs w:val="22"/>
    </w:rPr>
  </w:style>
  <w:style w:type="paragraph" w:styleId="9">
    <w:name w:val="heading 7"/>
    <w:basedOn w:val="1"/>
    <w:next w:val="1"/>
    <w:link w:val="38"/>
    <w:unhideWhenUsed/>
    <w:qFormat/>
    <w:uiPriority w:val="9"/>
    <w:pPr>
      <w:keepNext/>
      <w:keepLines/>
      <w:overflowPunct w:val="0"/>
      <w:autoSpaceDE w:val="0"/>
      <w:autoSpaceDN w:val="0"/>
      <w:spacing w:before="320" w:after="200"/>
      <w:outlineLvl w:val="6"/>
    </w:pPr>
    <w:rPr>
      <w:rFonts w:ascii="Arial" w:hAnsi="Arial" w:eastAsia="Arial" w:cs="Arial"/>
      <w:b/>
      <w:bCs/>
      <w:i/>
      <w:iCs/>
      <w:sz w:val="22"/>
      <w:szCs w:val="22"/>
    </w:rPr>
  </w:style>
  <w:style w:type="paragraph" w:styleId="10">
    <w:name w:val="heading 8"/>
    <w:basedOn w:val="1"/>
    <w:next w:val="1"/>
    <w:link w:val="39"/>
    <w:unhideWhenUsed/>
    <w:qFormat/>
    <w:uiPriority w:val="9"/>
    <w:pPr>
      <w:keepNext/>
      <w:keepLines/>
      <w:overflowPunct w:val="0"/>
      <w:autoSpaceDE w:val="0"/>
      <w:autoSpaceDN w:val="0"/>
      <w:spacing w:before="320" w:after="200"/>
      <w:outlineLvl w:val="7"/>
    </w:pPr>
    <w:rPr>
      <w:rFonts w:ascii="Arial" w:hAnsi="Arial" w:eastAsia="Arial" w:cs="Arial"/>
      <w:i/>
      <w:iCs/>
      <w:sz w:val="22"/>
      <w:szCs w:val="22"/>
    </w:rPr>
  </w:style>
  <w:style w:type="paragraph" w:styleId="11">
    <w:name w:val="heading 9"/>
    <w:basedOn w:val="1"/>
    <w:next w:val="1"/>
    <w:link w:val="40"/>
    <w:unhideWhenUsed/>
    <w:qFormat/>
    <w:uiPriority w:val="9"/>
    <w:pPr>
      <w:keepNext/>
      <w:keepLines/>
      <w:overflowPunct w:val="0"/>
      <w:autoSpaceDE w:val="0"/>
      <w:autoSpaceDN w:val="0"/>
      <w:spacing w:before="320" w:after="200"/>
      <w:outlineLvl w:val="8"/>
    </w:pPr>
    <w:rPr>
      <w:rFonts w:ascii="Arial" w:hAnsi="Arial" w:eastAsia="Arial" w:cs="Arial"/>
      <w:i/>
      <w:iCs/>
      <w:sz w:val="21"/>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2">
    <w:name w:val="WW-Default"/>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autoSpaceDE w:val="0"/>
      <w:spacing w:before="0" w:beforeAutospacing="0" w:after="0" w:afterAutospacing="0" w:line="240" w:lineRule="auto"/>
      <w:ind w:left="0" w:right="0" w:firstLine="0"/>
      <w:jc w:val="left"/>
    </w:pPr>
    <w:rPr>
      <w:rFonts w:hint="default" w:ascii="Times New Roman" w:hAnsi="Times New Roman" w:eastAsia="宋体" w:cs="Times New Roman"/>
      <w:color w:val="000000"/>
      <w:spacing w:val="0"/>
      <w:position w:val="0"/>
      <w:sz w:val="24"/>
      <w:szCs w:val="24"/>
      <w:lang w:val="en-US" w:eastAsia="zh-CN" w:bidi="ar-SA"/>
    </w:rPr>
  </w:style>
  <w:style w:type="paragraph" w:styleId="12">
    <w:name w:val="toc 7"/>
    <w:basedOn w:val="1"/>
    <w:next w:val="1"/>
    <w:unhideWhenUsed/>
    <w:qFormat/>
    <w:uiPriority w:val="39"/>
    <w:pPr>
      <w:overflowPunct w:val="0"/>
      <w:autoSpaceDE w:val="0"/>
      <w:autoSpaceDN w:val="0"/>
      <w:spacing w:after="57"/>
      <w:ind w:left="1701" w:right="0" w:firstLine="0"/>
    </w:pPr>
  </w:style>
  <w:style w:type="paragraph" w:styleId="13">
    <w:name w:val="caption"/>
    <w:basedOn w:val="1"/>
    <w:next w:val="1"/>
    <w:semiHidden/>
    <w:unhideWhenUsed/>
    <w:qFormat/>
    <w:uiPriority w:val="35"/>
    <w:pPr>
      <w:overflowPunct w:val="0"/>
      <w:autoSpaceDE w:val="0"/>
      <w:autoSpaceDN w:val="0"/>
      <w:spacing w:line="276" w:lineRule="auto"/>
    </w:pPr>
    <w:rPr>
      <w:b/>
      <w:bCs/>
      <w:color w:val="4F81BD" w:themeColor="accent1"/>
      <w:sz w:val="18"/>
      <w:szCs w:val="18"/>
      <w14:textFill>
        <w14:solidFill>
          <w14:schemeClr w14:val="accent1"/>
        </w14:solidFill>
      </w14:textFill>
    </w:rPr>
  </w:style>
  <w:style w:type="paragraph" w:styleId="14">
    <w:name w:val="toc 5"/>
    <w:basedOn w:val="1"/>
    <w:next w:val="1"/>
    <w:unhideWhenUsed/>
    <w:qFormat/>
    <w:uiPriority w:val="39"/>
    <w:pPr>
      <w:overflowPunct w:val="0"/>
      <w:autoSpaceDE w:val="0"/>
      <w:autoSpaceDN w:val="0"/>
      <w:spacing w:after="57"/>
      <w:ind w:left="1134" w:right="0" w:firstLine="0"/>
    </w:pPr>
  </w:style>
  <w:style w:type="paragraph" w:styleId="15">
    <w:name w:val="toc 3"/>
    <w:basedOn w:val="1"/>
    <w:next w:val="1"/>
    <w:unhideWhenUsed/>
    <w:qFormat/>
    <w:uiPriority w:val="39"/>
    <w:pPr>
      <w:overflowPunct w:val="0"/>
      <w:autoSpaceDE w:val="0"/>
      <w:autoSpaceDN w:val="0"/>
      <w:spacing w:after="57"/>
      <w:ind w:left="567" w:right="0" w:firstLine="0"/>
    </w:pPr>
  </w:style>
  <w:style w:type="paragraph" w:styleId="16">
    <w:name w:val="toc 8"/>
    <w:basedOn w:val="1"/>
    <w:next w:val="1"/>
    <w:unhideWhenUsed/>
    <w:qFormat/>
    <w:uiPriority w:val="39"/>
    <w:pPr>
      <w:overflowPunct w:val="0"/>
      <w:autoSpaceDE w:val="0"/>
      <w:autoSpaceDN w:val="0"/>
      <w:spacing w:after="57"/>
      <w:ind w:left="1984" w:right="0" w:firstLine="0"/>
    </w:pPr>
  </w:style>
  <w:style w:type="paragraph" w:styleId="17">
    <w:name w:val="footer"/>
    <w:basedOn w:val="1"/>
    <w:link w:val="51"/>
    <w:unhideWhenUsed/>
    <w:qFormat/>
    <w:uiPriority w:val="99"/>
    <w:pPr>
      <w:tabs>
        <w:tab w:val="center" w:pos="7143"/>
        <w:tab w:val="right" w:pos="14287"/>
      </w:tabs>
      <w:overflowPunct w:val="0"/>
      <w:autoSpaceDE w:val="0"/>
      <w:autoSpaceDN w:val="0"/>
      <w:spacing w:after="0" w:line="240" w:lineRule="auto"/>
    </w:pPr>
  </w:style>
  <w:style w:type="paragraph" w:styleId="18">
    <w:name w:val="header"/>
    <w:basedOn w:val="1"/>
    <w:link w:val="49"/>
    <w:unhideWhenUsed/>
    <w:qFormat/>
    <w:uiPriority w:val="99"/>
    <w:pPr>
      <w:tabs>
        <w:tab w:val="center" w:pos="7143"/>
        <w:tab w:val="right" w:pos="14287"/>
      </w:tabs>
      <w:overflowPunct w:val="0"/>
      <w:autoSpaceDE w:val="0"/>
      <w:autoSpaceDN w:val="0"/>
      <w:spacing w:after="0" w:line="240" w:lineRule="auto"/>
    </w:pPr>
  </w:style>
  <w:style w:type="paragraph" w:styleId="19">
    <w:name w:val="toc 1"/>
    <w:basedOn w:val="1"/>
    <w:next w:val="1"/>
    <w:unhideWhenUsed/>
    <w:qFormat/>
    <w:uiPriority w:val="39"/>
    <w:pPr>
      <w:overflowPunct w:val="0"/>
      <w:autoSpaceDE w:val="0"/>
      <w:autoSpaceDN w:val="0"/>
      <w:spacing w:after="57"/>
      <w:ind w:left="0" w:right="0" w:firstLine="0"/>
    </w:pPr>
  </w:style>
  <w:style w:type="paragraph" w:styleId="20">
    <w:name w:val="toc 4"/>
    <w:basedOn w:val="1"/>
    <w:next w:val="1"/>
    <w:unhideWhenUsed/>
    <w:qFormat/>
    <w:uiPriority w:val="39"/>
    <w:pPr>
      <w:overflowPunct w:val="0"/>
      <w:autoSpaceDE w:val="0"/>
      <w:autoSpaceDN w:val="0"/>
      <w:spacing w:after="57"/>
      <w:ind w:left="850" w:right="0" w:firstLine="0"/>
    </w:pPr>
  </w:style>
  <w:style w:type="paragraph" w:styleId="21">
    <w:name w:val="Subtitle"/>
    <w:basedOn w:val="1"/>
    <w:next w:val="1"/>
    <w:link w:val="44"/>
    <w:qFormat/>
    <w:uiPriority w:val="11"/>
    <w:pPr>
      <w:overflowPunct w:val="0"/>
      <w:autoSpaceDE w:val="0"/>
      <w:autoSpaceDN w:val="0"/>
      <w:spacing w:before="200" w:after="200"/>
    </w:pPr>
    <w:rPr>
      <w:sz w:val="24"/>
      <w:szCs w:val="24"/>
    </w:rPr>
  </w:style>
  <w:style w:type="paragraph" w:styleId="22">
    <w:name w:val="footnote text"/>
    <w:basedOn w:val="1"/>
    <w:link w:val="177"/>
    <w:semiHidden/>
    <w:unhideWhenUsed/>
    <w:qFormat/>
    <w:uiPriority w:val="99"/>
    <w:pPr>
      <w:overflowPunct w:val="0"/>
      <w:autoSpaceDE w:val="0"/>
      <w:autoSpaceDN w:val="0"/>
      <w:spacing w:after="40" w:line="240" w:lineRule="auto"/>
    </w:pPr>
    <w:rPr>
      <w:sz w:val="18"/>
    </w:rPr>
  </w:style>
  <w:style w:type="paragraph" w:styleId="23">
    <w:name w:val="toc 6"/>
    <w:basedOn w:val="1"/>
    <w:next w:val="1"/>
    <w:unhideWhenUsed/>
    <w:qFormat/>
    <w:uiPriority w:val="39"/>
    <w:pPr>
      <w:overflowPunct w:val="0"/>
      <w:autoSpaceDE w:val="0"/>
      <w:autoSpaceDN w:val="0"/>
      <w:spacing w:after="57"/>
      <w:ind w:left="1417" w:right="0" w:firstLine="0"/>
    </w:pPr>
  </w:style>
  <w:style w:type="paragraph" w:styleId="24">
    <w:name w:val="toc 2"/>
    <w:basedOn w:val="1"/>
    <w:next w:val="1"/>
    <w:unhideWhenUsed/>
    <w:qFormat/>
    <w:uiPriority w:val="39"/>
    <w:pPr>
      <w:overflowPunct w:val="0"/>
      <w:autoSpaceDE w:val="0"/>
      <w:autoSpaceDN w:val="0"/>
      <w:spacing w:after="57"/>
      <w:ind w:left="283" w:right="0" w:firstLine="0"/>
    </w:pPr>
  </w:style>
  <w:style w:type="paragraph" w:styleId="25">
    <w:name w:val="toc 9"/>
    <w:basedOn w:val="1"/>
    <w:next w:val="1"/>
    <w:unhideWhenUsed/>
    <w:qFormat/>
    <w:uiPriority w:val="39"/>
    <w:pPr>
      <w:overflowPunct w:val="0"/>
      <w:autoSpaceDE w:val="0"/>
      <w:autoSpaceDN w:val="0"/>
      <w:spacing w:after="57"/>
      <w:ind w:left="2268" w:right="0" w:firstLine="0"/>
    </w:pPr>
  </w:style>
  <w:style w:type="paragraph" w:styleId="26">
    <w:name w:val="Title"/>
    <w:basedOn w:val="1"/>
    <w:next w:val="1"/>
    <w:link w:val="43"/>
    <w:qFormat/>
    <w:uiPriority w:val="10"/>
    <w:pPr>
      <w:overflowPunct w:val="0"/>
      <w:autoSpaceDE w:val="0"/>
      <w:autoSpaceDN w:val="0"/>
      <w:spacing w:before="300" w:after="200"/>
      <w:contextualSpacing/>
    </w:pPr>
    <w:rPr>
      <w:sz w:val="48"/>
      <w:szCs w:val="48"/>
    </w:rPr>
  </w:style>
  <w:style w:type="table" w:styleId="28">
    <w:name w:val="Table Grid"/>
    <w:basedOn w:val="27"/>
    <w:qFormat/>
    <w:uiPriority w:val="59"/>
    <w:pPr>
      <w:overflowPunct w:val="0"/>
      <w:autoSpaceDE w:val="0"/>
      <w:autoSpaceDN w:val="0"/>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0">
    <w:name w:val="Hyperlink"/>
    <w:unhideWhenUsed/>
    <w:qFormat/>
    <w:uiPriority w:val="99"/>
    <w:rPr>
      <w:color w:val="0000FF" w:themeColor="hyperlink"/>
      <w:u w:val="single"/>
      <w14:textFill>
        <w14:solidFill>
          <w14:schemeClr w14:val="hlink"/>
        </w14:solidFill>
      </w14:textFill>
    </w:rPr>
  </w:style>
  <w:style w:type="character" w:styleId="31">
    <w:name w:val="footnote reference"/>
    <w:basedOn w:val="29"/>
    <w:unhideWhenUsed/>
    <w:qFormat/>
    <w:uiPriority w:val="99"/>
    <w:rPr>
      <w:vertAlign w:val="superscript"/>
    </w:rPr>
  </w:style>
  <w:style w:type="character" w:customStyle="1" w:styleId="32">
    <w:name w:val="Heading 1 Char"/>
    <w:basedOn w:val="29"/>
    <w:link w:val="3"/>
    <w:qFormat/>
    <w:uiPriority w:val="9"/>
    <w:rPr>
      <w:rFonts w:ascii="Arial" w:hAnsi="Arial" w:eastAsia="Arial" w:cs="Arial"/>
      <w:sz w:val="40"/>
      <w:szCs w:val="40"/>
    </w:rPr>
  </w:style>
  <w:style w:type="character" w:customStyle="1" w:styleId="33">
    <w:name w:val="Heading 2 Char"/>
    <w:basedOn w:val="29"/>
    <w:link w:val="4"/>
    <w:qFormat/>
    <w:uiPriority w:val="9"/>
    <w:rPr>
      <w:rFonts w:ascii="Arial" w:hAnsi="Arial" w:eastAsia="Arial" w:cs="Arial"/>
      <w:sz w:val="34"/>
    </w:rPr>
  </w:style>
  <w:style w:type="character" w:customStyle="1" w:styleId="34">
    <w:name w:val="Heading 3 Char"/>
    <w:basedOn w:val="29"/>
    <w:link w:val="5"/>
    <w:qFormat/>
    <w:uiPriority w:val="9"/>
    <w:rPr>
      <w:rFonts w:ascii="Arial" w:hAnsi="Arial" w:eastAsia="Arial" w:cs="Arial"/>
      <w:sz w:val="30"/>
      <w:szCs w:val="30"/>
    </w:rPr>
  </w:style>
  <w:style w:type="character" w:customStyle="1" w:styleId="35">
    <w:name w:val="Heading 4 Char"/>
    <w:basedOn w:val="29"/>
    <w:link w:val="6"/>
    <w:qFormat/>
    <w:uiPriority w:val="9"/>
    <w:rPr>
      <w:rFonts w:ascii="Arial" w:hAnsi="Arial" w:eastAsia="Arial" w:cs="Arial"/>
      <w:b/>
      <w:bCs/>
      <w:sz w:val="26"/>
      <w:szCs w:val="26"/>
    </w:rPr>
  </w:style>
  <w:style w:type="character" w:customStyle="1" w:styleId="36">
    <w:name w:val="Heading 5 Char"/>
    <w:basedOn w:val="29"/>
    <w:link w:val="7"/>
    <w:qFormat/>
    <w:uiPriority w:val="9"/>
    <w:rPr>
      <w:rFonts w:ascii="Arial" w:hAnsi="Arial" w:eastAsia="Arial" w:cs="Arial"/>
      <w:b/>
      <w:bCs/>
      <w:sz w:val="24"/>
      <w:szCs w:val="24"/>
    </w:rPr>
  </w:style>
  <w:style w:type="character" w:customStyle="1" w:styleId="37">
    <w:name w:val="Heading 6 Char"/>
    <w:basedOn w:val="29"/>
    <w:link w:val="8"/>
    <w:qFormat/>
    <w:uiPriority w:val="9"/>
    <w:rPr>
      <w:rFonts w:ascii="Arial" w:hAnsi="Arial" w:eastAsia="Arial" w:cs="Arial"/>
      <w:b/>
      <w:bCs/>
      <w:sz w:val="22"/>
      <w:szCs w:val="22"/>
    </w:rPr>
  </w:style>
  <w:style w:type="character" w:customStyle="1" w:styleId="38">
    <w:name w:val="Heading 7 Char"/>
    <w:basedOn w:val="29"/>
    <w:link w:val="9"/>
    <w:qFormat/>
    <w:uiPriority w:val="9"/>
    <w:rPr>
      <w:rFonts w:ascii="Arial" w:hAnsi="Arial" w:eastAsia="Arial" w:cs="Arial"/>
      <w:b/>
      <w:bCs/>
      <w:i/>
      <w:iCs/>
      <w:sz w:val="22"/>
      <w:szCs w:val="22"/>
    </w:rPr>
  </w:style>
  <w:style w:type="character" w:customStyle="1" w:styleId="39">
    <w:name w:val="Heading 8 Char"/>
    <w:basedOn w:val="29"/>
    <w:link w:val="10"/>
    <w:qFormat/>
    <w:uiPriority w:val="9"/>
    <w:rPr>
      <w:rFonts w:ascii="Arial" w:hAnsi="Arial" w:eastAsia="Arial" w:cs="Arial"/>
      <w:i/>
      <w:iCs/>
      <w:sz w:val="22"/>
      <w:szCs w:val="22"/>
    </w:rPr>
  </w:style>
  <w:style w:type="character" w:customStyle="1" w:styleId="40">
    <w:name w:val="Heading 9 Char"/>
    <w:basedOn w:val="29"/>
    <w:link w:val="11"/>
    <w:qFormat/>
    <w:uiPriority w:val="9"/>
    <w:rPr>
      <w:rFonts w:ascii="Arial" w:hAnsi="Arial" w:eastAsia="Arial" w:cs="Arial"/>
      <w:i/>
      <w:iCs/>
      <w:sz w:val="21"/>
      <w:szCs w:val="21"/>
    </w:rPr>
  </w:style>
  <w:style w:type="paragraph" w:styleId="41">
    <w:name w:val="List Paragraph"/>
    <w:basedOn w:val="1"/>
    <w:qFormat/>
    <w:uiPriority w:val="34"/>
    <w:pPr>
      <w:overflowPunct w:val="0"/>
      <w:autoSpaceDE w:val="0"/>
      <w:autoSpaceDN w:val="0"/>
      <w:ind w:left="720"/>
      <w:contextualSpacing/>
    </w:pPr>
  </w:style>
  <w:style w:type="paragraph" w:styleId="42">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color="FFFFFF"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character" w:customStyle="1" w:styleId="43">
    <w:name w:val="Title Char"/>
    <w:basedOn w:val="29"/>
    <w:link w:val="26"/>
    <w:qFormat/>
    <w:uiPriority w:val="10"/>
    <w:rPr>
      <w:sz w:val="48"/>
      <w:szCs w:val="48"/>
    </w:rPr>
  </w:style>
  <w:style w:type="character" w:customStyle="1" w:styleId="44">
    <w:name w:val="Subtitle Char"/>
    <w:basedOn w:val="29"/>
    <w:link w:val="21"/>
    <w:qFormat/>
    <w:uiPriority w:val="11"/>
    <w:rPr>
      <w:sz w:val="24"/>
      <w:szCs w:val="24"/>
    </w:rPr>
  </w:style>
  <w:style w:type="paragraph" w:styleId="45">
    <w:name w:val="Quote"/>
    <w:basedOn w:val="1"/>
    <w:next w:val="1"/>
    <w:link w:val="46"/>
    <w:qFormat/>
    <w:uiPriority w:val="29"/>
    <w:pPr>
      <w:overflowPunct w:val="0"/>
      <w:autoSpaceDE w:val="0"/>
      <w:autoSpaceDN w:val="0"/>
      <w:ind w:left="720" w:right="720"/>
    </w:pPr>
    <w:rPr>
      <w:i/>
    </w:rPr>
  </w:style>
  <w:style w:type="character" w:customStyle="1" w:styleId="46">
    <w:name w:val="Quote Char"/>
    <w:link w:val="45"/>
    <w:qFormat/>
    <w:uiPriority w:val="29"/>
    <w:rPr>
      <w:i/>
    </w:rPr>
  </w:style>
  <w:style w:type="paragraph" w:styleId="47">
    <w:name w:val="Intense Quote"/>
    <w:basedOn w:val="1"/>
    <w:next w:val="1"/>
    <w:link w:val="48"/>
    <w:qFormat/>
    <w:uiPriority w:val="30"/>
    <w:pPr>
      <w:pBdr>
        <w:top w:val="single" w:color="FFFFFF" w:sz="4" w:space="5"/>
        <w:left w:val="single" w:color="FFFFFF" w:sz="4" w:space="10"/>
        <w:bottom w:val="single" w:color="FFFFFF" w:sz="4" w:space="5"/>
        <w:right w:val="single" w:color="FFFFFF" w:sz="4" w:space="10"/>
      </w:pBdr>
      <w:shd w:val="clear" w:color="auto" w:fill="F2F2F2"/>
      <w:overflowPunct w:val="0"/>
      <w:autoSpaceDE w:val="0"/>
      <w:autoSpaceDN w:val="0"/>
      <w:ind w:left="720" w:right="720"/>
      <w:contextualSpacing w:val="0"/>
    </w:pPr>
    <w:rPr>
      <w:i/>
    </w:rPr>
  </w:style>
  <w:style w:type="character" w:customStyle="1" w:styleId="48">
    <w:name w:val="Intense Quote Char"/>
    <w:link w:val="47"/>
    <w:qFormat/>
    <w:uiPriority w:val="30"/>
    <w:rPr>
      <w:i/>
    </w:rPr>
  </w:style>
  <w:style w:type="character" w:customStyle="1" w:styleId="49">
    <w:name w:val="Header Char"/>
    <w:basedOn w:val="29"/>
    <w:link w:val="18"/>
    <w:qFormat/>
    <w:uiPriority w:val="99"/>
  </w:style>
  <w:style w:type="character" w:customStyle="1" w:styleId="50">
    <w:name w:val="Footer Char"/>
    <w:basedOn w:val="29"/>
    <w:link w:val="17"/>
    <w:qFormat/>
    <w:uiPriority w:val="99"/>
  </w:style>
  <w:style w:type="character" w:customStyle="1" w:styleId="51">
    <w:name w:val="Caption Char"/>
    <w:link w:val="17"/>
    <w:qFormat/>
    <w:uiPriority w:val="99"/>
  </w:style>
  <w:style w:type="table" w:customStyle="1" w:styleId="52">
    <w:name w:val="Table Grid Light"/>
    <w:basedOn w:val="27"/>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3">
    <w:name w:val="Plain Table 1"/>
    <w:basedOn w:val="27"/>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tblStylePr w:type="neCell"/>
    <w:tblStylePr w:type="nwCell"/>
    <w:tblStylePr w:type="seCell"/>
    <w:tblStylePr w:type="swCell"/>
  </w:style>
  <w:style w:type="table" w:customStyle="1" w:styleId="54">
    <w:name w:val="Plain Table 2"/>
    <w:basedOn w:val="27"/>
    <w:qFormat/>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5">
    <w:name w:val="Plain Table 3"/>
    <w:basedOn w:val="27"/>
    <w:qFormat/>
    <w:uiPriority w:val="99"/>
    <w:pPr>
      <w:overflowPunct w:val="0"/>
      <w:autoSpaceDE w:val="0"/>
      <w:autoSpaceDN w:val="0"/>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6">
    <w:name w:val="Plain Table 4"/>
    <w:basedOn w:val="27"/>
    <w:qFormat/>
    <w:uiPriority w:val="99"/>
    <w:pPr>
      <w:overflowPunct w:val="0"/>
      <w:autoSpaceDE w:val="0"/>
      <w:autoSpaceDN w:val="0"/>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7">
    <w:name w:val="Plain Table 5"/>
    <w:basedOn w:val="27"/>
    <w:qFormat/>
    <w:uiPriority w:val="99"/>
    <w:pPr>
      <w:overflowPunct w:val="0"/>
      <w:autoSpaceDE w:val="0"/>
      <w:autoSpaceDN w:val="0"/>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8">
    <w:name w:val="Grid Table 1 Light"/>
    <w:basedOn w:val="27"/>
    <w:qFormat/>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59">
    <w:name w:val="Grid Table 1 Light - Accent 1"/>
    <w:basedOn w:val="27"/>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0">
    <w:name w:val="Grid Table 1 Light - Accent 2"/>
    <w:basedOn w:val="27"/>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1">
    <w:name w:val="Grid Table 1 Light - Accent 3"/>
    <w:basedOn w:val="27"/>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2">
    <w:name w:val="Grid Table 1 Light - Accent 4"/>
    <w:basedOn w:val="27"/>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3">
    <w:name w:val="Grid Table 1 Light - Accent 5"/>
    <w:basedOn w:val="27"/>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4">
    <w:name w:val="Grid Table 1 Light - Accent 6"/>
    <w:basedOn w:val="27"/>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5">
    <w:name w:val="Grid Table 2"/>
    <w:basedOn w:val="27"/>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66">
    <w:name w:val="Grid Table 2 - Accent 1"/>
    <w:basedOn w:val="27"/>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auto" w:fill="FFFFFF"/>
      </w:tcPr>
    </w:tblStylePr>
    <w:tblStylePr w:type="lastRow">
      <w:rPr>
        <w:b/>
        <w:color w:val="404040"/>
      </w:rPr>
      <w:tcPr>
        <w:tcBorders>
          <w:top w:val="single" w:color="5D8BC2"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67">
    <w:name w:val="Grid Table 2 - Accent 2"/>
    <w:basedOn w:val="27"/>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auto" w:fill="FFFFFF"/>
      </w:tcPr>
    </w:tblStylePr>
    <w:tblStylePr w:type="lastRow">
      <w:rPr>
        <w:b/>
        <w:color w:val="404040"/>
      </w:rPr>
      <w:tcPr>
        <w:tcBorders>
          <w:top w:val="single" w:color="D9979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68">
    <w:name w:val="Grid Table 2 - Accent 3"/>
    <w:basedOn w:val="27"/>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auto" w:fill="FFFFFF"/>
      </w:tcPr>
    </w:tblStylePr>
    <w:tblStylePr w:type="lastRow">
      <w:rPr>
        <w:b/>
        <w:color w:val="404040"/>
      </w:rPr>
      <w:tcPr>
        <w:tcBorders>
          <w:top w:val="single" w:color="9BBB59"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69">
    <w:name w:val="Grid Table 2 - Accent 4"/>
    <w:basedOn w:val="27"/>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auto" w:fill="FFFFFF"/>
      </w:tcPr>
    </w:tblStylePr>
    <w:tblStylePr w:type="lastRow">
      <w:rPr>
        <w:b/>
        <w:color w:val="404040"/>
      </w:rPr>
      <w:tcPr>
        <w:tcBorders>
          <w:top w:val="single" w:color="B2A1C6"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0">
    <w:name w:val="Grid Table 2 - Accent 5"/>
    <w:basedOn w:val="27"/>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auto" w:fill="FFFFFF"/>
      </w:tcPr>
    </w:tblStylePr>
    <w:tblStylePr w:type="lastRow">
      <w:rPr>
        <w:b/>
        <w:color w:val="404040"/>
      </w:rPr>
      <w:tcPr>
        <w:tcBorders>
          <w:top w:val="single" w:color="4BACC6"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1">
    <w:name w:val="Grid Table 2 - Accent 6"/>
    <w:basedOn w:val="27"/>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auto" w:fill="FFFFFF"/>
      </w:tcPr>
    </w:tblStylePr>
    <w:tblStylePr w:type="lastRow">
      <w:rPr>
        <w:b/>
        <w:color w:val="404040"/>
      </w:rPr>
      <w:tcPr>
        <w:tcBorders>
          <w:top w:val="single" w:color="F79646"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72">
    <w:name w:val="Grid Table 3"/>
    <w:basedOn w:val="27"/>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3">
    <w:name w:val="Grid Table 3 - Accent 1"/>
    <w:basedOn w:val="27"/>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74">
    <w:name w:val="Grid Table 3 - Accent 2"/>
    <w:basedOn w:val="27"/>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75">
    <w:name w:val="Grid Table 3 - Accent 3"/>
    <w:basedOn w:val="27"/>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76">
    <w:name w:val="Grid Table 3 - Accent 4"/>
    <w:basedOn w:val="27"/>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7">
    <w:name w:val="Grid Table 3 - Accent 5"/>
    <w:basedOn w:val="27"/>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8">
    <w:name w:val="Grid Table 3 - Accent 6"/>
    <w:basedOn w:val="27"/>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79">
    <w:name w:val="Grid Table 4"/>
    <w:basedOn w:val="27"/>
    <w:qFormat/>
    <w:uiPriority w:val="59"/>
    <w:pPr>
      <w:overflowPunct w:val="0"/>
      <w:autoSpaceDE w:val="0"/>
      <w:autoSpaceDN w:val="0"/>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80">
    <w:name w:val="Grid Table 4 - Accent 1"/>
    <w:basedOn w:val="27"/>
    <w:qFormat/>
    <w:uiPriority w:val="5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auto"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hemeFill="accent1" w:themeFillTint="32"/>
      </w:tcPr>
    </w:tblStylePr>
    <w:tblStylePr w:type="band1Horz">
      <w:rPr>
        <w:rFonts w:ascii="Arial" w:hAnsi="Arial"/>
        <w:color w:val="404040"/>
        <w:sz w:val="22"/>
      </w:rPr>
      <w:tcPr>
        <w:shd w:val="clear" w:color="auto" w:fill="DCE6F2" w:themeFill="accent1" w:themeFillTint="32"/>
      </w:tcPr>
    </w:tblStylePr>
    <w:tblStylePr w:type="neCell"/>
    <w:tblStylePr w:type="nwCell"/>
    <w:tblStylePr w:type="seCell"/>
    <w:tblStylePr w:type="swCell"/>
  </w:style>
  <w:style w:type="table" w:customStyle="1" w:styleId="81">
    <w:name w:val="Grid Table 4 - Accent 2"/>
    <w:basedOn w:val="27"/>
    <w:qFormat/>
    <w:uiPriority w:val="5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auto"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82">
    <w:name w:val="Grid Table 4 - Accent 3"/>
    <w:basedOn w:val="27"/>
    <w:qFormat/>
    <w:uiPriority w:val="5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83">
    <w:name w:val="Grid Table 4 - Accent 4"/>
    <w:basedOn w:val="27"/>
    <w:qFormat/>
    <w:uiPriority w:val="5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auto"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84">
    <w:name w:val="Grid Table 4 - Accent 5"/>
    <w:basedOn w:val="27"/>
    <w:qFormat/>
    <w:uiPriority w:val="5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85">
    <w:name w:val="Grid Table 4 - Accent 6"/>
    <w:basedOn w:val="27"/>
    <w:qFormat/>
    <w:uiPriority w:val="5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86">
    <w:name w:val="Grid Table 5 Dark"/>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tblStylePr w:type="neCell"/>
    <w:tblStylePr w:type="nwCell"/>
    <w:tblStylePr w:type="seCell"/>
    <w:tblStylePr w:type="swCell"/>
  </w:style>
  <w:style w:type="table" w:customStyle="1" w:styleId="87">
    <w:name w:val="Grid Table 5 Dark- Accent 1"/>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F81BD" w:themeFill="accent1"/>
      </w:tcPr>
    </w:tblStylePr>
    <w:tblStylePr w:type="lastRow">
      <w:rPr>
        <w:rFonts w:ascii="Arial" w:hAnsi="Arial"/>
        <w:b/>
        <w:color w:val="FFFFFF"/>
        <w:sz w:val="22"/>
      </w:rPr>
      <w:tcPr>
        <w:tcBorders>
          <w:top w:val="single" w:color="FFFFFF" w:themeColor="light1" w:sz="4" w:space="0"/>
        </w:tcBorders>
        <w:shd w:val="clear" w:color="auto" w:fill="4F81BD" w:themeFill="accent1"/>
      </w:tcPr>
    </w:tblStylePr>
    <w:tblStylePr w:type="firstCol">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band1Vert">
      <w:tcPr>
        <w:shd w:val="clear" w:color="auto" w:fill="AEC5E0" w:themeFill="accent1" w:themeFillTint="75"/>
      </w:tcPr>
    </w:tblStylePr>
    <w:tblStylePr w:type="band1Horz">
      <w:tcPr>
        <w:shd w:val="clear" w:color="auto" w:fill="AEC5E0" w:themeFill="accent1" w:themeFillTint="75"/>
      </w:tcPr>
    </w:tblStylePr>
    <w:tblStylePr w:type="neCell"/>
    <w:tblStylePr w:type="nwCell"/>
    <w:tblStylePr w:type="seCell"/>
    <w:tblStylePr w:type="swCell"/>
  </w:style>
  <w:style w:type="table" w:customStyle="1" w:styleId="88">
    <w:name w:val="Grid Table 5 Dark - Accent 2"/>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C0504D" w:themeFill="accent2"/>
      </w:tcPr>
    </w:tblStylePr>
    <w:tblStylePr w:type="lastRow">
      <w:rPr>
        <w:rFonts w:ascii="Arial" w:hAnsi="Arial"/>
        <w:b/>
        <w:color w:val="FFFFFF"/>
        <w:sz w:val="22"/>
      </w:rPr>
      <w:tcPr>
        <w:tcBorders>
          <w:top w:val="single" w:color="FFFFFF" w:themeColor="light1" w:sz="4" w:space="0"/>
        </w:tcBorders>
        <w:shd w:val="clear" w:color="auto" w:fill="C0504D" w:themeFill="accent2"/>
      </w:tcPr>
    </w:tblStylePr>
    <w:tblStylePr w:type="firstCol">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band1Vert">
      <w:tcPr>
        <w:shd w:val="clear" w:color="auto" w:fill="E2AEAD" w:themeFill="accent2" w:themeFillTint="75"/>
      </w:tcPr>
    </w:tblStylePr>
    <w:tblStylePr w:type="band1Horz">
      <w:tcPr>
        <w:shd w:val="clear" w:color="auto" w:fill="E2AEAD" w:themeFill="accent2" w:themeFillTint="75"/>
      </w:tcPr>
    </w:tblStylePr>
    <w:tblStylePr w:type="neCell"/>
    <w:tblStylePr w:type="nwCell"/>
    <w:tblStylePr w:type="seCell"/>
    <w:tblStylePr w:type="swCell"/>
  </w:style>
  <w:style w:type="table" w:customStyle="1" w:styleId="89">
    <w:name w:val="Grid Table 5 Dark - Accent 3"/>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9BBB59" w:themeFill="accent3"/>
      </w:tcPr>
    </w:tblStylePr>
    <w:tblStylePr w:type="lastRow">
      <w:rPr>
        <w:rFonts w:ascii="Arial" w:hAnsi="Arial"/>
        <w:b/>
        <w:color w:val="FFFFFF"/>
        <w:sz w:val="22"/>
      </w:rPr>
      <w:tcPr>
        <w:tcBorders>
          <w:top w:val="single" w:color="FFFFFF" w:themeColor="light1" w:sz="4" w:space="0"/>
        </w:tcBorders>
        <w:shd w:val="clear" w:color="auto" w:fill="9BBB59" w:themeFill="accent3"/>
      </w:tcPr>
    </w:tblStylePr>
    <w:tblStylePr w:type="firstCol">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band1Vert">
      <w:tcPr>
        <w:shd w:val="clear" w:color="auto" w:fill="D1DFB2" w:themeFill="accent3" w:themeFillTint="75"/>
      </w:tcPr>
    </w:tblStylePr>
    <w:tblStylePr w:type="band1Horz">
      <w:tcPr>
        <w:shd w:val="clear" w:color="auto" w:fill="D1DFB2" w:themeFill="accent3" w:themeFillTint="75"/>
      </w:tcPr>
    </w:tblStylePr>
    <w:tblStylePr w:type="neCell"/>
    <w:tblStylePr w:type="nwCell"/>
    <w:tblStylePr w:type="seCell"/>
    <w:tblStylePr w:type="swCell"/>
  </w:style>
  <w:style w:type="table" w:customStyle="1" w:styleId="90">
    <w:name w:val="Grid Table 5 Dark- Accent 4"/>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8064A2" w:themeFill="accent4"/>
      </w:tcPr>
    </w:tblStylePr>
    <w:tblStylePr w:type="lastRow">
      <w:rPr>
        <w:rFonts w:ascii="Arial" w:hAnsi="Arial"/>
        <w:b/>
        <w:color w:val="FFFFFF"/>
        <w:sz w:val="22"/>
      </w:rPr>
      <w:tcPr>
        <w:tcBorders>
          <w:top w:val="single" w:color="FFFFFF" w:themeColor="light1" w:sz="4" w:space="0"/>
        </w:tcBorders>
        <w:shd w:val="clear" w:color="auto" w:fill="8064A2" w:themeFill="accent4"/>
      </w:tcPr>
    </w:tblStylePr>
    <w:tblStylePr w:type="firstCol">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band1Vert">
      <w:tcPr>
        <w:shd w:val="clear" w:color="auto" w:fill="C4B7D4" w:themeFill="accent4" w:themeFillTint="75"/>
      </w:tcPr>
    </w:tblStylePr>
    <w:tblStylePr w:type="band1Horz">
      <w:tcPr>
        <w:shd w:val="clear" w:color="auto" w:fill="C4B7D4" w:themeFill="accent4" w:themeFillTint="75"/>
      </w:tcPr>
    </w:tblStylePr>
    <w:tblStylePr w:type="neCell"/>
    <w:tblStylePr w:type="nwCell"/>
    <w:tblStylePr w:type="seCell"/>
    <w:tblStylePr w:type="swCell"/>
  </w:style>
  <w:style w:type="table" w:customStyle="1" w:styleId="91">
    <w:name w:val="Grid Table 5 Dark - Accent 5"/>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BACC6" w:themeFill="accent5"/>
      </w:tcPr>
    </w:tblStylePr>
    <w:tblStylePr w:type="lastRow">
      <w:rPr>
        <w:rFonts w:ascii="Arial" w:hAnsi="Arial"/>
        <w:b/>
        <w:color w:val="FFFFFF"/>
        <w:sz w:val="22"/>
      </w:rPr>
      <w:tcPr>
        <w:tcBorders>
          <w:top w:val="single" w:color="FFFFFF" w:themeColor="light1" w:sz="4" w:space="0"/>
        </w:tcBorders>
        <w:shd w:val="clear" w:color="auto" w:fill="4BACC6" w:themeFill="accent5"/>
      </w:tcPr>
    </w:tblStylePr>
    <w:tblStylePr w:type="firstCol">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band1Vert">
      <w:tcPr>
        <w:shd w:val="clear" w:color="auto" w:fill="ACD8E4" w:themeFill="accent5" w:themeFillTint="75"/>
      </w:tcPr>
    </w:tblStylePr>
    <w:tblStylePr w:type="band1Horz">
      <w:tcPr>
        <w:shd w:val="clear" w:color="auto" w:fill="ACD8E4" w:themeFill="accent5" w:themeFillTint="75"/>
      </w:tcPr>
    </w:tblStylePr>
    <w:tblStylePr w:type="neCell"/>
    <w:tblStylePr w:type="nwCell"/>
    <w:tblStylePr w:type="seCell"/>
    <w:tblStylePr w:type="swCell"/>
  </w:style>
  <w:style w:type="table" w:customStyle="1" w:styleId="92">
    <w:name w:val="Grid Table 5 Dark - Accent 6"/>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79646" w:themeFill="accent6"/>
      </w:tcPr>
    </w:tblStylePr>
    <w:tblStylePr w:type="lastRow">
      <w:rPr>
        <w:rFonts w:ascii="Arial" w:hAnsi="Arial"/>
        <w:b/>
        <w:color w:val="FFFFFF"/>
        <w:sz w:val="22"/>
      </w:rPr>
      <w:tcPr>
        <w:tcBorders>
          <w:top w:val="single" w:color="FFFFFF" w:themeColor="light1" w:sz="4" w:space="0"/>
        </w:tcBorders>
        <w:shd w:val="clear" w:color="auto" w:fill="F79646" w:themeFill="accent6"/>
      </w:tcPr>
    </w:tblStylePr>
    <w:tblStylePr w:type="firstCol">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band1Vert">
      <w:tcPr>
        <w:shd w:val="clear" w:color="auto" w:fill="FBCEAA" w:themeFill="accent6" w:themeFillTint="75"/>
      </w:tcPr>
    </w:tblStylePr>
    <w:tblStylePr w:type="band1Horz">
      <w:tcPr>
        <w:shd w:val="clear" w:color="auto" w:fill="FBCEAA" w:themeFill="accent6" w:themeFillTint="75"/>
      </w:tcPr>
    </w:tblStylePr>
    <w:tblStylePr w:type="neCell"/>
    <w:tblStylePr w:type="nwCell"/>
    <w:tblStylePr w:type="seCell"/>
    <w:tblStylePr w:type="swCell"/>
  </w:style>
  <w:style w:type="table" w:customStyle="1" w:styleId="93">
    <w:name w:val="Grid Table 6 Colorful"/>
    <w:basedOn w:val="27"/>
    <w:qFormat/>
    <w:uiPriority w:val="99"/>
    <w:pPr>
      <w:overflowPunct w:val="0"/>
      <w:autoSpaceDE w:val="0"/>
      <w:autoSpaceDN w:val="0"/>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4">
    <w:name w:val="Grid Table 6 Colorful - Accent 1"/>
    <w:basedOn w:val="27"/>
    <w:qFormat/>
    <w:uiPriority w:val="99"/>
    <w:pPr>
      <w:overflowPunct w:val="0"/>
      <w:autoSpaceDE w:val="0"/>
      <w:autoSpaceDN w:val="0"/>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5">
    <w:name w:val="Grid Table 6 Colorful - Accent 2"/>
    <w:basedOn w:val="27"/>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6">
    <w:name w:val="Grid Table 6 Colorful - Accent 3"/>
    <w:basedOn w:val="27"/>
    <w:qFormat/>
    <w:uiPriority w:val="99"/>
    <w:pPr>
      <w:overflowPunct w:val="0"/>
      <w:autoSpaceDE w:val="0"/>
      <w:autoSpaceDN w:val="0"/>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7">
    <w:name w:val="Grid Table 6 Colorful - Accent 4"/>
    <w:basedOn w:val="27"/>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8">
    <w:name w:val="Grid Table 6 Colorful - Accent 5"/>
    <w:basedOn w:val="27"/>
    <w:qFormat/>
    <w:uiPriority w:val="99"/>
    <w:pPr>
      <w:overflowPunct w:val="0"/>
      <w:autoSpaceDE w:val="0"/>
      <w:autoSpaceDN w:val="0"/>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9">
    <w:name w:val="Grid Table 6 Colorful - Accent 6"/>
    <w:basedOn w:val="27"/>
    <w:qFormat/>
    <w:uiPriority w:val="99"/>
    <w:pPr>
      <w:overflowPunct w:val="0"/>
      <w:autoSpaceDE w:val="0"/>
      <w:autoSpaceDN w:val="0"/>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FDE9D9" w:themeFill="accent6" w:themeFillTint="34"/>
      </w:tcPr>
    </w:tblStylePr>
    <w:tblStylePr w:type="band2Vert"/>
    <w:tblStylePr w:type="band1Horz">
      <w:rPr>
        <w:rFonts w:ascii="Arial" w:hAnsi="Arial"/>
        <w:color w:val="266778" w:themeColor="accent5" w:themeShade="94"/>
        <w:sz w:val="22"/>
      </w:rPr>
      <w:tcPr>
        <w:shd w:val="clear" w:color="auto"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0">
    <w:name w:val="Grid Table 7 Colorful"/>
    <w:basedOn w:val="27"/>
    <w:qFormat/>
    <w:uiPriority w:val="99"/>
    <w:pPr>
      <w:overflowPunct w:val="0"/>
      <w:autoSpaceDE w:val="0"/>
      <w:autoSpaceDN w:val="0"/>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1">
    <w:name w:val="Grid Table 7 Colorful - Accent 1"/>
    <w:basedOn w:val="27"/>
    <w:qFormat/>
    <w:uiPriority w:val="99"/>
    <w:pPr>
      <w:overflowPunct w:val="0"/>
      <w:autoSpaceDE w:val="0"/>
      <w:autoSpaceDN w:val="0"/>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auto"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2">
    <w:name w:val="Grid Table 7 Colorful - Accent 2"/>
    <w:basedOn w:val="27"/>
    <w:qFormat/>
    <w:uiPriority w:val="99"/>
    <w:pPr>
      <w:overflowPunct w:val="0"/>
      <w:autoSpaceDE w:val="0"/>
      <w:autoSpaceDN w:val="0"/>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3">
    <w:name w:val="Grid Table 7 Colorful - Accent 3"/>
    <w:basedOn w:val="27"/>
    <w:qFormat/>
    <w:uiPriority w:val="99"/>
    <w:pPr>
      <w:overflowPunct w:val="0"/>
      <w:autoSpaceDE w:val="0"/>
      <w:autoSpaceDN w:val="0"/>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auto"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4">
    <w:name w:val="Grid Table 7 Colorful - Accent 4"/>
    <w:basedOn w:val="27"/>
    <w:qFormat/>
    <w:uiPriority w:val="99"/>
    <w:pPr>
      <w:overflowPunct w:val="0"/>
      <w:autoSpaceDE w:val="0"/>
      <w:autoSpaceDN w:val="0"/>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5">
    <w:name w:val="Grid Table 7 Colorful - Accent 5"/>
    <w:basedOn w:val="27"/>
    <w:qFormat/>
    <w:uiPriority w:val="99"/>
    <w:pPr>
      <w:overflowPunct w:val="0"/>
      <w:autoSpaceDE w:val="0"/>
      <w:autoSpaceDN w:val="0"/>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auto"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6">
    <w:name w:val="Grid Table 7 Colorful - Accent 6"/>
    <w:basedOn w:val="27"/>
    <w:qFormat/>
    <w:uiPriority w:val="99"/>
    <w:pPr>
      <w:overflowPunct w:val="0"/>
      <w:autoSpaceDE w:val="0"/>
      <w:autoSpaceDN w:val="0"/>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auto"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auto" w:fill="FDE9D9" w:themeFill="accent6" w:themeFillTint="34"/>
      </w:tcPr>
    </w:tblStylePr>
    <w:tblStylePr w:type="band2Vert"/>
    <w:tblStylePr w:type="band1Horz">
      <w:rPr>
        <w:rFonts w:ascii="Arial" w:hAnsi="Arial"/>
        <w:color w:val="B05408" w:themeColor="accent6" w:themeShade="94"/>
        <w:sz w:val="22"/>
      </w:rPr>
      <w:tcPr>
        <w:shd w:val="clear" w:color="auto"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07">
    <w:name w:val="List Table 1 Light"/>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tblStylePr w:type="neCell"/>
    <w:tblStylePr w:type="nwCell"/>
    <w:tblStylePr w:type="seCell"/>
    <w:tblStylePr w:type="swCell"/>
  </w:style>
  <w:style w:type="table" w:customStyle="1" w:styleId="108">
    <w:name w:val="List Table 1 Light - Accent 1"/>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2DFEE" w:themeFill="accent1" w:themeFillTint="40"/>
      </w:tcPr>
    </w:tblStylePr>
    <w:tblStylePr w:type="band1Horz">
      <w:tcPr>
        <w:shd w:val="clear" w:color="auto" w:fill="D2DFEE" w:themeFill="accent1" w:themeFillTint="40"/>
      </w:tcPr>
    </w:tblStylePr>
    <w:tblStylePr w:type="neCell"/>
    <w:tblStylePr w:type="nwCell"/>
    <w:tblStylePr w:type="seCell"/>
    <w:tblStylePr w:type="swCell"/>
  </w:style>
  <w:style w:type="table" w:customStyle="1" w:styleId="109">
    <w:name w:val="List Table 1 Light - Accent 2"/>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FD3D2" w:themeFill="accent2" w:themeFillTint="40"/>
      </w:tcPr>
    </w:tblStylePr>
    <w:tblStylePr w:type="band1Horz">
      <w:tcPr>
        <w:shd w:val="clear" w:color="auto" w:fill="EFD3D2" w:themeFill="accent2" w:themeFillTint="40"/>
      </w:tcPr>
    </w:tblStylePr>
    <w:tblStylePr w:type="neCell"/>
    <w:tblStylePr w:type="nwCell"/>
    <w:tblStylePr w:type="seCell"/>
    <w:tblStylePr w:type="swCell"/>
  </w:style>
  <w:style w:type="table" w:customStyle="1" w:styleId="110">
    <w:name w:val="List Table 1 Light - Accent 3"/>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5EDD5" w:themeFill="accent3" w:themeFillTint="40"/>
      </w:tcPr>
    </w:tblStylePr>
    <w:tblStylePr w:type="band1Horz">
      <w:tcPr>
        <w:shd w:val="clear" w:color="auto" w:fill="E5EDD5" w:themeFill="accent3" w:themeFillTint="40"/>
      </w:tcPr>
    </w:tblStylePr>
    <w:tblStylePr w:type="neCell"/>
    <w:tblStylePr w:type="nwCell"/>
    <w:tblStylePr w:type="seCell"/>
    <w:tblStylePr w:type="swCell"/>
  </w:style>
  <w:style w:type="table" w:customStyle="1" w:styleId="111">
    <w:name w:val="List Table 1 Light - Accent 4"/>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FD8E7" w:themeFill="accent4" w:themeFillTint="40"/>
      </w:tcPr>
    </w:tblStylePr>
    <w:tblStylePr w:type="band1Horz">
      <w:tcPr>
        <w:shd w:val="clear" w:color="auto" w:fill="DFD8E7" w:themeFill="accent4" w:themeFillTint="40"/>
      </w:tcPr>
    </w:tblStylePr>
    <w:tblStylePr w:type="neCell"/>
    <w:tblStylePr w:type="nwCell"/>
    <w:tblStylePr w:type="seCell"/>
    <w:tblStylePr w:type="swCell"/>
  </w:style>
  <w:style w:type="table" w:customStyle="1" w:styleId="112">
    <w:name w:val="List Table 1 Light - Accent 5"/>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EAF0" w:themeFill="accent5" w:themeFillTint="40"/>
      </w:tcPr>
    </w:tblStylePr>
    <w:tblStylePr w:type="band1Horz">
      <w:tcPr>
        <w:shd w:val="clear" w:color="auto" w:fill="D1EAF0" w:themeFill="accent5" w:themeFillTint="40"/>
      </w:tcPr>
    </w:tblStylePr>
    <w:tblStylePr w:type="neCell"/>
    <w:tblStylePr w:type="nwCell"/>
    <w:tblStylePr w:type="seCell"/>
    <w:tblStylePr w:type="swCell"/>
  </w:style>
  <w:style w:type="table" w:customStyle="1" w:styleId="113">
    <w:name w:val="List Table 1 Light - Accent 6"/>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CE4D0" w:themeFill="accent6" w:themeFillTint="40"/>
      </w:tcPr>
    </w:tblStylePr>
    <w:tblStylePr w:type="band1Horz">
      <w:tcPr>
        <w:shd w:val="clear" w:color="auto" w:fill="FCE4D0" w:themeFill="accent6" w:themeFillTint="40"/>
      </w:tcPr>
    </w:tblStylePr>
    <w:tblStylePr w:type="neCell"/>
    <w:tblStylePr w:type="nwCell"/>
    <w:tblStylePr w:type="seCell"/>
    <w:tblStylePr w:type="swCell"/>
  </w:style>
  <w:style w:type="table" w:customStyle="1" w:styleId="114">
    <w:name w:val="List Table 2"/>
    <w:basedOn w:val="27"/>
    <w:qFormat/>
    <w:uiPriority w:val="99"/>
    <w:pPr>
      <w:overflowPunct w:val="0"/>
      <w:autoSpaceDE w:val="0"/>
      <w:autoSpaceDN w:val="0"/>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15">
    <w:name w:val="List Table 2 - Accent 1"/>
    <w:basedOn w:val="27"/>
    <w:qFormat/>
    <w:uiPriority w:val="99"/>
    <w:pPr>
      <w:overflowPunct w:val="0"/>
      <w:autoSpaceDE w:val="0"/>
      <w:autoSpaceDN w:val="0"/>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16">
    <w:name w:val="List Table 2 - Accent 2"/>
    <w:basedOn w:val="27"/>
    <w:qFormat/>
    <w:uiPriority w:val="99"/>
    <w:pPr>
      <w:overflowPunct w:val="0"/>
      <w:autoSpaceDE w:val="0"/>
      <w:autoSpaceDN w:val="0"/>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17">
    <w:name w:val="List Table 2 - Accent 3"/>
    <w:basedOn w:val="27"/>
    <w:qFormat/>
    <w:uiPriority w:val="99"/>
    <w:pPr>
      <w:overflowPunct w:val="0"/>
      <w:autoSpaceDE w:val="0"/>
      <w:autoSpaceDN w:val="0"/>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18">
    <w:name w:val="List Table 2 - Accent 4"/>
    <w:basedOn w:val="27"/>
    <w:qFormat/>
    <w:uiPriority w:val="99"/>
    <w:pPr>
      <w:overflowPunct w:val="0"/>
      <w:autoSpaceDE w:val="0"/>
      <w:autoSpaceDN w:val="0"/>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19">
    <w:name w:val="List Table 2 - Accent 5"/>
    <w:basedOn w:val="27"/>
    <w:qFormat/>
    <w:uiPriority w:val="99"/>
    <w:pPr>
      <w:overflowPunct w:val="0"/>
      <w:autoSpaceDE w:val="0"/>
      <w:autoSpaceDN w:val="0"/>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20">
    <w:name w:val="List Table 2 - Accent 6"/>
    <w:basedOn w:val="27"/>
    <w:qFormat/>
    <w:uiPriority w:val="99"/>
    <w:pPr>
      <w:overflowPunct w:val="0"/>
      <w:autoSpaceDE w:val="0"/>
      <w:autoSpaceDN w:val="0"/>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21">
    <w:name w:val="List Table 3"/>
    <w:basedOn w:val="27"/>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2">
    <w:name w:val="List Table 3 - Accent 1"/>
    <w:basedOn w:val="27"/>
    <w:qFormat/>
    <w:uiPriority w:val="99"/>
    <w:pPr>
      <w:overflowPunct w:val="0"/>
      <w:autoSpaceDE w:val="0"/>
      <w:autoSpaceDN w:val="0"/>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3">
    <w:name w:val="List Table 3 - Accent 2"/>
    <w:basedOn w:val="27"/>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auto"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4">
    <w:name w:val="List Table 3 - Accent 3"/>
    <w:basedOn w:val="27"/>
    <w:qFormat/>
    <w:uiPriority w:val="99"/>
    <w:pPr>
      <w:overflowPunct w:val="0"/>
      <w:autoSpaceDE w:val="0"/>
      <w:autoSpaceDN w:val="0"/>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auto"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5">
    <w:name w:val="List Table 3 - Accent 4"/>
    <w:basedOn w:val="27"/>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6">
    <w:name w:val="List Table 3 - Accent 5"/>
    <w:basedOn w:val="27"/>
    <w:qFormat/>
    <w:uiPriority w:val="99"/>
    <w:pPr>
      <w:overflowPunct w:val="0"/>
      <w:autoSpaceDE w:val="0"/>
      <w:autoSpaceDN w:val="0"/>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27">
    <w:name w:val="List Table 3 - Accent 6"/>
    <w:basedOn w:val="27"/>
    <w:qFormat/>
    <w:uiPriority w:val="99"/>
    <w:pPr>
      <w:overflowPunct w:val="0"/>
      <w:autoSpaceDE w:val="0"/>
      <w:autoSpaceDN w:val="0"/>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28">
    <w:name w:val="List Table 4"/>
    <w:basedOn w:val="27"/>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29">
    <w:name w:val="List Table 4 - Accent 1"/>
    <w:basedOn w:val="27"/>
    <w:qFormat/>
    <w:uiPriority w:val="9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30">
    <w:name w:val="List Table 4 - Accent 2"/>
    <w:basedOn w:val="27"/>
    <w:qFormat/>
    <w:uiPriority w:val="9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31">
    <w:name w:val="List Table 4 - Accent 3"/>
    <w:basedOn w:val="27"/>
    <w:qFormat/>
    <w:uiPriority w:val="9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32">
    <w:name w:val="List Table 4 - Accent 4"/>
    <w:basedOn w:val="27"/>
    <w:qFormat/>
    <w:uiPriority w:val="9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33">
    <w:name w:val="List Table 4 - Accent 5"/>
    <w:basedOn w:val="27"/>
    <w:qFormat/>
    <w:uiPriority w:val="9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34">
    <w:name w:val="List Table 4 - Accent 6"/>
    <w:basedOn w:val="27"/>
    <w:qFormat/>
    <w:uiPriority w:val="9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35">
    <w:name w:val="List Table 5 Dark"/>
    <w:basedOn w:val="27"/>
    <w:qFormat/>
    <w:uiPriority w:val="99"/>
    <w:pPr>
      <w:overflowPunct w:val="0"/>
      <w:autoSpaceDE w:val="0"/>
      <w:autoSpaceDN w:val="0"/>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36">
    <w:name w:val="List Table 5 Dark - Accent 1"/>
    <w:basedOn w:val="27"/>
    <w:qFormat/>
    <w:uiPriority w:val="99"/>
    <w:pPr>
      <w:overflowPunct w:val="0"/>
      <w:autoSpaceDE w:val="0"/>
      <w:autoSpaceDN w:val="0"/>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auto"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auto"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F81BD" w:themeFill="accent1"/>
      </w:tcPr>
    </w:tblStylePr>
    <w:tblStylePr w:type="band2Horz">
      <w:tcPr>
        <w:tcBorders>
          <w:top w:val="single" w:color="FFFFFF" w:themeColor="light1" w:sz="4" w:space="0"/>
          <w:bottom w:val="single" w:color="FFFFFF" w:themeColor="light1" w:sz="4" w:space="0"/>
        </w:tcBorders>
        <w:shd w:val="clear" w:color="auto" w:fill="4F81BD" w:themeFill="accent1"/>
      </w:tcPr>
    </w:tblStylePr>
    <w:tblStylePr w:type="neCell"/>
    <w:tblStylePr w:type="nwCell"/>
    <w:tblStylePr w:type="seCell"/>
    <w:tblStylePr w:type="swCell"/>
  </w:style>
  <w:style w:type="table" w:customStyle="1" w:styleId="137">
    <w:name w:val="List Table 5 Dark - Accent 2"/>
    <w:basedOn w:val="27"/>
    <w:qFormat/>
    <w:uiPriority w:val="99"/>
    <w:pPr>
      <w:overflowPunct w:val="0"/>
      <w:autoSpaceDE w:val="0"/>
      <w:autoSpaceDN w:val="0"/>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auto"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D99795" w:themeFill="accent2" w:themeFillTint="97"/>
      </w:tcPr>
    </w:tblStylePr>
    <w:tblStylePr w:type="band2Horz">
      <w:tcPr>
        <w:tcBorders>
          <w:top w:val="single" w:color="FFFFFF" w:themeColor="light1" w:sz="4" w:space="0"/>
          <w:bottom w:val="single" w:color="FFFFFF" w:themeColor="light1" w:sz="4" w:space="0"/>
        </w:tcBorders>
        <w:shd w:val="clear" w:color="auto" w:fill="D99795" w:themeFill="accent2" w:themeFillTint="97"/>
      </w:tcPr>
    </w:tblStylePr>
    <w:tblStylePr w:type="neCell"/>
    <w:tblStylePr w:type="nwCell"/>
    <w:tblStylePr w:type="seCell"/>
    <w:tblStylePr w:type="swCell"/>
  </w:style>
  <w:style w:type="table" w:customStyle="1" w:styleId="138">
    <w:name w:val="List Table 5 Dark - Accent 3"/>
    <w:basedOn w:val="27"/>
    <w:qFormat/>
    <w:uiPriority w:val="99"/>
    <w:pPr>
      <w:overflowPunct w:val="0"/>
      <w:autoSpaceDE w:val="0"/>
      <w:autoSpaceDN w:val="0"/>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auto"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3D69C" w:themeFill="accent3" w:themeFillTint="98"/>
      </w:tcPr>
    </w:tblStylePr>
    <w:tblStylePr w:type="band2Horz">
      <w:tcPr>
        <w:tcBorders>
          <w:top w:val="single" w:color="FFFFFF" w:themeColor="light1" w:sz="4" w:space="0"/>
          <w:bottom w:val="single" w:color="FFFFFF" w:themeColor="light1" w:sz="4" w:space="0"/>
        </w:tcBorders>
        <w:shd w:val="clear" w:color="auto" w:fill="C3D69C" w:themeFill="accent3" w:themeFillTint="98"/>
      </w:tcPr>
    </w:tblStylePr>
    <w:tblStylePr w:type="neCell"/>
    <w:tblStylePr w:type="nwCell"/>
    <w:tblStylePr w:type="seCell"/>
    <w:tblStylePr w:type="swCell"/>
  </w:style>
  <w:style w:type="table" w:customStyle="1" w:styleId="139">
    <w:name w:val="List Table 5 Dark - Accent 4"/>
    <w:basedOn w:val="27"/>
    <w:qFormat/>
    <w:uiPriority w:val="99"/>
    <w:pPr>
      <w:overflowPunct w:val="0"/>
      <w:autoSpaceDE w:val="0"/>
      <w:autoSpaceDN w:val="0"/>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B2A1C6" w:themeFill="accent4" w:themeFillTint="9A"/>
      </w:tcPr>
    </w:tblStylePr>
    <w:tblStylePr w:type="band2Horz">
      <w:tcPr>
        <w:tcBorders>
          <w:top w:val="single" w:color="FFFFFF" w:themeColor="light1" w:sz="4" w:space="0"/>
          <w:bottom w:val="single" w:color="FFFFFF" w:themeColor="light1" w:sz="4" w:space="0"/>
        </w:tcBorders>
        <w:shd w:val="clear" w:color="auto" w:fill="B2A1C6" w:themeFill="accent4" w:themeFillTint="9A"/>
      </w:tcPr>
    </w:tblStylePr>
    <w:tblStylePr w:type="neCell"/>
    <w:tblStylePr w:type="nwCell"/>
    <w:tblStylePr w:type="seCell"/>
    <w:tblStylePr w:type="swCell"/>
  </w:style>
  <w:style w:type="table" w:customStyle="1" w:styleId="140">
    <w:name w:val="List Table 5 Dark - Accent 5"/>
    <w:basedOn w:val="27"/>
    <w:qFormat/>
    <w:uiPriority w:val="99"/>
    <w:pPr>
      <w:overflowPunct w:val="0"/>
      <w:autoSpaceDE w:val="0"/>
      <w:autoSpaceDN w:val="0"/>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2CCDC" w:themeFill="accent5" w:themeFillTint="9A"/>
      </w:tcPr>
    </w:tblStylePr>
    <w:tblStylePr w:type="band2Horz">
      <w:tcPr>
        <w:tcBorders>
          <w:top w:val="single" w:color="FFFFFF" w:themeColor="light1" w:sz="4" w:space="0"/>
          <w:bottom w:val="single" w:color="FFFFFF" w:themeColor="light1" w:sz="4" w:space="0"/>
        </w:tcBorders>
        <w:shd w:val="clear" w:color="auto" w:fill="92CCDC" w:themeFill="accent5" w:themeFillTint="9A"/>
      </w:tcPr>
    </w:tblStylePr>
    <w:tblStylePr w:type="neCell"/>
    <w:tblStylePr w:type="nwCell"/>
    <w:tblStylePr w:type="seCell"/>
    <w:tblStylePr w:type="swCell"/>
  </w:style>
  <w:style w:type="table" w:customStyle="1" w:styleId="141">
    <w:name w:val="List Table 5 Dark - Accent 6"/>
    <w:basedOn w:val="27"/>
    <w:qFormat/>
    <w:uiPriority w:val="99"/>
    <w:pPr>
      <w:overflowPunct w:val="0"/>
      <w:autoSpaceDE w:val="0"/>
      <w:autoSpaceDN w:val="0"/>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AC090" w:themeFill="accent6" w:themeFillTint="98"/>
      </w:tcPr>
    </w:tblStylePr>
    <w:tblStylePr w:type="band2Horz">
      <w:tcPr>
        <w:tcBorders>
          <w:top w:val="single" w:color="FFFFFF" w:themeColor="light1" w:sz="4" w:space="0"/>
          <w:bottom w:val="single" w:color="FFFFFF" w:themeColor="light1" w:sz="4" w:space="0"/>
        </w:tcBorders>
        <w:shd w:val="clear" w:color="auto" w:fill="FAC090" w:themeFill="accent6" w:themeFillTint="98"/>
      </w:tcPr>
    </w:tblStylePr>
    <w:tblStylePr w:type="neCell"/>
    <w:tblStylePr w:type="nwCell"/>
    <w:tblStylePr w:type="seCell"/>
    <w:tblStylePr w:type="swCell"/>
  </w:style>
  <w:style w:type="table" w:customStyle="1" w:styleId="142">
    <w:name w:val="List Table 6 Colorful"/>
    <w:basedOn w:val="27"/>
    <w:qFormat/>
    <w:uiPriority w:val="99"/>
    <w:pPr>
      <w:overflowPunct w:val="0"/>
      <w:autoSpaceDE w:val="0"/>
      <w:autoSpaceDN w:val="0"/>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3">
    <w:name w:val="List Table 6 Colorful - Accent 1"/>
    <w:basedOn w:val="27"/>
    <w:qFormat/>
    <w:uiPriority w:val="99"/>
    <w:pPr>
      <w:overflowPunct w:val="0"/>
      <w:autoSpaceDE w:val="0"/>
      <w:autoSpaceDN w:val="0"/>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4">
    <w:name w:val="List Table 6 Colorful - Accent 2"/>
    <w:basedOn w:val="27"/>
    <w:qFormat/>
    <w:uiPriority w:val="99"/>
    <w:pPr>
      <w:overflowPunct w:val="0"/>
      <w:autoSpaceDE w:val="0"/>
      <w:autoSpaceDN w:val="0"/>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5">
    <w:name w:val="List Table 6 Colorful - Accent 3"/>
    <w:basedOn w:val="27"/>
    <w:qFormat/>
    <w:uiPriority w:val="99"/>
    <w:pPr>
      <w:overflowPunct w:val="0"/>
      <w:autoSpaceDE w:val="0"/>
      <w:autoSpaceDN w:val="0"/>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6">
    <w:name w:val="List Table 6 Colorful - Accent 4"/>
    <w:basedOn w:val="27"/>
    <w:qFormat/>
    <w:uiPriority w:val="99"/>
    <w:pPr>
      <w:overflowPunct w:val="0"/>
      <w:autoSpaceDE w:val="0"/>
      <w:autoSpaceDN w:val="0"/>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7">
    <w:name w:val="List Table 6 Colorful - Accent 5"/>
    <w:basedOn w:val="27"/>
    <w:qFormat/>
    <w:uiPriority w:val="99"/>
    <w:pPr>
      <w:overflowPunct w:val="0"/>
      <w:autoSpaceDE w:val="0"/>
      <w:autoSpaceDN w:val="0"/>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8">
    <w:name w:val="List Table 6 Colorful - Accent 6"/>
    <w:basedOn w:val="27"/>
    <w:qFormat/>
    <w:uiPriority w:val="99"/>
    <w:pPr>
      <w:overflowPunct w:val="0"/>
      <w:autoSpaceDE w:val="0"/>
      <w:autoSpaceDN w:val="0"/>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49">
    <w:name w:val="List Table 7 Colorful"/>
    <w:basedOn w:val="27"/>
    <w:qFormat/>
    <w:uiPriority w:val="99"/>
    <w:pPr>
      <w:overflowPunct w:val="0"/>
      <w:autoSpaceDE w:val="0"/>
      <w:autoSpaceDN w:val="0"/>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0">
    <w:name w:val="List Table 7 Colorful - Accent 1"/>
    <w:basedOn w:val="27"/>
    <w:qFormat/>
    <w:uiPriority w:val="99"/>
    <w:pPr>
      <w:overflowPunct w:val="0"/>
      <w:autoSpaceDE w:val="0"/>
      <w:autoSpaceDN w:val="0"/>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auto"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1">
    <w:name w:val="List Table 7 Colorful - Accent 2"/>
    <w:basedOn w:val="27"/>
    <w:qFormat/>
    <w:uiPriority w:val="99"/>
    <w:pPr>
      <w:overflowPunct w:val="0"/>
      <w:autoSpaceDE w:val="0"/>
      <w:autoSpaceDN w:val="0"/>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2">
    <w:name w:val="List Table 7 Colorful - Accent 3"/>
    <w:basedOn w:val="27"/>
    <w:qFormat/>
    <w:uiPriority w:val="99"/>
    <w:pPr>
      <w:overflowPunct w:val="0"/>
      <w:autoSpaceDE w:val="0"/>
      <w:autoSpaceDN w:val="0"/>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auto"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3">
    <w:name w:val="List Table 7 Colorful - Accent 4"/>
    <w:basedOn w:val="27"/>
    <w:qFormat/>
    <w:uiPriority w:val="99"/>
    <w:pPr>
      <w:overflowPunct w:val="0"/>
      <w:autoSpaceDE w:val="0"/>
      <w:autoSpaceDN w:val="0"/>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4">
    <w:name w:val="List Table 7 Colorful - Accent 5"/>
    <w:basedOn w:val="27"/>
    <w:qFormat/>
    <w:uiPriority w:val="99"/>
    <w:pPr>
      <w:overflowPunct w:val="0"/>
      <w:autoSpaceDE w:val="0"/>
      <w:autoSpaceDN w:val="0"/>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auto"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5">
    <w:name w:val="List Table 7 Colorful - Accent 6"/>
    <w:basedOn w:val="27"/>
    <w:qFormat/>
    <w:uiPriority w:val="99"/>
    <w:pPr>
      <w:overflowPunct w:val="0"/>
      <w:autoSpaceDE w:val="0"/>
      <w:autoSpaceDN w:val="0"/>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auto"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6">
    <w:name w:val="Lined - Accent"/>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57">
    <w:name w:val="Lined - Accent 1"/>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58">
    <w:name w:val="Lined - Accent 2"/>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59">
    <w:name w:val="Lined - Accent 3"/>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0">
    <w:name w:val="Lined - Accent 4"/>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1">
    <w:name w:val="Lined - Accent 5"/>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2">
    <w:name w:val="Lined - Accent 6"/>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63">
    <w:name w:val="Bordered &amp; Lined - Accent"/>
    <w:basedOn w:val="27"/>
    <w:qFormat/>
    <w:uiPriority w:val="99"/>
    <w:pPr>
      <w:overflowPunct w:val="0"/>
      <w:autoSpaceDE w:val="0"/>
      <w:autoSpaceDN w:val="0"/>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4">
    <w:name w:val="Bordered &amp; Lined - Accent 1"/>
    <w:basedOn w:val="27"/>
    <w:qFormat/>
    <w:uiPriority w:val="99"/>
    <w:pPr>
      <w:overflowPunct w:val="0"/>
      <w:autoSpaceDE w:val="0"/>
      <w:autoSpaceDN w:val="0"/>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65">
    <w:name w:val="Bordered &amp; Lined - Accent 2"/>
    <w:basedOn w:val="27"/>
    <w:qFormat/>
    <w:uiPriority w:val="99"/>
    <w:pPr>
      <w:overflowPunct w:val="0"/>
      <w:autoSpaceDE w:val="0"/>
      <w:autoSpaceDN w:val="0"/>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6">
    <w:name w:val="Bordered &amp; Lined - Accent 3"/>
    <w:basedOn w:val="27"/>
    <w:qFormat/>
    <w:uiPriority w:val="99"/>
    <w:pPr>
      <w:overflowPunct w:val="0"/>
      <w:autoSpaceDE w:val="0"/>
      <w:autoSpaceDN w:val="0"/>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7">
    <w:name w:val="Bordered &amp; Lined - Accent 4"/>
    <w:basedOn w:val="27"/>
    <w:qFormat/>
    <w:uiPriority w:val="99"/>
    <w:pPr>
      <w:overflowPunct w:val="0"/>
      <w:autoSpaceDE w:val="0"/>
      <w:autoSpaceDN w:val="0"/>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8">
    <w:name w:val="Bordered &amp; Lined - Accent 5"/>
    <w:basedOn w:val="27"/>
    <w:qFormat/>
    <w:uiPriority w:val="99"/>
    <w:pPr>
      <w:overflowPunct w:val="0"/>
      <w:autoSpaceDE w:val="0"/>
      <w:autoSpaceDN w:val="0"/>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9">
    <w:name w:val="Bordered &amp; Lined - Accent 6"/>
    <w:basedOn w:val="27"/>
    <w:qFormat/>
    <w:uiPriority w:val="99"/>
    <w:pPr>
      <w:overflowPunct w:val="0"/>
      <w:autoSpaceDE w:val="0"/>
      <w:autoSpaceDN w:val="0"/>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70">
    <w:name w:val="Bordered"/>
    <w:basedOn w:val="27"/>
    <w:qFormat/>
    <w:uiPriority w:val="99"/>
    <w:pPr>
      <w:overflowPunct w:val="0"/>
      <w:autoSpaceDE w:val="0"/>
      <w:autoSpaceDN w:val="0"/>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1">
    <w:name w:val="Bordered - Accent 1"/>
    <w:basedOn w:val="27"/>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2">
    <w:name w:val="Bordered - Accent 2"/>
    <w:basedOn w:val="27"/>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3">
    <w:name w:val="Bordered - Accent 3"/>
    <w:basedOn w:val="27"/>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4">
    <w:name w:val="Bordered - Accent 4"/>
    <w:basedOn w:val="27"/>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5">
    <w:name w:val="Bordered - Accent 5"/>
    <w:basedOn w:val="27"/>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6">
    <w:name w:val="Bordered - Accent 6"/>
    <w:basedOn w:val="27"/>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77">
    <w:name w:val="Footnote Text Char"/>
    <w:link w:val="22"/>
    <w:qFormat/>
    <w:uiPriority w:val="99"/>
    <w:rPr>
      <w:sz w:val="18"/>
    </w:rPr>
  </w:style>
  <w:style w:type="paragraph" w:customStyle="1" w:styleId="178">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FFFFFF"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paragraph" w:customStyle="1" w:styleId="179">
    <w:name w:val="标题 31"/>
    <w:basedOn w:val="1"/>
    <w:next w:val="1"/>
    <w:qFormat/>
    <w:uiPriority w:val="0"/>
    <w:pPr>
      <w:widowControl/>
      <w:spacing w:before="100" w:beforeAutospacing="1" w:after="100" w:afterAutospacing="1"/>
      <w:jc w:val="left"/>
      <w:outlineLvl w:val="2"/>
    </w:pPr>
    <w:rPr>
      <w:rFonts w:ascii="宋体" w:hAnsi="宋体"/>
      <w:b/>
      <w:bCs/>
      <w:kern w:val="0"/>
      <w:sz w:val="27"/>
      <w:szCs w:val="27"/>
    </w:rPr>
  </w:style>
  <w:style w:type="character" w:customStyle="1" w:styleId="180">
    <w:name w:val="默认段落字体1"/>
    <w:link w:val="1"/>
    <w:semiHidden/>
    <w:qFormat/>
    <w:uiPriority w:val="0"/>
  </w:style>
  <w:style w:type="table" w:customStyle="1" w:styleId="181">
    <w:name w:val="普通表格1"/>
    <w:semiHidden/>
    <w:qFormat/>
    <w:uiPriority w:val="0"/>
  </w:style>
  <w:style w:type="paragraph" w:customStyle="1" w:styleId="182">
    <w:name w:val="纯文本1"/>
    <w:basedOn w:val="1"/>
    <w:qFormat/>
    <w:uiPriority w:val="0"/>
    <w:rPr>
      <w:rFonts w:ascii="宋体" w:hAnsi="Courier New"/>
      <w:szCs w:val="22"/>
    </w:rPr>
  </w:style>
  <w:style w:type="paragraph" w:customStyle="1" w:styleId="183">
    <w:name w:val="页脚1"/>
    <w:basedOn w:val="1"/>
    <w:qFormat/>
    <w:uiPriority w:val="0"/>
    <w:pPr>
      <w:tabs>
        <w:tab w:val="center" w:pos="4153"/>
        <w:tab w:val="right" w:pos="8306"/>
      </w:tabs>
      <w:snapToGrid w:val="0"/>
      <w:jc w:val="left"/>
    </w:pPr>
    <w:rPr>
      <w:sz w:val="18"/>
    </w:rPr>
  </w:style>
  <w:style w:type="paragraph" w:customStyle="1" w:styleId="184">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rPr>
  </w:style>
  <w:style w:type="table" w:customStyle="1" w:styleId="185">
    <w:name w:val="网格型1"/>
    <w:basedOn w:val="181"/>
    <w:qFormat/>
    <w:uiPriority w:val="0"/>
    <w:pPr>
      <w:widowControl w:val="0"/>
      <w:jc w:val="both"/>
    </w:pPr>
  </w:style>
  <w:style w:type="character" w:customStyle="1" w:styleId="186">
    <w:name w:val="NormalCharacter"/>
    <w:link w:val="1"/>
    <w:qFormat/>
    <w:uiPriority w:val="0"/>
    <w:rPr>
      <w:rFonts w:ascii="Calibri" w:hAnsi="Calibri"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FFFFFF"/>
        </a:solidFill>
        <a:solidFill>
          <a:srgbClr val="FFFFFF"/>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130</TotalTime>
  <ScaleCrop>false</ScaleCrop>
  <LinksUpToDate>false</LinksUpToDate>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2025-05-23T19:30:00Z</dcterms:created>
  <dc:creator>huawei</dc:creator>
  <cp:lastModifiedBy>lenovo1</cp:lastModifiedBy>
  <cp:lastPrinted>2025-05-27T04:03:00Z</cp:lastPrinted>
  <dcterms:modified xsi:type="dcterms:W3CDTF">2025-05-26T08:23:04Z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D032E0092DB44229B44D369F32F6607B</vt:lpwstr>
  </property>
</Properties>
</file>