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napToGrid/>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b w:val="0"/>
          <w:bCs w:val="0"/>
          <w:sz w:val="44"/>
          <w:szCs w:val="44"/>
        </w:rPr>
        <w:t>《光明区促进文化体育旅游产业发展系列政策（征求意见稿）》</w:t>
      </w:r>
      <w:r>
        <w:rPr>
          <w:rFonts w:hint="eastAsia" w:ascii="方正小标宋简体" w:hAnsi="方正小标宋简体" w:eastAsia="方正小标宋简体" w:cs="方正小标宋简体"/>
          <w:sz w:val="44"/>
          <w:szCs w:val="44"/>
          <w:lang w:val="en-US" w:eastAsia="zh-CN"/>
        </w:rPr>
        <w:t>听证报告</w:t>
      </w:r>
    </w:p>
    <w:p>
      <w:pPr>
        <w:keepNext w:val="0"/>
        <w:keepLines w:val="0"/>
        <w:pageBreakBefore w:val="0"/>
        <w:widowControl w:val="0"/>
        <w:snapToGrid/>
        <w:spacing w:line="560" w:lineRule="exact"/>
        <w:rPr>
          <w:rFonts w:hint="eastAsia" w:ascii="仿宋" w:hAnsi="仿宋" w:eastAsia="仿宋" w:cs="仿宋"/>
          <w:b/>
          <w:bCs/>
          <w:sz w:val="32"/>
          <w:szCs w:val="32"/>
        </w:rPr>
      </w:pPr>
    </w:p>
    <w:p>
      <w:pPr>
        <w:keepNext w:val="0"/>
        <w:keepLines w:val="0"/>
        <w:pageBreakBefore w:val="0"/>
        <w:widowControl w:val="0"/>
        <w:wordWrap w:val="0"/>
        <w:topLinePunct/>
        <w:snapToGrid/>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听证会组织的基本情况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为促进科学、民主、依法决策，切实保障人民群众的知情权、表达权、参与权、监督权，根据</w:t>
      </w:r>
      <w:r>
        <w:rPr>
          <w:rFonts w:hint="eastAsia" w:ascii="仿宋_GB2312" w:hAnsi="仿宋_GB2312" w:eastAsia="仿宋_GB2312" w:cs="仿宋_GB2312"/>
          <w:b w:val="0"/>
          <w:bCs w:val="0"/>
          <w:sz w:val="32"/>
          <w:szCs w:val="32"/>
          <w:u w:val="none"/>
        </w:rPr>
        <w:t>《重大行政决策程序暂行条例》《广东省重大行政决策听证规定》《深圳市行政听证办法》的规定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深圳市光明区文化广电旅游体育局于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14:30在</w:t>
      </w:r>
      <w:r>
        <w:rPr>
          <w:rFonts w:hint="eastAsia" w:ascii="仿宋_GB2312" w:hAnsi="仿宋_GB2312" w:eastAsia="仿宋_GB2312" w:cs="仿宋_GB2312"/>
          <w:sz w:val="32"/>
          <w:szCs w:val="32"/>
          <w:u w:val="none"/>
        </w:rPr>
        <w:t>光明区科润大厦15楼1509会议室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就</w:t>
      </w:r>
      <w:r>
        <w:rPr>
          <w:rFonts w:hint="eastAsia" w:ascii="仿宋_GB2312" w:hAnsi="仿宋_GB2312" w:eastAsia="仿宋_GB2312" w:cs="仿宋_GB2312"/>
          <w:b w:val="0"/>
          <w:bCs w:val="0"/>
          <w:sz w:val="32"/>
          <w:szCs w:val="32"/>
          <w:lang w:eastAsia="zh-CN"/>
        </w:rPr>
        <w:t>《光明区促进文化体育旅游产业发展系列政策（征求意见稿）》</w:t>
      </w:r>
      <w:r>
        <w:rPr>
          <w:rFonts w:hint="eastAsia" w:ascii="仿宋_GB2312" w:hAnsi="仿宋_GB2312" w:eastAsia="仿宋_GB2312" w:cs="仿宋_GB2312"/>
          <w:b w:val="0"/>
          <w:bCs w:val="0"/>
          <w:sz w:val="32"/>
          <w:szCs w:val="32"/>
        </w:rPr>
        <w:t>组织召开听证会。</w:t>
      </w:r>
    </w:p>
    <w:p>
      <w:pPr>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听证主持人：</w:t>
      </w:r>
      <w:r>
        <w:rPr>
          <w:rFonts w:hint="eastAsia" w:ascii="仿宋_GB2312" w:hAnsi="仿宋_GB2312" w:eastAsia="仿宋_GB2312" w:cs="仿宋_GB2312"/>
          <w:b w:val="0"/>
          <w:bCs w:val="0"/>
          <w:sz w:val="32"/>
          <w:szCs w:val="32"/>
          <w:lang w:val="en-US" w:eastAsia="zh-CN"/>
        </w:rPr>
        <w:t>吴宁，工作单位：</w:t>
      </w:r>
      <w:r>
        <w:rPr>
          <w:rFonts w:hint="eastAsia" w:ascii="仿宋_GB2312" w:hAnsi="仿宋_GB2312" w:eastAsia="仿宋_GB2312" w:cs="仿宋_GB2312"/>
          <w:sz w:val="32"/>
          <w:szCs w:val="32"/>
          <w:lang w:val="en"/>
        </w:rPr>
        <w:t>光</w:t>
      </w:r>
      <w:r>
        <w:rPr>
          <w:rFonts w:hint="eastAsia" w:ascii="仿宋_GB2312" w:hAnsi="仿宋_GB2312" w:eastAsia="仿宋_GB2312" w:cs="仿宋_GB2312"/>
          <w:sz w:val="32"/>
          <w:szCs w:val="32"/>
        </w:rPr>
        <w:t>明区法律服务中心</w:t>
      </w:r>
    </w:p>
    <w:p>
      <w:pPr>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听证记录员</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u w:val="none"/>
        </w:rPr>
        <w:t>吴远征</w:t>
      </w:r>
      <w:r>
        <w:rPr>
          <w:rFonts w:hint="eastAsia" w:ascii="仿宋_GB2312" w:hAnsi="仿宋_GB2312" w:eastAsia="仿宋_GB2312" w:cs="仿宋_GB2312"/>
          <w:b w:val="0"/>
          <w:bCs w:val="0"/>
          <w:sz w:val="32"/>
          <w:szCs w:val="32"/>
        </w:rPr>
        <w:t>，工作单位：</w:t>
      </w:r>
      <w:r>
        <w:rPr>
          <w:rFonts w:hint="eastAsia" w:ascii="仿宋_GB2312" w:hAnsi="仿宋_GB2312" w:eastAsia="仿宋_GB2312" w:cs="仿宋_GB2312"/>
          <w:sz w:val="32"/>
          <w:szCs w:val="32"/>
          <w:u w:val="none"/>
        </w:rPr>
        <w:t>光明区文化广电旅游体育局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听证陈述人</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黄庭杰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val="0"/>
          <w:bCs w:val="0"/>
          <w:sz w:val="32"/>
          <w:szCs w:val="32"/>
          <w:lang w:val="en-US" w:eastAsia="zh-CN"/>
        </w:rPr>
        <w:t>工作单位：</w:t>
      </w:r>
      <w:r>
        <w:rPr>
          <w:rFonts w:hint="eastAsia" w:ascii="仿宋_GB2312" w:hAnsi="仿宋_GB2312" w:eastAsia="仿宋_GB2312" w:cs="仿宋_GB2312"/>
          <w:sz w:val="32"/>
          <w:szCs w:val="32"/>
          <w:u w:val="none"/>
        </w:rPr>
        <w:t>光明区文化广电旅游体育局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陈乐智，</w:t>
      </w:r>
      <w:r>
        <w:rPr>
          <w:rFonts w:hint="eastAsia" w:ascii="仿宋_GB2312" w:hAnsi="仿宋_GB2312" w:eastAsia="仿宋_GB2312" w:cs="仿宋_GB2312"/>
          <w:b w:val="0"/>
          <w:bCs w:val="0"/>
          <w:sz w:val="32"/>
          <w:szCs w:val="32"/>
          <w:lang w:val="en-US" w:eastAsia="zh-CN"/>
        </w:rPr>
        <w:t>工作单位：</w:t>
      </w:r>
      <w:r>
        <w:rPr>
          <w:rFonts w:hint="eastAsia" w:ascii="仿宋_GB2312" w:hAnsi="仿宋_GB2312" w:eastAsia="仿宋_GB2312" w:cs="仿宋_GB2312"/>
          <w:sz w:val="32"/>
          <w:szCs w:val="32"/>
          <w:u w:val="none"/>
          <w:lang w:val="en-US" w:eastAsia="zh-CN"/>
        </w:rPr>
        <w:t>光明区文化广电旅游体育局</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u w:val="none"/>
          <w:lang w:val="en-US" w:eastAsia="zh-CN"/>
        </w:rPr>
        <w:t>张金泉，</w:t>
      </w:r>
      <w:r>
        <w:rPr>
          <w:rFonts w:hint="eastAsia" w:ascii="仿宋_GB2312" w:hAnsi="仿宋_GB2312" w:eastAsia="仿宋_GB2312" w:cs="仿宋_GB2312"/>
          <w:b w:val="0"/>
          <w:bCs w:val="0"/>
          <w:sz w:val="32"/>
          <w:szCs w:val="32"/>
          <w:lang w:val="en-US" w:eastAsia="zh-CN"/>
        </w:rPr>
        <w:t>工作单位：</w:t>
      </w:r>
      <w:r>
        <w:rPr>
          <w:rFonts w:hint="eastAsia" w:ascii="仿宋_GB2312" w:hAnsi="仿宋_GB2312" w:eastAsia="仿宋_GB2312" w:cs="仿宋_GB2312"/>
          <w:sz w:val="32"/>
          <w:szCs w:val="32"/>
          <w:u w:val="none"/>
          <w:lang w:val="en-US" w:eastAsia="zh-CN"/>
        </w:rPr>
        <w:t>光明区文化广电旅游体育局</w:t>
      </w:r>
    </w:p>
    <w:p>
      <w:pPr>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val="0"/>
        <w:snapToGrid/>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听证参加人的产生方式及基本情况</w:t>
      </w:r>
      <w:r>
        <w:rPr>
          <w:rFonts w:hint="eastAsia" w:ascii="仿宋_GB2312" w:hAnsi="仿宋_GB2312" w:eastAsia="仿宋_GB2312" w:cs="仿宋_GB2312"/>
          <w:b/>
          <w:bCs/>
          <w:sz w:val="32"/>
          <w:szCs w:val="32"/>
        </w:rPr>
        <w:t>：</w:t>
      </w:r>
    </w:p>
    <w:tbl>
      <w:tblPr>
        <w:tblStyle w:val="22"/>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625"/>
        <w:gridCol w:w="1686"/>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产生方式</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姓名</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刘佳峻</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收放（深圳）文化传媒有限公司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肖海</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深圳市演出行业协会会长和深圳华南演业歌舞剧团有限公司总经理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周琦超</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华强高新产业园投资发展有限公司总监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陈健乐</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深圳市光明红满庭红木文化古镇总经理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梁怡</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深圳光明天安云谷逸衡和智选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假日酒店总经理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程凯</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深圳众程国际旅行社有限公司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陶武松</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深圳市优跃体育文化发展有限公司总经理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赵信松</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深圳市光明区网球协会秘书长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yellow"/>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报名</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肖祝胤</w:t>
            </w:r>
          </w:p>
        </w:tc>
        <w:tc>
          <w:tcPr>
            <w:tcW w:w="4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深圳市载途文化传播有限公司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8"/>
                <w:szCs w:val="28"/>
              </w:rPr>
              <w:t>社区部经理</w:t>
            </w:r>
          </w:p>
        </w:tc>
      </w:tr>
    </w:tbl>
    <w:p>
      <w:pPr>
        <w:keepNext w:val="0"/>
        <w:keepLines w:val="0"/>
        <w:pageBreakBefore w:val="0"/>
        <w:widowControl w:val="0"/>
        <w:snapToGrid/>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听证</w:t>
      </w:r>
      <w:r>
        <w:rPr>
          <w:rFonts w:hint="eastAsia" w:ascii="仿宋_GB2312" w:hAnsi="仿宋_GB2312" w:eastAsia="仿宋_GB2312" w:cs="仿宋_GB2312"/>
          <w:b/>
          <w:bCs/>
          <w:sz w:val="32"/>
          <w:szCs w:val="32"/>
          <w:lang w:val="en-US" w:eastAsia="zh-CN"/>
        </w:rPr>
        <w:t>参加人提出的主要意见或建议及其依据、理由：</w:t>
      </w:r>
    </w:p>
    <w:p>
      <w:pPr>
        <w:pStyle w:val="10"/>
        <w:keepNext w:val="0"/>
        <w:keepLines w:val="0"/>
        <w:pageBreakBefore w:val="0"/>
        <w:widowControl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刘佳峻</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《促进文化产业发展的若干措施》“第十二条 支持举办文化产业及演出活动”中第二点“支持举办营业性演出活动”，补贴资金能否不要写最高值，而是写区间值？</w:t>
      </w:r>
    </w:p>
    <w:p>
      <w:pPr>
        <w:pStyle w:val="10"/>
        <w:keepNext w:val="0"/>
        <w:keepLines w:val="0"/>
        <w:pageBreakBefore w:val="0"/>
        <w:widowControl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肖海</w:t>
      </w:r>
      <w:r>
        <w:rPr>
          <w:rFonts w:hint="eastAsia" w:ascii="仿宋_GB2312" w:hAnsi="仿宋_GB2312" w:eastAsia="仿宋_GB2312" w:cs="仿宋_GB2312"/>
          <w:b/>
          <w:bCs/>
          <w:sz w:val="32"/>
          <w:szCs w:val="32"/>
        </w:rPr>
        <w:t>：</w:t>
      </w:r>
    </w:p>
    <w:p>
      <w:pPr>
        <w:pStyle w:val="10"/>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1.《促进文化产业发展的若干措施》“第十三条 打造多元演艺空间”给予奖励，这个奖励是针对演出空间还是演出环节？</w:t>
      </w:r>
    </w:p>
    <w:p>
      <w:pPr>
        <w:pStyle w:val="10"/>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2.《促进文化产业发展的若干措施》“第十二条 支持举办文化产业及演出活动”中第一点“支持举办特色文化产业活动”，其中举办音乐节需要报备吗？</w:t>
      </w:r>
    </w:p>
    <w:p>
      <w:pPr>
        <w:pStyle w:val="10"/>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3.《促进文化产业发展的若干措施》“第十三条 打造多元演艺空间”中新型演艺空间的售票数量以什么为标准？</w:t>
      </w:r>
    </w:p>
    <w:p>
      <w:pPr>
        <w:pStyle w:val="10"/>
        <w:keepNext w:val="0"/>
        <w:keepLines w:val="0"/>
        <w:pageBreakBefore w:val="0"/>
        <w:widowControl w:val="0"/>
        <w:wordWrap w:val="0"/>
        <w:topLinePunct/>
        <w:snapToGrid/>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周琦超</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促进</w:t>
      </w:r>
      <w:r>
        <w:rPr>
          <w:rFonts w:hint="eastAsia" w:ascii="仿宋_GB2312" w:hAnsi="仿宋_GB2312" w:eastAsia="仿宋_GB2312" w:cs="仿宋_GB2312"/>
          <w:b w:val="0"/>
          <w:bCs w:val="0"/>
          <w:sz w:val="32"/>
          <w:szCs w:val="32"/>
        </w:rPr>
        <w:t>文化产业发展的若干措施》“第十三条 打造多元演艺空间”</w:t>
      </w:r>
      <w:r>
        <w:rPr>
          <w:rFonts w:hint="eastAsia" w:ascii="仿宋_GB2312" w:hAnsi="仿宋_GB2312" w:eastAsia="仿宋_GB2312" w:cs="仿宋_GB2312"/>
          <w:b w:val="0"/>
          <w:bCs w:val="0"/>
          <w:sz w:val="32"/>
          <w:szCs w:val="32"/>
          <w:lang w:val="en-US" w:eastAsia="zh-CN"/>
        </w:rPr>
        <w:t>中</w:t>
      </w:r>
      <w:r>
        <w:rPr>
          <w:rFonts w:hint="eastAsia" w:ascii="仿宋_GB2312" w:hAnsi="仿宋_GB2312" w:eastAsia="仿宋_GB2312" w:cs="仿宋_GB2312"/>
          <w:b w:val="0"/>
          <w:bCs w:val="0"/>
          <w:sz w:val="32"/>
          <w:szCs w:val="32"/>
        </w:rPr>
        <w:t>“深圳市演艺新空间”，这个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怎么定义？</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并就</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促进</w:t>
      </w:r>
      <w:r>
        <w:rPr>
          <w:rFonts w:hint="eastAsia" w:ascii="仿宋_GB2312" w:hAnsi="仿宋_GB2312" w:eastAsia="仿宋_GB2312" w:cs="仿宋_GB2312"/>
          <w:b w:val="0"/>
          <w:bCs w:val="0"/>
          <w:sz w:val="32"/>
          <w:szCs w:val="32"/>
        </w:rPr>
        <w:t>文化产业发展的若干措施》提出</w:t>
      </w:r>
      <w:r>
        <w:rPr>
          <w:rFonts w:hint="eastAsia" w:ascii="仿宋_GB2312" w:hAnsi="仿宋_GB2312" w:eastAsia="仿宋_GB2312" w:cs="仿宋_GB2312"/>
          <w:b w:val="0"/>
          <w:bCs w:val="0"/>
          <w:sz w:val="32"/>
          <w:szCs w:val="32"/>
          <w:lang w:val="en-US" w:eastAsia="zh-CN"/>
        </w:rPr>
        <w:t>以下</w:t>
      </w:r>
      <w:r>
        <w:rPr>
          <w:rFonts w:hint="eastAsia" w:ascii="仿宋_GB2312" w:hAnsi="仿宋_GB2312" w:eastAsia="仿宋_GB2312" w:cs="仿宋_GB2312"/>
          <w:b w:val="0"/>
          <w:bCs w:val="0"/>
          <w:sz w:val="32"/>
          <w:szCs w:val="32"/>
        </w:rPr>
        <w:t>建议：</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一、建议增加普惠性扶持政策，扩大政策覆盖面</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当前《</w:t>
      </w:r>
      <w:r>
        <w:rPr>
          <w:rFonts w:hint="eastAsia" w:ascii="仿宋_GB2312" w:hAnsi="仿宋_GB2312" w:eastAsia="仿宋_GB2312" w:cs="仿宋_GB2312"/>
          <w:b w:val="0"/>
          <w:bCs w:val="0"/>
          <w:sz w:val="32"/>
          <w:szCs w:val="32"/>
          <w:lang w:val="en-US" w:eastAsia="zh-CN"/>
        </w:rPr>
        <w:t>促进</w:t>
      </w:r>
      <w:r>
        <w:rPr>
          <w:rFonts w:hint="eastAsia" w:ascii="仿宋_GB2312" w:hAnsi="仿宋_GB2312" w:eastAsia="仿宋_GB2312" w:cs="仿宋_GB2312"/>
          <w:b w:val="0"/>
          <w:bCs w:val="0"/>
          <w:sz w:val="32"/>
          <w:szCs w:val="32"/>
        </w:rPr>
        <w:t>文化产业发展的若干措施》以奖励和补贴形式支持企业成长（如第三章、第四章），但扶持对象多集中于已具备一定规模或取得阶段性成果的企业（如规模以上企业、获评市级荣誉企业）。</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建议增设普惠性条款，例如：设立“文化产业初创企业培育计划”，对注册不满3年、年营收低于500万元的小微文化企业，按年度研发投入或核心业务收入的10%给予补贴，每年最高10万元，连续支持3年。</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二、建议降低部分补贴申报门槛，强化企业引进功能</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促进</w:t>
      </w:r>
      <w:r>
        <w:rPr>
          <w:rFonts w:hint="eastAsia" w:ascii="仿宋_GB2312" w:hAnsi="仿宋_GB2312" w:eastAsia="仿宋_GB2312" w:cs="仿宋_GB2312"/>
          <w:b w:val="0"/>
          <w:bCs w:val="0"/>
          <w:sz w:val="32"/>
          <w:szCs w:val="32"/>
        </w:rPr>
        <w:t>文化产业发展的若干措施》现有部分条款对场地面积、营收规模等要求较高，可能将部分优质初创企业排除在外。建议分档分级设置扶持条件：</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调整企业规模认定标准，第三章第七条对园区引进“年收入超亿元企业”给予奖励，建议增设“年收入超1000万元企业”档位（每新增1家奖励5万元），鼓励园区培育潜力企业。</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三、建议优化筛选机制，兼顾扶持与质量把控</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在降低门槛的同时，可通过以下方式确保政策精准性：</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1.引入“潜力评估指标”</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对未达到现有规模标准的企业，可通过创新能力（如知识产权数量）、市场前景（如订单增长率）等维度综合评估，择优支持。</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2.建立动态退出机制</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对连续3年未实现营收增长或未通过年度考核的企业，暂停后续补贴发放，避免资源浪费。</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四、其他补充建议</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强化产业链协同支持</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对入驻园区的上下游配套企业（如内容制作、数字技术供应商），可额外给予5%的租金补贴加成。</w:t>
      </w:r>
    </w:p>
    <w:p>
      <w:pPr>
        <w:pStyle w:val="10"/>
        <w:keepNext w:val="0"/>
        <w:keepLines w:val="0"/>
        <w:pageBreakBefore w:val="0"/>
        <w:widowControl w:val="0"/>
        <w:wordWrap w:val="0"/>
        <w:topLinePunct/>
        <w:snapToGrid/>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以上建议旨在通过普惠性政策吸引企业落地、降低初创期生存压力，同时优化筛选机制保障资金使用效率。盼贵局结合财政预算与政策目标统筹考量，进一步激发光明区文化产业活力。</w:t>
      </w:r>
    </w:p>
    <w:p>
      <w:pPr>
        <w:pStyle w:val="10"/>
        <w:keepNext w:val="0"/>
        <w:keepLines w:val="0"/>
        <w:pageBreakBefore w:val="0"/>
        <w:widowControl w:val="0"/>
        <w:wordWrap w:val="0"/>
        <w:topLinePunct/>
        <w:snapToGrid/>
        <w:spacing w:line="56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陈健乐</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《促进旅游产业发展的若干措施》“第五条 旅游景区（点）质量等级评定奖励”中“对于通过评定性复核的国家5A、4A、3A级旅游景区的申报主体，分别给予一次性30万元、20万元、10万元奖励”是属于新增条例吗？</w:t>
      </w:r>
    </w:p>
    <w:p>
      <w:pPr>
        <w:pStyle w:val="10"/>
        <w:keepNext w:val="0"/>
        <w:keepLines w:val="0"/>
        <w:pageBreakBefore w:val="0"/>
        <w:widowControl w:val="0"/>
        <w:wordWrap w:val="0"/>
        <w:topLinePunct/>
        <w:snapToGrid/>
        <w:spacing w:line="56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梁怡</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天安云谷计划打造旅游特色街，这是否属于《促进旅游产业发展的若干措施》提到的特色文化旅游活动？</w:t>
      </w:r>
    </w:p>
    <w:p>
      <w:pPr>
        <w:pStyle w:val="10"/>
        <w:keepNext w:val="0"/>
        <w:keepLines w:val="0"/>
        <w:pageBreakBefore w:val="0"/>
        <w:widowControl w:val="0"/>
        <w:wordWrap w:val="0"/>
        <w:topLinePunct/>
        <w:snapToGrid/>
        <w:spacing w:line="560" w:lineRule="exact"/>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陶武松</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《促进体育产业发展的若干措施》“第七条 对重点鼓励发展的运动项目实施分类引导、精准扶持”其中分类中没有明确提及定向越野、无线电等光明区优势项目，是否没有列入扶持项目范围？</w:t>
      </w:r>
    </w:p>
    <w:p>
      <w:pPr>
        <w:pStyle w:val="10"/>
        <w:keepNext w:val="0"/>
        <w:keepLines w:val="0"/>
        <w:pageBreakBefore w:val="0"/>
        <w:widowControl w:val="0"/>
        <w:wordWrap w:val="0"/>
        <w:topLinePunct/>
        <w:snapToGrid/>
        <w:spacing w:line="560" w:lineRule="exact"/>
        <w:ind w:firstLine="64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赵信松</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这个问题针对三位科室的陈述人，因为个人觉得这个问题是一个核心问题，认为《促进体育产业发展的若干措施》“第十五条 鼓励社会力量参与体育场地设施建设”这一点写得非常好，认为补贴奖励的对象，他的资质一定是来自社会资本。无论是旅游还是体育赛事服务，他的资金来源重要。如果是财政或者是国家专项补贴，其本身就已经具有一定优势，光明区还要再去给予补贴，觉得这不太合理。个人觉得很多项目都是央企国企运营，现在制定《促进文化体育旅游产业发展系列政策》肯定是鼓励民营企业，因为只有通过社会化地运营带来效益才能鼓励他们。</w:t>
      </w:r>
    </w:p>
    <w:p>
      <w:pPr>
        <w:keepNext w:val="0"/>
        <w:keepLines w:val="0"/>
        <w:pageBreakBefore w:val="0"/>
        <w:widowControl w:val="0"/>
        <w:snapToGrid/>
        <w:spacing w:line="56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听证参加人-</w:t>
      </w:r>
      <w:r>
        <w:rPr>
          <w:rFonts w:hint="eastAsia" w:ascii="仿宋_GB2312" w:hAnsi="仿宋_GB2312" w:eastAsia="仿宋_GB2312" w:cs="仿宋_GB2312"/>
          <w:b/>
          <w:bCs/>
          <w:sz w:val="32"/>
          <w:szCs w:val="32"/>
          <w:lang w:val="en-US" w:eastAsia="zh-CN"/>
        </w:rPr>
        <w:t>肖祝胤</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《促进体育产业发展的若干措施》“第七条 对重点鼓励发展的运动项目实施分类引导、精准扶持”没有提及徒步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登山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越野等常规类项目，是不是不予以支持？</w:t>
      </w:r>
    </w:p>
    <w:p>
      <w:pPr>
        <w:keepNext w:val="0"/>
        <w:keepLines w:val="0"/>
        <w:pageBreakBefore w:val="0"/>
        <w:widowControl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最近几年，从国家到深圳，出台了多个方案计划，大力推动户外运动发展。2023年，国务院办公厅转发国家发展改革委等部门发布的《促进户外运动设施建设与服务提升行动方案（2023—2025年）》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提出多项举措推动户外运动产业发展。完善、增加山地户外运动设施。普及程度大幅提升，参与人数不断增长，推动户外运动产业总规模</w:t>
      </w:r>
      <w:r>
        <w:rPr>
          <w:rFonts w:hint="eastAsia" w:ascii="仿宋_GB2312" w:hAnsi="仿宋_GB2312" w:eastAsia="仿宋_GB2312" w:cs="仿宋_GB2312"/>
          <w:b w:val="0"/>
          <w:bCs w:val="0"/>
          <w:sz w:val="32"/>
          <w:szCs w:val="32"/>
          <w:lang w:eastAsia="zh-CN"/>
        </w:rPr>
        <w:t>到</w:t>
      </w:r>
      <w:r>
        <w:rPr>
          <w:rFonts w:hint="eastAsia" w:ascii="仿宋_GB2312" w:hAnsi="仿宋_GB2312" w:eastAsia="仿宋_GB2312" w:cs="仿宋_GB2312"/>
          <w:b w:val="0"/>
          <w:bCs w:val="0"/>
          <w:sz w:val="32"/>
          <w:szCs w:val="32"/>
        </w:rPr>
        <w:t>2025年达到3万亿元等目标。2025年，国务院办公厅转发国家发展改革委、体育总局发布的《关于建设高质量户外运动目的地的指导意见》：发展户外运动是满足人民群众日益增长的运动健康需求、推动全民健身及相关体育产业发展、培育新的经济增长点、促进绿水青山向金山银山转化的重要举措。明确到2030年，全国建设100个左右高质量户外运动目的地，推动户外运动产业成为新的经济增长点。深圳这几年一直在大力推动“山海连城”计划。建议户外类单独列出来，具有巨大的社会效应，深圳年轻人多，户外运动有益于身心健康。适度运动，锻炼身体，不拼强度，非竞赛、非对抗，安全不伤身。所以户外运动参与人数多、群众基础广泛。</w:t>
      </w:r>
    </w:p>
    <w:p>
      <w:pPr>
        <w:keepNext w:val="0"/>
        <w:keepLines w:val="0"/>
        <w:pageBreakBefore w:val="0"/>
        <w:widowControl w:val="0"/>
        <w:snapToGrid/>
        <w:spacing w:line="56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听证会争论的主要问题</w:t>
      </w:r>
      <w:r>
        <w:rPr>
          <w:rFonts w:hint="eastAsia" w:ascii="仿宋_GB2312" w:hAnsi="仿宋_GB2312" w:eastAsia="仿宋_GB2312" w:cs="仿宋_GB2312"/>
          <w:b/>
          <w:bCs/>
          <w:sz w:val="32"/>
          <w:szCs w:val="32"/>
          <w:lang w:eastAsia="zh-CN"/>
        </w:rPr>
        <w:t>：</w:t>
      </w:r>
    </w:p>
    <w:p>
      <w:pPr>
        <w:keepNext w:val="0"/>
        <w:keepLines w:val="0"/>
        <w:pageBreakBefore w:val="0"/>
        <w:widowControl w:val="0"/>
        <w:snapToGrid/>
        <w:spacing w:line="56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针对《促进体育产业发展的若干措施》“第十五条 鼓励社会力量参与体育场地设施建设”，认为补贴奖励的对象资质需要来源于社会资本。无论是旅游还是体育赛事服务，他的资金来源重要。如果是财政或者是国家专项补贴，其本身就已经具有一定优势，光明区还要再去给予补贴，觉得这不太合理。很多项目都是央企国企运营，现在制定《促进文化体育旅游产业发展系列政策》的目的是鼓励民营企业，因为民营企业只有通过社会化地运营带来了效益，才能激发其持续发展。</w:t>
      </w:r>
    </w:p>
    <w:p>
      <w:pPr>
        <w:keepNext w:val="0"/>
        <w:keepLines w:val="0"/>
        <w:pageBreakBefore w:val="0"/>
        <w:widowControl w:val="0"/>
        <w:snapToGrid/>
        <w:spacing w:line="560" w:lineRule="exact"/>
        <w:ind w:firstLine="642" w:firstLineChars="200"/>
        <w:rPr>
          <w:rFonts w:hint="eastAsia" w:ascii="仿宋_GB2312" w:hAnsi="仿宋_GB2312" w:eastAsia="仿宋_GB2312" w:cs="仿宋_GB2312"/>
          <w:b/>
          <w:bCs/>
          <w:sz w:val="32"/>
          <w:szCs w:val="32"/>
        </w:rPr>
        <w:sectPr>
          <w:footerReference r:id="rId5"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snapToGrid/>
        <w:spacing w:line="560" w:lineRule="exact"/>
        <w:ind w:firstLine="642" w:firstLineChars="200"/>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rPr>
        <w:t>对听证会各方意见的分析以及处理建议</w:t>
      </w:r>
      <w:r>
        <w:rPr>
          <w:rFonts w:hint="eastAsia" w:ascii="仿宋_GB2312" w:hAnsi="仿宋_GB2312" w:eastAsia="仿宋_GB2312" w:cs="仿宋_GB2312"/>
          <w:b/>
          <w:bCs/>
          <w:sz w:val="32"/>
          <w:szCs w:val="32"/>
          <w:lang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tcPr>
          <w:p>
            <w:pPr>
              <w:keepNext w:val="0"/>
              <w:keepLines w:val="0"/>
              <w:pageBreakBefore w:val="0"/>
              <w:widowControl w:val="0"/>
              <w:snapToGrid/>
              <w:spacing w:line="56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听证参加人意见</w:t>
            </w:r>
          </w:p>
        </w:tc>
        <w:tc>
          <w:tcPr>
            <w:tcW w:w="5970" w:type="dxa"/>
            <w:noWrap w:val="0"/>
          </w:tcPr>
          <w:p>
            <w:pPr>
              <w:keepNext w:val="0"/>
              <w:keepLines w:val="0"/>
              <w:pageBreakBefore w:val="0"/>
              <w:widowControl w:val="0"/>
              <w:snapToGrid/>
              <w:spacing w:line="560" w:lineRule="exact"/>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分析及处理建议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刘佳峻</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政策补贴受到年度专项资金总额度的控制，需要根据当年资金总盘子来确定，尽量在后续制定的申报指南中进行明确。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bCs/>
                <w:sz w:val="36"/>
                <w:szCs w:val="36"/>
                <w:vertAlign w:val="baseline"/>
                <w:lang w:eastAsia="zh-CN"/>
              </w:rPr>
            </w:pPr>
            <w:r>
              <w:rPr>
                <w:rFonts w:hint="eastAsia" w:ascii="仿宋_GB2312" w:hAnsi="仿宋_GB2312" w:eastAsia="仿宋_GB2312" w:cs="仿宋_GB2312"/>
                <w:b w:val="0"/>
                <w:bCs w:val="0"/>
                <w:sz w:val="28"/>
                <w:szCs w:val="28"/>
                <w:vertAlign w:val="baseline"/>
                <w:lang w:val="en-US" w:eastAsia="zh-CN"/>
              </w:rPr>
              <w:t>肖海</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1.演艺空间奖励主体以获奖的主体为准，因为现在市里已经出台了关于深圳市演艺新空间的认定办法，深圳市的办法只做认定，没有奖励，区里会与市里政策形成互补。</w:t>
            </w:r>
          </w:p>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2.举办音乐节需要报备，后续会出台政策相应的申报指南进行明确。</w:t>
            </w:r>
          </w:p>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bCs/>
                <w:sz w:val="36"/>
                <w:szCs w:val="36"/>
                <w:vertAlign w:val="baseline"/>
                <w:lang w:eastAsia="zh-CN"/>
              </w:rPr>
            </w:pPr>
            <w:r>
              <w:rPr>
                <w:rFonts w:hint="eastAsia" w:ascii="仿宋_GB2312" w:hAnsi="仿宋_GB2312" w:eastAsia="仿宋_GB2312" w:cs="仿宋_GB2312"/>
                <w:b w:val="0"/>
                <w:bCs w:val="0"/>
                <w:sz w:val="28"/>
                <w:szCs w:val="28"/>
                <w:vertAlign w:val="baseline"/>
                <w:lang w:val="en-US" w:eastAsia="zh-CN"/>
              </w:rPr>
              <w:t>3.售票以票务系统出票记录为准。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bCs/>
                <w:sz w:val="36"/>
                <w:szCs w:val="36"/>
                <w:vertAlign w:val="baseline"/>
                <w:lang w:val="en-US" w:eastAsia="zh-CN"/>
              </w:rPr>
            </w:pPr>
            <w:r>
              <w:rPr>
                <w:rFonts w:hint="eastAsia" w:ascii="仿宋_GB2312" w:hAnsi="仿宋_GB2312" w:eastAsia="仿宋_GB2312" w:cs="仿宋_GB2312"/>
                <w:b w:val="0"/>
                <w:bCs w:val="0"/>
                <w:sz w:val="28"/>
                <w:szCs w:val="28"/>
                <w:vertAlign w:val="baseline"/>
                <w:lang w:val="en-US" w:eastAsia="zh-CN"/>
              </w:rPr>
              <w:t>周琦超</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1.按照目前政策制定初衷，对于在2024年5月旧政策失效之后，新政策印发之前符合新政策的项目，可以按照新政策给予奖励，但是否可执行，后续还要以财政、司法及市监等部门意见为准。</w:t>
            </w:r>
          </w:p>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2.充分考虑提出的建议，后续经商议做出相应调整。</w:t>
            </w:r>
          </w:p>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3.充分考虑提出的建议，后续经商议做出相应调整。</w:t>
            </w:r>
          </w:p>
          <w:p>
            <w:pPr>
              <w:keepNext w:val="0"/>
              <w:keepLines w:val="0"/>
              <w:pageBreakBefore w:val="0"/>
              <w:widowControl w:val="0"/>
              <w:snapToGrid/>
              <w:spacing w:line="560" w:lineRule="exact"/>
              <w:ind w:firstLine="560" w:firstLineChars="200"/>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4.针对特定企业给予补贴，涉嫌违反公平竞争审查和建设全国统一大市场有关规定。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bCs/>
                <w:sz w:val="36"/>
                <w:szCs w:val="36"/>
                <w:vertAlign w:val="baseline"/>
                <w:lang w:eastAsia="zh-CN"/>
              </w:rPr>
            </w:pPr>
            <w:r>
              <w:rPr>
                <w:rFonts w:hint="eastAsia" w:ascii="仿宋_GB2312" w:hAnsi="仿宋_GB2312" w:eastAsia="仿宋_GB2312" w:cs="仿宋_GB2312"/>
                <w:b w:val="0"/>
                <w:bCs w:val="0"/>
                <w:sz w:val="28"/>
                <w:szCs w:val="28"/>
                <w:vertAlign w:val="baseline"/>
                <w:lang w:val="en-US" w:eastAsia="zh-CN"/>
              </w:rPr>
              <w:t>陈健乐</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bCs/>
                <w:sz w:val="36"/>
                <w:szCs w:val="36"/>
                <w:vertAlign w:val="baseline"/>
                <w:lang w:eastAsia="zh-CN"/>
              </w:rPr>
            </w:pPr>
            <w:r>
              <w:rPr>
                <w:rFonts w:hint="eastAsia" w:ascii="仿宋_GB2312" w:hAnsi="仿宋_GB2312" w:eastAsia="仿宋_GB2312" w:cs="仿宋_GB2312"/>
                <w:b w:val="0"/>
                <w:bCs w:val="0"/>
                <w:sz w:val="28"/>
                <w:szCs w:val="28"/>
                <w:vertAlign w:val="baseline"/>
                <w:lang w:val="en-US" w:eastAsia="zh-CN"/>
              </w:rPr>
              <w:t>是属于新增条例。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梁怡</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具体以旅游特色街是否举办相关的活动来判定，如果属于《促进旅游产业发展的若干措施》“第九条 鼓励特色旅游活动举办”，则可按相关条例给予支持。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陶武松</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关于提及的定向越野、无线电项目，是涵盖在科技体育类范畴了，属于二类扶持项目，另外体育模型科技等也是涵盖在内的。此类项目光明区在场地发展基础等方面具有非常好的优势，将给予支持项目持续发展。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bCs/>
                <w:sz w:val="36"/>
                <w:szCs w:val="36"/>
                <w:vertAlign w:val="baseline"/>
                <w:lang w:eastAsia="zh-CN"/>
              </w:rPr>
            </w:pPr>
            <w:r>
              <w:rPr>
                <w:rFonts w:hint="eastAsia" w:ascii="仿宋_GB2312" w:hAnsi="仿宋_GB2312" w:eastAsia="仿宋_GB2312" w:cs="仿宋_GB2312"/>
                <w:b w:val="0"/>
                <w:bCs w:val="0"/>
                <w:sz w:val="28"/>
                <w:szCs w:val="28"/>
                <w:vertAlign w:val="baseline"/>
                <w:lang w:val="en-US" w:eastAsia="zh-CN"/>
              </w:rPr>
              <w:t>赵信松</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bCs/>
                <w:sz w:val="36"/>
                <w:szCs w:val="36"/>
                <w:vertAlign w:val="baseline"/>
                <w:lang w:eastAsia="zh-CN"/>
              </w:rPr>
            </w:pPr>
            <w:r>
              <w:rPr>
                <w:rFonts w:hint="eastAsia" w:ascii="仿宋_GB2312" w:hAnsi="仿宋_GB2312" w:eastAsia="仿宋_GB2312" w:cs="仿宋_GB2312"/>
                <w:b w:val="0"/>
                <w:bCs w:val="0"/>
                <w:sz w:val="28"/>
                <w:szCs w:val="28"/>
                <w:vertAlign w:val="baseline"/>
                <w:lang w:val="en-US" w:eastAsia="zh-CN"/>
              </w:rPr>
              <w:t>充分考虑提出的建议，后续商议做出相应调整。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pPr>
              <w:keepNext w:val="0"/>
              <w:keepLines w:val="0"/>
              <w:pageBreakBefore w:val="0"/>
              <w:widowControl w:val="0"/>
              <w:snapToGrid/>
              <w:spacing w:line="56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肖祝胤</w:t>
            </w:r>
          </w:p>
        </w:tc>
        <w:tc>
          <w:tcPr>
            <w:tcW w:w="5970" w:type="dxa"/>
            <w:noWrap w:val="0"/>
          </w:tcPr>
          <w:p>
            <w:pPr>
              <w:keepNext w:val="0"/>
              <w:keepLines w:val="0"/>
              <w:pageBreakBefore w:val="0"/>
              <w:widowControl w:val="0"/>
              <w:snapToGrid/>
              <w:spacing w:line="560" w:lineRule="exact"/>
              <w:ind w:firstLine="560" w:firstLineChars="20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首先，对企业提到的徒步、登山、越野等户外运动项目是否支持的问题给予回复，光明区着力打造户外运动之区和高质量户外运动目的地，赛事活动方面，此类项目将在具有区域特色的自主品牌体育赛事活动的项目里面给予明确；此外，第五章也增加了支持户外运动相关产业落地的条款，鼓励创建户外运动基地、智能户外运动设施开发等，可给予成果扶持。没有在政策分类，后续在申报指南</w:t>
            </w:r>
            <w:bookmarkStart w:id="0" w:name="_GoBack"/>
            <w:bookmarkEnd w:id="0"/>
            <w:r>
              <w:rPr>
                <w:rFonts w:hint="eastAsia" w:ascii="仿宋_GB2312" w:hAnsi="仿宋_GB2312" w:eastAsia="仿宋_GB2312" w:cs="仿宋_GB2312"/>
                <w:b w:val="0"/>
                <w:bCs w:val="0"/>
                <w:sz w:val="28"/>
                <w:szCs w:val="28"/>
                <w:vertAlign w:val="baseline"/>
                <w:lang w:val="en-US" w:eastAsia="zh-CN"/>
              </w:rPr>
              <w:t>中会明确细化。申报全国高质量户外运动目的地，后续调整中研究。</w:t>
            </w:r>
          </w:p>
        </w:tc>
      </w:tr>
    </w:tbl>
    <w:p>
      <w:pPr>
        <w:keepNext w:val="0"/>
        <w:keepLines w:val="0"/>
        <w:pageBreakBefore w:val="0"/>
        <w:widowControl w:val="0"/>
        <w:snapToGrid/>
        <w:spacing w:line="56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其他需要说明的情况</w:t>
      </w:r>
      <w:r>
        <w:rPr>
          <w:rFonts w:hint="eastAsia" w:ascii="仿宋_GB2312" w:hAnsi="仿宋_GB2312" w:eastAsia="仿宋_GB2312" w:cs="仿宋_GB2312"/>
          <w:b/>
          <w:bCs/>
          <w:sz w:val="32"/>
          <w:szCs w:val="32"/>
          <w:lang w:eastAsia="zh-CN"/>
        </w:rPr>
        <w:t>：</w:t>
      </w:r>
    </w:p>
    <w:p>
      <w:pPr>
        <w:keepNext w:val="0"/>
        <w:keepLines w:val="0"/>
        <w:pageBreakBefore w:val="0"/>
        <w:widowControl w:val="0"/>
        <w:snapToGrid/>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听证会中所有听证参加人提出的意见和建议，均已由听证陈述人作出分析和处理建议，各听证参加人的意见基本得到回应。</w:t>
      </w:r>
    </w:p>
    <w:p>
      <w:pPr>
        <w:pStyle w:val="6"/>
        <w:keepNext w:val="0"/>
        <w:keepLines w:val="0"/>
        <w:pageBreakBefore w:val="0"/>
        <w:widowControl w:val="0"/>
        <w:snapToGrid/>
        <w:spacing w:line="560" w:lineRule="exact"/>
        <w:ind w:firstLine="0"/>
        <w:rPr>
          <w:rFonts w:hint="eastAsia" w:ascii="仿宋_GB2312" w:hAnsi="仿宋_GB2312" w:eastAsia="仿宋_GB2312" w:cs="仿宋_GB2312"/>
          <w:b w:val="0"/>
          <w:bCs w:val="0"/>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val="0"/>
          <w:bCs w:val="0"/>
          <w:kern w:val="2"/>
          <w:sz w:val="32"/>
          <w:szCs w:val="32"/>
          <w:lang w:val="en-US" w:eastAsia="zh-CN" w:bidi="ar-SA"/>
        </w:rPr>
        <w:t>附件：1.听证意见汇总表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2.听证笔录</w:t>
      </w:r>
    </w:p>
    <w:p>
      <w:pPr>
        <w:pStyle w:val="6"/>
        <w:keepNext w:val="0"/>
        <w:keepLines w:val="0"/>
        <w:pageBreakBefore w:val="0"/>
        <w:widowControl w:val="0"/>
        <w:shd w:val="clear" w:fill="auto"/>
        <w:snapToGrid/>
        <w:spacing w:line="560" w:lineRule="exact"/>
        <w:ind w:firstLine="0"/>
        <w:rPr>
          <w:rFonts w:hint="eastAsia" w:ascii="仿宋_GB2312" w:hAnsi="仿宋_GB2312" w:eastAsia="仿宋_GB2312" w:cs="仿宋_GB2312"/>
          <w:b w:val="0"/>
          <w:bCs w:val="0"/>
          <w:kern w:val="2"/>
          <w:sz w:val="32"/>
          <w:szCs w:val="32"/>
          <w:lang w:val="en-US" w:eastAsia="zh-CN" w:bidi="ar-SA"/>
        </w:rPr>
      </w:pPr>
    </w:p>
    <w:p>
      <w:pPr>
        <w:pStyle w:val="6"/>
        <w:keepNext w:val="0"/>
        <w:keepLines w:val="0"/>
        <w:pageBreakBefore w:val="0"/>
        <w:widowControl w:val="0"/>
        <w:shd w:val="clear" w:fill="auto"/>
        <w:snapToGrid/>
        <w:spacing w:line="560" w:lineRule="exact"/>
        <w:ind w:firstLine="0"/>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snapToGrid/>
        <w:spacing w:line="560" w:lineRule="exact"/>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深圳市</w:t>
      </w:r>
      <w:r>
        <w:rPr>
          <w:rFonts w:hint="eastAsia" w:ascii="仿宋_GB2312" w:hAnsi="仿宋_GB2312" w:eastAsia="仿宋_GB2312" w:cs="仿宋_GB2312"/>
          <w:sz w:val="32"/>
          <w:szCs w:val="32"/>
          <w:u w:val="none"/>
        </w:rPr>
        <w:t>光明区文化广电旅游体育局</w:t>
      </w:r>
    </w:p>
    <w:p>
      <w:pPr>
        <w:keepNext w:val="0"/>
        <w:keepLines w:val="0"/>
        <w:pageBreakBefore w:val="0"/>
        <w:widowControl w:val="0"/>
        <w:snapToGrid/>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2025年6月4日</w:t>
      </w:r>
    </w:p>
    <w:p>
      <w:pPr>
        <w:keepNext w:val="0"/>
        <w:keepLines w:val="0"/>
        <w:pageBreakBefore w:val="0"/>
        <w:widowControl w:val="0"/>
        <w:snapToGrid/>
        <w:spacing w:line="560" w:lineRule="exact"/>
        <w:ind w:firstLine="420" w:firstLineChars="200"/>
        <w:rPr>
          <w:rFonts w:hint="eastAsia" w:ascii="仿宋_GB2312" w:hAnsi="仿宋_GB2312" w:eastAsia="仿宋_GB2312" w:cs="仿宋_GB2312"/>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auto"/>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52135"/>
    <w:rsid w:val="000414F7"/>
    <w:rsid w:val="00593490"/>
    <w:rsid w:val="016043F1"/>
    <w:rsid w:val="01BF440E"/>
    <w:rsid w:val="021B6523"/>
    <w:rsid w:val="02BC2D2F"/>
    <w:rsid w:val="02C5158C"/>
    <w:rsid w:val="02DA6C7E"/>
    <w:rsid w:val="03431C52"/>
    <w:rsid w:val="035E3488"/>
    <w:rsid w:val="037863C5"/>
    <w:rsid w:val="03811010"/>
    <w:rsid w:val="039446EB"/>
    <w:rsid w:val="03E01218"/>
    <w:rsid w:val="042D07A9"/>
    <w:rsid w:val="04352135"/>
    <w:rsid w:val="0437112A"/>
    <w:rsid w:val="04D330E5"/>
    <w:rsid w:val="04F35535"/>
    <w:rsid w:val="053E4A03"/>
    <w:rsid w:val="07B61CB8"/>
    <w:rsid w:val="08124FBE"/>
    <w:rsid w:val="083A10B9"/>
    <w:rsid w:val="09642EA9"/>
    <w:rsid w:val="09791712"/>
    <w:rsid w:val="0A124DEA"/>
    <w:rsid w:val="0A264B9C"/>
    <w:rsid w:val="0A8C5B88"/>
    <w:rsid w:val="0ACC485F"/>
    <w:rsid w:val="0B264B83"/>
    <w:rsid w:val="0B4201D8"/>
    <w:rsid w:val="0B9A54F7"/>
    <w:rsid w:val="0BA92DF2"/>
    <w:rsid w:val="0BE81896"/>
    <w:rsid w:val="0BEB6F66"/>
    <w:rsid w:val="0C917334"/>
    <w:rsid w:val="0D0F102B"/>
    <w:rsid w:val="0DC43F13"/>
    <w:rsid w:val="0DEA1BCB"/>
    <w:rsid w:val="0E0F5527"/>
    <w:rsid w:val="0E277680"/>
    <w:rsid w:val="0E51617F"/>
    <w:rsid w:val="0E52151F"/>
    <w:rsid w:val="0E632614"/>
    <w:rsid w:val="0FD3043D"/>
    <w:rsid w:val="0FD72BA0"/>
    <w:rsid w:val="103267A8"/>
    <w:rsid w:val="108E4BB9"/>
    <w:rsid w:val="10E2519B"/>
    <w:rsid w:val="113106E6"/>
    <w:rsid w:val="11692E07"/>
    <w:rsid w:val="11980A39"/>
    <w:rsid w:val="11DA5AB3"/>
    <w:rsid w:val="12130FC5"/>
    <w:rsid w:val="12163F3A"/>
    <w:rsid w:val="12522CCE"/>
    <w:rsid w:val="12BF30FF"/>
    <w:rsid w:val="12F811C8"/>
    <w:rsid w:val="135B2C24"/>
    <w:rsid w:val="1376437D"/>
    <w:rsid w:val="13B77BD4"/>
    <w:rsid w:val="14832432"/>
    <w:rsid w:val="148E7DC9"/>
    <w:rsid w:val="14CA50CA"/>
    <w:rsid w:val="151E296A"/>
    <w:rsid w:val="15A72CFB"/>
    <w:rsid w:val="15D908D7"/>
    <w:rsid w:val="15FC5020"/>
    <w:rsid w:val="165F0C7D"/>
    <w:rsid w:val="1695469E"/>
    <w:rsid w:val="169D1326"/>
    <w:rsid w:val="16BC1C2B"/>
    <w:rsid w:val="174A0642"/>
    <w:rsid w:val="175D266D"/>
    <w:rsid w:val="17602424"/>
    <w:rsid w:val="17C35487"/>
    <w:rsid w:val="17F376D9"/>
    <w:rsid w:val="18672D11"/>
    <w:rsid w:val="18E377A1"/>
    <w:rsid w:val="18F865BB"/>
    <w:rsid w:val="191A2F0D"/>
    <w:rsid w:val="19F6561F"/>
    <w:rsid w:val="1A4C50E5"/>
    <w:rsid w:val="1AC437A4"/>
    <w:rsid w:val="1AEB6C89"/>
    <w:rsid w:val="1B1D5C78"/>
    <w:rsid w:val="1B205140"/>
    <w:rsid w:val="1B741899"/>
    <w:rsid w:val="1B9C71DA"/>
    <w:rsid w:val="1C220782"/>
    <w:rsid w:val="1DA76B67"/>
    <w:rsid w:val="1E5170FD"/>
    <w:rsid w:val="1EA0654E"/>
    <w:rsid w:val="1F985EC1"/>
    <w:rsid w:val="1FD106FB"/>
    <w:rsid w:val="201C5E64"/>
    <w:rsid w:val="202677EE"/>
    <w:rsid w:val="20D719F1"/>
    <w:rsid w:val="21983295"/>
    <w:rsid w:val="219B2E9B"/>
    <w:rsid w:val="21F259FA"/>
    <w:rsid w:val="21FD5334"/>
    <w:rsid w:val="227101ED"/>
    <w:rsid w:val="232272BA"/>
    <w:rsid w:val="23675615"/>
    <w:rsid w:val="243F4C85"/>
    <w:rsid w:val="24610B4C"/>
    <w:rsid w:val="24645DAC"/>
    <w:rsid w:val="24A77298"/>
    <w:rsid w:val="24F775DC"/>
    <w:rsid w:val="25197179"/>
    <w:rsid w:val="2524184E"/>
    <w:rsid w:val="255816B9"/>
    <w:rsid w:val="257A2BA4"/>
    <w:rsid w:val="259C15A5"/>
    <w:rsid w:val="25B5026A"/>
    <w:rsid w:val="2618250D"/>
    <w:rsid w:val="27A27E15"/>
    <w:rsid w:val="27E965B3"/>
    <w:rsid w:val="28125AF3"/>
    <w:rsid w:val="28D4148C"/>
    <w:rsid w:val="28EB582E"/>
    <w:rsid w:val="29052451"/>
    <w:rsid w:val="2AA1140C"/>
    <w:rsid w:val="2B307DC0"/>
    <w:rsid w:val="2BC36512"/>
    <w:rsid w:val="2C9E14C2"/>
    <w:rsid w:val="2CC435F6"/>
    <w:rsid w:val="2D4F64EC"/>
    <w:rsid w:val="2D752FFA"/>
    <w:rsid w:val="2DD26D86"/>
    <w:rsid w:val="2E5F5DE7"/>
    <w:rsid w:val="2FB77156"/>
    <w:rsid w:val="2FBE001C"/>
    <w:rsid w:val="30DC1F36"/>
    <w:rsid w:val="31021E43"/>
    <w:rsid w:val="31152570"/>
    <w:rsid w:val="31603C8E"/>
    <w:rsid w:val="31656E96"/>
    <w:rsid w:val="316D2048"/>
    <w:rsid w:val="317D0C18"/>
    <w:rsid w:val="3251489B"/>
    <w:rsid w:val="33AE06F6"/>
    <w:rsid w:val="345117AD"/>
    <w:rsid w:val="348117CF"/>
    <w:rsid w:val="35664D73"/>
    <w:rsid w:val="359B4F26"/>
    <w:rsid w:val="35C1013F"/>
    <w:rsid w:val="35D54660"/>
    <w:rsid w:val="35FC399A"/>
    <w:rsid w:val="3676053B"/>
    <w:rsid w:val="36D92C11"/>
    <w:rsid w:val="36F95B3F"/>
    <w:rsid w:val="3723074C"/>
    <w:rsid w:val="373C3F12"/>
    <w:rsid w:val="37443DD0"/>
    <w:rsid w:val="37476EF1"/>
    <w:rsid w:val="383C598F"/>
    <w:rsid w:val="386A616C"/>
    <w:rsid w:val="3973001A"/>
    <w:rsid w:val="39787B56"/>
    <w:rsid w:val="397E7D6B"/>
    <w:rsid w:val="39CB3B9A"/>
    <w:rsid w:val="39FE0D6B"/>
    <w:rsid w:val="39FE35A5"/>
    <w:rsid w:val="3A476A38"/>
    <w:rsid w:val="3A72247D"/>
    <w:rsid w:val="3ACA7679"/>
    <w:rsid w:val="3B90705F"/>
    <w:rsid w:val="3C0C248B"/>
    <w:rsid w:val="3D0C1996"/>
    <w:rsid w:val="3D2F0F8E"/>
    <w:rsid w:val="3D7D3613"/>
    <w:rsid w:val="3DAE5EC2"/>
    <w:rsid w:val="3E2947D8"/>
    <w:rsid w:val="3EEF20DF"/>
    <w:rsid w:val="3F5E2485"/>
    <w:rsid w:val="40F462E2"/>
    <w:rsid w:val="410A0219"/>
    <w:rsid w:val="41875AA0"/>
    <w:rsid w:val="420339DD"/>
    <w:rsid w:val="42426100"/>
    <w:rsid w:val="424F168A"/>
    <w:rsid w:val="428471F1"/>
    <w:rsid w:val="431E3EB0"/>
    <w:rsid w:val="43AE3A19"/>
    <w:rsid w:val="43D91CCD"/>
    <w:rsid w:val="44123930"/>
    <w:rsid w:val="45AA3413"/>
    <w:rsid w:val="45BB117C"/>
    <w:rsid w:val="45C02C36"/>
    <w:rsid w:val="45E97ACB"/>
    <w:rsid w:val="46064E72"/>
    <w:rsid w:val="460A3878"/>
    <w:rsid w:val="469B15DD"/>
    <w:rsid w:val="46D31E67"/>
    <w:rsid w:val="46DF12D2"/>
    <w:rsid w:val="47330D5C"/>
    <w:rsid w:val="474A6C5C"/>
    <w:rsid w:val="47E66258"/>
    <w:rsid w:val="48617250"/>
    <w:rsid w:val="487569AA"/>
    <w:rsid w:val="49674341"/>
    <w:rsid w:val="496D7B9C"/>
    <w:rsid w:val="498C7779"/>
    <w:rsid w:val="49CE4453"/>
    <w:rsid w:val="49D06D5C"/>
    <w:rsid w:val="49D203AB"/>
    <w:rsid w:val="4ACB51B5"/>
    <w:rsid w:val="4B3246DF"/>
    <w:rsid w:val="4B951311"/>
    <w:rsid w:val="4CF773C7"/>
    <w:rsid w:val="4D1E3D3C"/>
    <w:rsid w:val="4D2C295F"/>
    <w:rsid w:val="4D384C5B"/>
    <w:rsid w:val="4EC50FD9"/>
    <w:rsid w:val="4ECC0AD3"/>
    <w:rsid w:val="4F053468"/>
    <w:rsid w:val="4F1C53DA"/>
    <w:rsid w:val="4F6247EF"/>
    <w:rsid w:val="4FD277EE"/>
    <w:rsid w:val="4FDA48F5"/>
    <w:rsid w:val="4FDB306A"/>
    <w:rsid w:val="50710E1D"/>
    <w:rsid w:val="52C74B5B"/>
    <w:rsid w:val="52FB3504"/>
    <w:rsid w:val="52FB705C"/>
    <w:rsid w:val="53CE7B91"/>
    <w:rsid w:val="53F3203D"/>
    <w:rsid w:val="54CA2859"/>
    <w:rsid w:val="54F46D90"/>
    <w:rsid w:val="551373AD"/>
    <w:rsid w:val="55502683"/>
    <w:rsid w:val="55FD2D71"/>
    <w:rsid w:val="56275F3C"/>
    <w:rsid w:val="5641528C"/>
    <w:rsid w:val="56B94DD1"/>
    <w:rsid w:val="571010C9"/>
    <w:rsid w:val="5783121E"/>
    <w:rsid w:val="579C6348"/>
    <w:rsid w:val="57CA7556"/>
    <w:rsid w:val="57E056E5"/>
    <w:rsid w:val="581B4E1A"/>
    <w:rsid w:val="5856139C"/>
    <w:rsid w:val="5A3B0686"/>
    <w:rsid w:val="5B1A64ED"/>
    <w:rsid w:val="5B2160B9"/>
    <w:rsid w:val="5B300AF8"/>
    <w:rsid w:val="5B84577F"/>
    <w:rsid w:val="5B944583"/>
    <w:rsid w:val="5BA44364"/>
    <w:rsid w:val="5BB10CCA"/>
    <w:rsid w:val="5BD23922"/>
    <w:rsid w:val="5BFF68DB"/>
    <w:rsid w:val="5C472574"/>
    <w:rsid w:val="5C526444"/>
    <w:rsid w:val="5CC35FC8"/>
    <w:rsid w:val="5CEA5527"/>
    <w:rsid w:val="5CFA65D6"/>
    <w:rsid w:val="5D7B6683"/>
    <w:rsid w:val="5DB524FD"/>
    <w:rsid w:val="5E4F1FBE"/>
    <w:rsid w:val="5E7B72A3"/>
    <w:rsid w:val="5F8623A3"/>
    <w:rsid w:val="5FE12603"/>
    <w:rsid w:val="5FE96E67"/>
    <w:rsid w:val="60397EEB"/>
    <w:rsid w:val="61692F2A"/>
    <w:rsid w:val="616C6FE3"/>
    <w:rsid w:val="617F528E"/>
    <w:rsid w:val="617F52FC"/>
    <w:rsid w:val="623F6839"/>
    <w:rsid w:val="626F0ED0"/>
    <w:rsid w:val="62D15654"/>
    <w:rsid w:val="62D51D92"/>
    <w:rsid w:val="635B4290"/>
    <w:rsid w:val="63893169"/>
    <w:rsid w:val="63BD624B"/>
    <w:rsid w:val="641F0E7D"/>
    <w:rsid w:val="642E3D8B"/>
    <w:rsid w:val="64723D04"/>
    <w:rsid w:val="64B60C0B"/>
    <w:rsid w:val="64EC52DA"/>
    <w:rsid w:val="65253B08"/>
    <w:rsid w:val="653D3504"/>
    <w:rsid w:val="658C7FE7"/>
    <w:rsid w:val="65F04260"/>
    <w:rsid w:val="66171FA7"/>
    <w:rsid w:val="666351EC"/>
    <w:rsid w:val="66CC61B6"/>
    <w:rsid w:val="67010561"/>
    <w:rsid w:val="673F59BF"/>
    <w:rsid w:val="67B140B1"/>
    <w:rsid w:val="67B74233"/>
    <w:rsid w:val="67C969E5"/>
    <w:rsid w:val="685F0E1E"/>
    <w:rsid w:val="68634C04"/>
    <w:rsid w:val="68A84795"/>
    <w:rsid w:val="69D72179"/>
    <w:rsid w:val="6A3A2708"/>
    <w:rsid w:val="6A554E4C"/>
    <w:rsid w:val="6A89565C"/>
    <w:rsid w:val="6B4C44A1"/>
    <w:rsid w:val="6B7B3090"/>
    <w:rsid w:val="6B901C87"/>
    <w:rsid w:val="6BD149A6"/>
    <w:rsid w:val="6C8337EB"/>
    <w:rsid w:val="6CDF30F3"/>
    <w:rsid w:val="6CF303EA"/>
    <w:rsid w:val="6D192AA9"/>
    <w:rsid w:val="6D6C2BD8"/>
    <w:rsid w:val="6D7B2E1B"/>
    <w:rsid w:val="6D932351"/>
    <w:rsid w:val="6DD61AEB"/>
    <w:rsid w:val="6E1342B7"/>
    <w:rsid w:val="6EAE5472"/>
    <w:rsid w:val="6EB337E8"/>
    <w:rsid w:val="6FCC1017"/>
    <w:rsid w:val="70384FF4"/>
    <w:rsid w:val="70692C71"/>
    <w:rsid w:val="70E20DEF"/>
    <w:rsid w:val="70F315D9"/>
    <w:rsid w:val="71092E34"/>
    <w:rsid w:val="717C700F"/>
    <w:rsid w:val="71D6173E"/>
    <w:rsid w:val="71EC2524"/>
    <w:rsid w:val="71EF74C8"/>
    <w:rsid w:val="722B589D"/>
    <w:rsid w:val="722F68B9"/>
    <w:rsid w:val="724A3FE1"/>
    <w:rsid w:val="726C243D"/>
    <w:rsid w:val="727F0905"/>
    <w:rsid w:val="72846232"/>
    <w:rsid w:val="72C53ED8"/>
    <w:rsid w:val="73075151"/>
    <w:rsid w:val="732B7092"/>
    <w:rsid w:val="739432AB"/>
    <w:rsid w:val="73D00F12"/>
    <w:rsid w:val="73F33FEA"/>
    <w:rsid w:val="73F3740F"/>
    <w:rsid w:val="744875A2"/>
    <w:rsid w:val="74D042B0"/>
    <w:rsid w:val="76911266"/>
    <w:rsid w:val="776F7253"/>
    <w:rsid w:val="777E524C"/>
    <w:rsid w:val="77E553A8"/>
    <w:rsid w:val="781E2231"/>
    <w:rsid w:val="783E1615"/>
    <w:rsid w:val="78D8493A"/>
    <w:rsid w:val="78F40E3B"/>
    <w:rsid w:val="79027B53"/>
    <w:rsid w:val="79C33CF6"/>
    <w:rsid w:val="7A044199"/>
    <w:rsid w:val="7A321E0F"/>
    <w:rsid w:val="7A34668D"/>
    <w:rsid w:val="7AF27D19"/>
    <w:rsid w:val="7B3429AD"/>
    <w:rsid w:val="7B3D79A6"/>
    <w:rsid w:val="7BAE0860"/>
    <w:rsid w:val="7BEE4C90"/>
    <w:rsid w:val="7C2C67C8"/>
    <w:rsid w:val="7C3F36DB"/>
    <w:rsid w:val="7C8C53E6"/>
    <w:rsid w:val="7CDC5CDB"/>
    <w:rsid w:val="7D050953"/>
    <w:rsid w:val="7D7790F5"/>
    <w:rsid w:val="7D7F7AED"/>
    <w:rsid w:val="7D9C12B8"/>
    <w:rsid w:val="7E43268B"/>
    <w:rsid w:val="7E861620"/>
    <w:rsid w:val="7F211349"/>
    <w:rsid w:val="7F5B0CFF"/>
    <w:rsid w:val="E6EE2AB5"/>
    <w:rsid w:val="FDB6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等线" w:hAnsi="等线" w:eastAsia="等线" w:cs="等线"/>
      <w:color w:val="auto"/>
      <w:spacing w:val="0"/>
      <w:kern w:val="2"/>
      <w:position w:val="0"/>
      <w:sz w:val="21"/>
      <w:szCs w:val="24"/>
      <w:lang w:val="en-US" w:eastAsia="zh-CN" w:bidi="ar-SA"/>
    </w:rPr>
  </w:style>
  <w:style w:type="paragraph" w:styleId="2">
    <w:name w:val="heading 1"/>
    <w:basedOn w:val="1"/>
    <w:next w:val="1"/>
    <w:link w:val="26"/>
    <w:qFormat/>
    <w:uiPriority w:val="0"/>
    <w:pPr>
      <w:keepNext/>
      <w:keepLines/>
      <w:spacing w:line="560" w:lineRule="exact"/>
      <w:ind w:firstLine="560" w:firstLineChars="200"/>
      <w:outlineLvl w:val="0"/>
    </w:pPr>
    <w:rPr>
      <w:rFonts w:ascii="Times New Roman" w:hAnsi="Times New Roman" w:eastAsia="黑体"/>
      <w:bCs/>
      <w:kern w:val="44"/>
      <w:szCs w:val="44"/>
    </w:rPr>
  </w:style>
  <w:style w:type="paragraph" w:styleId="3">
    <w:name w:val="heading 2"/>
    <w:basedOn w:val="1"/>
    <w:next w:val="1"/>
    <w:link w:val="24"/>
    <w:semiHidden/>
    <w:unhideWhenUsed/>
    <w:qFormat/>
    <w:uiPriority w:val="0"/>
    <w:pPr>
      <w:keepNext/>
      <w:keepLines/>
      <w:ind w:firstLine="560" w:firstLineChars="200"/>
      <w:outlineLvl w:val="1"/>
    </w:pPr>
    <w:rPr>
      <w:rFonts w:eastAsia="楷体" w:asciiTheme="majorAscii" w:hAnsiTheme="majorAscii" w:cstheme="majorBidi"/>
      <w:bCs/>
      <w:szCs w:val="32"/>
    </w:rPr>
  </w:style>
  <w:style w:type="paragraph" w:styleId="4">
    <w:name w:val="heading 3"/>
    <w:basedOn w:val="1"/>
    <w:next w:val="1"/>
    <w:link w:val="25"/>
    <w:semiHidden/>
    <w:unhideWhenUsed/>
    <w:qFormat/>
    <w:uiPriority w:val="0"/>
    <w:pPr>
      <w:keepNext/>
      <w:keepLines/>
      <w:spacing w:line="560" w:lineRule="exact"/>
      <w:outlineLvl w:val="2"/>
    </w:pPr>
    <w:rPr>
      <w:b/>
      <w:bCs/>
      <w:szCs w:val="32"/>
    </w:rPr>
  </w:style>
  <w:style w:type="paragraph" w:styleId="5">
    <w:name w:val="heading 4"/>
    <w:basedOn w:val="1"/>
    <w:next w:val="1"/>
    <w:link w:val="28"/>
    <w:semiHidden/>
    <w:unhideWhenUsed/>
    <w:qFormat/>
    <w:uiPriority w:val="0"/>
    <w:pPr>
      <w:keepNext/>
      <w:keepLines/>
      <w:spacing w:line="560" w:lineRule="exact"/>
      <w:outlineLvl w:val="3"/>
    </w:pPr>
    <w:rPr>
      <w:rFonts w:cstheme="majorBidi"/>
      <w:bCs/>
      <w:szCs w:val="28"/>
    </w:rPr>
  </w:style>
  <w:style w:type="character" w:default="1" w:styleId="23">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qFormat/>
    <w:uiPriority w:val="0"/>
    <w:rPr>
      <w:rFonts w:ascii="Times New Roman" w:hAnsi="Times New Roman"/>
    </w:rPr>
  </w:style>
  <w:style w:type="paragraph" w:styleId="8">
    <w:name w:val="Body Text Indent"/>
    <w:basedOn w:val="1"/>
    <w:qFormat/>
    <w:uiPriority w:val="0"/>
    <w:pPr>
      <w:ind w:left="420" w:leftChars="200"/>
    </w:pPr>
  </w:style>
  <w:style w:type="paragraph" w:styleId="9">
    <w:name w:val="toc 3"/>
    <w:basedOn w:val="1"/>
    <w:next w:val="1"/>
    <w:qFormat/>
    <w:uiPriority w:val="0"/>
    <w:pPr>
      <w:ind w:left="0" w:leftChars="0"/>
    </w:pPr>
    <w:rPr>
      <w:rFonts w:ascii="Times New Roman" w:hAnsi="Times New Roman"/>
    </w:rPr>
  </w:style>
  <w:style w:type="paragraph" w:styleId="10">
    <w:name w:val="Plain Text"/>
    <w:basedOn w:val="1"/>
    <w:qFormat/>
    <w:uiPriority w:val="0"/>
    <w:rPr>
      <w:rFonts w:ascii="宋体" w:hAnsi="Courier New"/>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pPr>
      <w:ind w:firstLine="0" w:firstLineChars="0"/>
    </w:pPr>
    <w:rPr>
      <w:rFonts w:ascii="Times New Roman" w:hAnsi="Times New Roman" w:eastAsia="黑体"/>
    </w:rPr>
  </w:style>
  <w:style w:type="paragraph" w:styleId="14">
    <w:name w:val="footnote text"/>
    <w:basedOn w:val="1"/>
    <w:link w:val="29"/>
    <w:qFormat/>
    <w:uiPriority w:val="0"/>
    <w:pPr>
      <w:snapToGrid w:val="0"/>
      <w:spacing w:line="240" w:lineRule="auto"/>
      <w:jc w:val="left"/>
    </w:pPr>
    <w:rPr>
      <w:rFonts w:eastAsia="楷体"/>
      <w:sz w:val="18"/>
    </w:rPr>
  </w:style>
  <w:style w:type="paragraph" w:styleId="15">
    <w:name w:val="Body Text Indent 3"/>
    <w:basedOn w:val="1"/>
    <w:qFormat/>
    <w:uiPriority w:val="0"/>
    <w:pPr>
      <w:spacing w:after="120" w:afterLines="0" w:afterAutospacing="0"/>
      <w:ind w:left="420" w:leftChars="200"/>
    </w:pPr>
    <w:rPr>
      <w:sz w:val="16"/>
    </w:rPr>
  </w:style>
  <w:style w:type="paragraph" w:styleId="16">
    <w:name w:val="toc 2"/>
    <w:basedOn w:val="1"/>
    <w:next w:val="1"/>
    <w:qFormat/>
    <w:uiPriority w:val="0"/>
    <w:pPr>
      <w:ind w:left="0" w:leftChars="0"/>
    </w:pPr>
    <w:rPr>
      <w:rFonts w:eastAsia="楷体"/>
    </w:rPr>
  </w:style>
  <w:style w:type="paragraph" w:styleId="17">
    <w:name w:val="Normal (Web)"/>
    <w:basedOn w:val="1"/>
    <w:qFormat/>
    <w:uiPriority w:val="0"/>
    <w:pPr>
      <w:widowControl/>
      <w:spacing w:before="-2147483648" w:beforeAutospacing="1" w:after="-2147483648" w:afterAutospacing="1" w:line="240" w:lineRule="auto"/>
      <w:jc w:val="left"/>
    </w:pPr>
    <w:rPr>
      <w:rFonts w:ascii="Times New Roman" w:hAnsi="Times New Roman" w:cs="宋体"/>
      <w:kern w:val="0"/>
      <w:sz w:val="32"/>
    </w:rPr>
  </w:style>
  <w:style w:type="paragraph" w:styleId="18">
    <w:name w:val="Title"/>
    <w:basedOn w:val="1"/>
    <w:next w:val="1"/>
    <w:link w:val="27"/>
    <w:qFormat/>
    <w:uiPriority w:val="0"/>
    <w:pPr>
      <w:spacing w:line="240" w:lineRule="auto"/>
      <w:ind w:firstLine="0" w:firstLineChars="0"/>
      <w:jc w:val="center"/>
      <w:outlineLvl w:val="0"/>
    </w:pPr>
    <w:rPr>
      <w:rFonts w:eastAsia="宋体" w:cstheme="majorBidi"/>
      <w:b/>
      <w:bCs/>
      <w:sz w:val="44"/>
      <w:szCs w:val="32"/>
    </w:rPr>
  </w:style>
  <w:style w:type="paragraph" w:styleId="19">
    <w:name w:val="Body Text First Indent"/>
    <w:basedOn w:val="7"/>
    <w:qFormat/>
    <w:uiPriority w:val="0"/>
    <w:pPr>
      <w:ind w:firstLine="420" w:firstLineChars="100"/>
    </w:pPr>
  </w:style>
  <w:style w:type="paragraph" w:styleId="20">
    <w:name w:val="Body Text First Indent 2"/>
    <w:basedOn w:val="8"/>
    <w:qFormat/>
    <w:uiPriority w:val="0"/>
    <w:pPr>
      <w:spacing w:line="300" w:lineRule="auto"/>
      <w:ind w:left="0" w:leftChars="0" w:firstLine="720" w:firstLineChars="200"/>
    </w:pPr>
  </w:style>
  <w:style w:type="table" w:styleId="22">
    <w:name w:val="Table Grid"/>
    <w:basedOn w:val="21"/>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4">
    <w:name w:val="标题 2 字符"/>
    <w:basedOn w:val="23"/>
    <w:link w:val="3"/>
    <w:qFormat/>
    <w:uiPriority w:val="0"/>
    <w:rPr>
      <w:rFonts w:eastAsia="楷体" w:asciiTheme="majorAscii" w:hAnsiTheme="majorAscii" w:cstheme="majorBidi"/>
      <w:bCs/>
      <w:sz w:val="32"/>
      <w:szCs w:val="32"/>
    </w:rPr>
  </w:style>
  <w:style w:type="character" w:customStyle="1" w:styleId="25">
    <w:name w:val="标题 3 字符"/>
    <w:basedOn w:val="23"/>
    <w:link w:val="4"/>
    <w:qFormat/>
    <w:uiPriority w:val="9"/>
    <w:rPr>
      <w:rFonts w:eastAsia="仿宋"/>
      <w:b/>
      <w:bCs/>
      <w:sz w:val="32"/>
      <w:szCs w:val="32"/>
    </w:rPr>
  </w:style>
  <w:style w:type="character" w:customStyle="1" w:styleId="26">
    <w:name w:val="标题 1 Char"/>
    <w:link w:val="2"/>
    <w:qFormat/>
    <w:uiPriority w:val="9"/>
    <w:rPr>
      <w:rFonts w:ascii="Times New Roman" w:hAnsi="Times New Roman" w:eastAsia="黑体" w:cs="宋体"/>
      <w:bCs/>
      <w:kern w:val="44"/>
      <w:sz w:val="28"/>
      <w:szCs w:val="44"/>
    </w:rPr>
  </w:style>
  <w:style w:type="character" w:customStyle="1" w:styleId="27">
    <w:name w:val="标题 Char"/>
    <w:basedOn w:val="23"/>
    <w:link w:val="18"/>
    <w:qFormat/>
    <w:uiPriority w:val="10"/>
    <w:rPr>
      <w:rFonts w:ascii="Times New Roman" w:hAnsi="Times New Roman" w:eastAsia="宋体" w:cstheme="majorBidi"/>
      <w:b/>
      <w:bCs/>
      <w:sz w:val="44"/>
      <w:szCs w:val="32"/>
    </w:rPr>
  </w:style>
  <w:style w:type="character" w:customStyle="1" w:styleId="28">
    <w:name w:val="标题 4 字符"/>
    <w:basedOn w:val="23"/>
    <w:link w:val="5"/>
    <w:qFormat/>
    <w:uiPriority w:val="9"/>
    <w:rPr>
      <w:rFonts w:ascii="Times New Roman" w:hAnsi="Times New Roman" w:eastAsia="仿宋" w:cstheme="majorBidi"/>
      <w:b/>
      <w:bCs/>
      <w:sz w:val="32"/>
      <w:szCs w:val="28"/>
    </w:rPr>
  </w:style>
  <w:style w:type="character" w:customStyle="1" w:styleId="29">
    <w:name w:val="脚注文本 字符"/>
    <w:basedOn w:val="23"/>
    <w:link w:val="14"/>
    <w:qFormat/>
    <w:uiPriority w:val="0"/>
    <w:rPr>
      <w:rFonts w:ascii="Times New Roman" w:hAnsi="Times New Roman" w:eastAsia="楷体"/>
      <w:b/>
      <w:sz w:val="21"/>
    </w:rPr>
  </w:style>
  <w:style w:type="paragraph" w:customStyle="1" w:styleId="30">
    <w:name w:val="WPSOffice手动目录 1"/>
    <w:qFormat/>
    <w:uiPriority w:val="0"/>
    <w:pPr>
      <w:spacing w:line="560" w:lineRule="exact"/>
      <w:ind w:leftChars="0"/>
    </w:pPr>
    <w:rPr>
      <w:rFonts w:ascii="等线" w:hAnsi="等线" w:eastAsia="黑体" w:cstheme="minorBidi"/>
      <w:sz w:val="32"/>
      <w:szCs w:val="20"/>
    </w:rPr>
  </w:style>
  <w:style w:type="paragraph" w:customStyle="1" w:styleId="31">
    <w:name w:val="WPSOffice手动目录 2"/>
    <w:qFormat/>
    <w:uiPriority w:val="0"/>
    <w:pPr>
      <w:spacing w:line="560" w:lineRule="exact"/>
      <w:ind w:leftChars="0"/>
    </w:pPr>
    <w:rPr>
      <w:rFonts w:ascii="等线" w:hAnsi="等线" w:eastAsia="楷体" w:cstheme="minorBidi"/>
      <w:sz w:val="32"/>
      <w:szCs w:val="20"/>
    </w:rPr>
  </w:style>
  <w:style w:type="paragraph" w:customStyle="1" w:styleId="32">
    <w:name w:val="WPSOffice手动目录 3"/>
    <w:qFormat/>
    <w:uiPriority w:val="0"/>
    <w:pPr>
      <w:spacing w:line="560" w:lineRule="exact"/>
      <w:ind w:leftChars="0"/>
    </w:pPr>
    <w:rPr>
      <w:rFonts w:ascii="等线" w:hAnsi="等线" w:eastAsia="仿宋" w:cstheme="minorBidi"/>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2925</Words>
  <Characters>2979</Characters>
  <Lines>0</Lines>
  <Paragraphs>0</Paragraphs>
  <TotalTime>13</TotalTime>
  <ScaleCrop>false</ScaleCrop>
  <LinksUpToDate>false</LinksUpToDate>
  <CharactersWithSpaces>2989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2025-05-31T03:16:00Z</dcterms:created>
  <dc:creator>Olive.ZZ</dc:creator>
  <cp:lastModifiedBy>如</cp:lastModifiedBy>
  <dcterms:modified xsi:type="dcterms:W3CDTF">2025-06-05T17:11:06Z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F3A1A4EABC8549CEA5CF92A78080D052_11</vt:lpwstr>
  </property>
  <property fmtid="{D5CDD505-2E9C-101B-9397-08002B2CF9AE}" pid="4" name="KSOTemplateDocerSaveRecord">
    <vt:lpwstr>eyJoZGlkIjoiNWUzMGE4NTU0ODE5YzEyZDViN2YyMzRlNGU2ZWIxYjkiLCJ1c2VySWQiOiIyOTEyMDY0NDQifQ==</vt:lpwstr>
  </property>
</Properties>
</file>