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定制型厂房建设项目奖励资金</w:t>
      </w:r>
    </w:p>
    <w:p>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仿宋_GB2312" w:hAnsi="仿宋_GB2312" w:eastAsia="仿宋_GB2312" w:cs="仿宋_GB2312"/>
          <w:sz w:val="32"/>
          <w:szCs w:val="32"/>
          <w:highlight w:val="none"/>
        </w:rPr>
      </w:pPr>
      <w:r>
        <w:rPr>
          <w:rFonts w:hint="eastAsia" w:ascii="方正小标宋简体" w:hAnsi="方正小标宋简体" w:eastAsia="方正小标宋简体" w:cs="方正小标宋简体"/>
          <w:color w:val="auto"/>
          <w:sz w:val="44"/>
          <w:szCs w:val="44"/>
          <w:highlight w:val="none"/>
          <w:lang w:val="en-US" w:eastAsia="zh-CN"/>
        </w:rPr>
        <w:t>申报指南</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黑体" w:hAnsi="黑体" w:eastAsia="黑体"/>
          <w:sz w:val="32"/>
          <w:szCs w:val="22"/>
          <w:highlight w:val="none"/>
          <w:lang w:val="en-US" w:eastAsia="zh-CN"/>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lang w:val="en-US" w:eastAsia="zh-CN"/>
        </w:rPr>
        <w:t>（一）《光明区关于打造高品质产业空间 促进优质项目落地若干措施》（深光府规〔2024〕3号）。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（二）《光明区关于打造高品质产业空间 促进优质项目发展扶持操作规程》（</w:t>
      </w:r>
      <w:r>
        <w:rPr>
          <w:rFonts w:hint="eastAsia" w:ascii="仿宋_GB2312" w:hAnsi="仿宋_GB2312" w:eastAsia="仿宋_GB2312" w:cs="仿宋_GB2312"/>
          <w:sz w:val="32"/>
          <w:szCs w:val="32"/>
          <w:highlight w:val="none"/>
          <w:lang w:val="en-US" w:eastAsia="zh-CN"/>
        </w:rPr>
        <w:t>深光工信〔2024〕166号</w:t>
      </w:r>
      <w:r>
        <w:rPr>
          <w:rFonts w:hint="eastAsia" w:ascii="仿宋_GB2312" w:hAnsi="仿宋_GB2312" w:eastAsia="仿宋_GB2312" w:cs="仿宋_GB2312"/>
          <w:sz w:val="32"/>
          <w:szCs w:val="32"/>
          <w:lang w:val="en-US" w:eastAsia="zh-CN"/>
        </w:rPr>
        <w:t>）。</w:t>
      </w:r>
    </w:p>
    <w:p>
      <w:pPr>
        <w:pStyle w:val="4"/>
        <w:keepNext w:val="0"/>
        <w:keepLines w:val="0"/>
        <w:pageBreakBefore w:val="0"/>
        <w:widowControl w:val="0"/>
        <w:kinsoku/>
        <w:wordWrap/>
        <w:topLinePunct w:val="0"/>
        <w:bidi w:val="0"/>
        <w:adjustRightInd/>
        <w:snapToGrid/>
        <w:spacing w:line="560" w:lineRule="exact"/>
        <w:textAlignment w:val="auto"/>
        <w:rPr>
          <w:rFonts w:hint="eastAsia" w:eastAsia="仿宋_GB2312"/>
          <w:lang w:eastAsia="zh-CN"/>
        </w:rPr>
      </w:pP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kern w:val="2"/>
          <w:sz w:val="32"/>
          <w:szCs w:val="32"/>
        </w:rPr>
        <w:t>《光明区经济发展专项资金管理办法》（深光府规〔202</w:t>
      </w:r>
      <w:r>
        <w:rPr>
          <w:rFonts w:hint="default" w:ascii="仿宋_GB2312" w:hAnsi="仿宋_GB2312" w:eastAsia="仿宋_GB2312" w:cs="仿宋_GB2312"/>
          <w:kern w:val="2"/>
          <w:sz w:val="32"/>
          <w:szCs w:val="32"/>
          <w:lang w:val="en"/>
        </w:rPr>
        <w:t>3</w:t>
      </w:r>
      <w:r>
        <w:rPr>
          <w:rFonts w:hint="eastAsia" w:ascii="仿宋_GB2312" w:hAnsi="仿宋_GB2312" w:eastAsia="仿宋_GB2312" w:cs="仿宋_GB2312"/>
          <w:kern w:val="2"/>
          <w:sz w:val="32"/>
          <w:szCs w:val="32"/>
        </w:rPr>
        <w:t>〕</w:t>
      </w:r>
      <w:r>
        <w:rPr>
          <w:rFonts w:hint="default" w:ascii="仿宋_GB2312" w:hAnsi="仿宋_GB2312" w:eastAsia="仿宋_GB2312" w:cs="仿宋_GB2312"/>
          <w:kern w:val="2"/>
          <w:sz w:val="32"/>
          <w:szCs w:val="32"/>
          <w:lang w:val="en"/>
        </w:rPr>
        <w:t>15</w:t>
      </w:r>
      <w:r>
        <w:rPr>
          <w:rFonts w:hint="eastAsia" w:ascii="仿宋_GB2312" w:hAnsi="仿宋_GB2312" w:eastAsia="仿宋_GB2312" w:cs="仿宋_GB2312"/>
          <w:kern w:val="2"/>
          <w:sz w:val="32"/>
          <w:szCs w:val="32"/>
        </w:rPr>
        <w:t>号）</w:t>
      </w:r>
      <w:r>
        <w:rPr>
          <w:rFonts w:hint="eastAsia" w:ascii="仿宋_GB2312" w:hAnsi="仿宋_GB2312" w:eastAsia="仿宋_GB2312" w:cs="仿宋_GB2312"/>
          <w:kern w:val="2"/>
          <w:sz w:val="32"/>
          <w:szCs w:val="32"/>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二</w:t>
      </w:r>
      <w:r>
        <w:rPr>
          <w:rFonts w:hint="eastAsia" w:ascii="黑体" w:hAnsi="黑体" w:eastAsia="黑体"/>
          <w:sz w:val="32"/>
          <w:szCs w:val="22"/>
          <w:highlight w:val="none"/>
        </w:rPr>
        <w:t>、</w:t>
      </w:r>
      <w:r>
        <w:rPr>
          <w:rFonts w:hint="eastAsia" w:ascii="黑体" w:hAnsi="黑体" w:eastAsia="黑体"/>
          <w:sz w:val="32"/>
          <w:szCs w:val="22"/>
          <w:highlight w:val="none"/>
          <w:lang w:val="en-US" w:eastAsia="zh-CN"/>
        </w:rPr>
        <w:t>支持对象、方式及支持标准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（一）支持对象</w:t>
      </w:r>
    </w:p>
    <w:p>
      <w:pPr>
        <w:pStyle w:val="11"/>
        <w:keepNext w:val="0"/>
        <w:keepLines w:val="0"/>
        <w:pageBreakBefore w:val="0"/>
        <w:widowControl w:val="0"/>
        <w:kinsoku/>
        <w:wordWrap/>
        <w:topLinePunct w:val="0"/>
        <w:bidi w:val="0"/>
        <w:adjustRightInd/>
        <w:snapToGrid/>
        <w:spacing w:line="560" w:lineRule="exact"/>
        <w:textAlignment w:val="auto"/>
        <w:rPr>
          <w:rFonts w:hint="eastAsia" w:ascii="仿宋_GB2312" w:hAnsi="仿宋_GB2312" w:eastAsia="宋体"/>
          <w:highlight w:val="none"/>
          <w:lang w:eastAsia="zh-CN"/>
        </w:rPr>
      </w:pPr>
      <w:r>
        <w:rPr>
          <w:rFonts w:hint="eastAsia" w:ascii="仿宋_GB2312" w:hAnsi="宋体" w:eastAsia="仿宋_GB2312"/>
          <w:color w:val="auto"/>
          <w:spacing w:val="0"/>
          <w:position w:val="0"/>
          <w:sz w:val="32"/>
          <w:szCs w:val="32"/>
          <w:highlight w:val="none"/>
          <w:lang w:eastAsia="zh-CN"/>
        </w:rPr>
        <w:t>定制建设符合企业实际生产工艺需求的新建产业项目的产权主体</w:t>
      </w:r>
      <w:r>
        <w:rPr>
          <w:rFonts w:hint="eastAsia"/>
          <w:highlight w:val="none"/>
          <w:lang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lang w:val="en" w:eastAsia="zh-CN"/>
        </w:rPr>
      </w:pPr>
      <w:r>
        <w:rPr>
          <w:rFonts w:hint="eastAsia" w:ascii="楷体_GB2312" w:hAnsi="楷体_GB2312" w:eastAsia="楷体_GB2312" w:cs="楷体_GB2312"/>
          <w:sz w:val="32"/>
          <w:szCs w:val="32"/>
          <w:highlight w:val="none"/>
          <w:lang w:val="en" w:eastAsia="zh-CN"/>
        </w:rPr>
        <w:t>（二）支持方式</w:t>
      </w:r>
    </w:p>
    <w:p>
      <w:pPr>
        <w:pStyle w:val="7"/>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rPr>
      </w:pPr>
      <w:r>
        <w:rPr>
          <w:rFonts w:hint="eastAsia" w:ascii="仿宋_GB2312" w:hAnsi="仿宋_GB2312" w:eastAsia="仿宋_GB2312" w:cs="仿宋_GB2312"/>
          <w:kern w:val="2"/>
          <w:sz w:val="32"/>
          <w:szCs w:val="32"/>
          <w:lang w:eastAsia="zh-CN"/>
        </w:rPr>
        <w:t>此项目采用</w:t>
      </w:r>
      <w:r>
        <w:rPr>
          <w:rFonts w:hint="eastAsia" w:ascii="仿宋_GB2312" w:hAnsi="仿宋_GB2312" w:eastAsia="仿宋_GB2312" w:cs="仿宋_GB2312"/>
          <w:kern w:val="2"/>
          <w:sz w:val="32"/>
          <w:szCs w:val="32"/>
        </w:rPr>
        <w:t>事后资助</w:t>
      </w:r>
      <w:r>
        <w:rPr>
          <w:rFonts w:hint="eastAsia" w:ascii="仿宋_GB2312" w:hAnsi="仿宋_GB2312" w:eastAsia="仿宋_GB2312" w:cs="仿宋_GB2312"/>
          <w:kern w:val="2"/>
          <w:sz w:val="32"/>
          <w:szCs w:val="32"/>
          <w:lang w:eastAsia="zh-CN"/>
        </w:rPr>
        <w:t>的方式</w:t>
      </w:r>
      <w:r>
        <w:rPr>
          <w:rFonts w:hint="eastAsia" w:ascii="仿宋_GB2312" w:hAnsi="仿宋_GB2312" w:eastAsia="仿宋_GB2312" w:cs="仿宋_GB2312"/>
          <w:kern w:val="2"/>
          <w:sz w:val="32"/>
          <w:szCs w:val="32"/>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lang w:val="en" w:eastAsia="zh-CN"/>
        </w:rPr>
      </w:pPr>
      <w:r>
        <w:rPr>
          <w:rFonts w:hint="eastAsia" w:ascii="楷体_GB2312" w:hAnsi="楷体_GB2312" w:eastAsia="楷体_GB2312" w:cs="楷体_GB2312"/>
          <w:sz w:val="32"/>
          <w:szCs w:val="32"/>
          <w:highlight w:val="none"/>
          <w:lang w:val="en" w:eastAsia="zh-CN"/>
        </w:rPr>
        <w:t>（三）支持标准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仿宋_GB2312" w:hAnsi="仿宋_GB2312" w:eastAsia="仿宋_GB2312" w:cs="仿宋_GB2312"/>
          <w:kern w:val="2"/>
          <w:sz w:val="32"/>
          <w:szCs w:val="32"/>
          <w:lang w:eastAsia="zh-CN"/>
        </w:rPr>
        <w:t>项目产权主体定制建设符合企业实际生产工艺需求的厂房并建成后，企业按照前期签订经备案的定制协议入驻园区的，按照该企业实际租赁厂房建筑面积1000元/平方米的标准一次性给予项目产权主体最高2000万元奖励。</w:t>
      </w:r>
      <w:r>
        <w:rPr>
          <w:rFonts w:hint="eastAsia" w:ascii="黑体" w:hAnsi="黑体" w:eastAsia="黑体"/>
          <w:sz w:val="32"/>
          <w:szCs w:val="22"/>
          <w:highlight w:val="none"/>
          <w:lang w:val="en-US" w:eastAsia="zh-CN"/>
        </w:rPr>
        <w:t xml:space="preserve"> </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sz w:val="32"/>
          <w:szCs w:val="22"/>
          <w:highlight w:val="none"/>
          <w:lang w:val="en-US" w:eastAsia="zh-CN"/>
        </w:rPr>
      </w:pPr>
      <w:r>
        <w:rPr>
          <w:rFonts w:hint="eastAsia" w:ascii="黑体" w:hAnsi="黑体" w:eastAsia="黑体"/>
          <w:sz w:val="32"/>
          <w:szCs w:val="22"/>
          <w:highlight w:val="none"/>
          <w:lang w:val="en-US" w:eastAsia="zh-CN"/>
        </w:rPr>
        <w:t>三、申报条件</w:t>
      </w:r>
    </w:p>
    <w:p>
      <w:pPr>
        <w:pStyle w:val="4"/>
        <w:keepNext w:val="0"/>
        <w:keepLines w:val="0"/>
        <w:pageBreakBefore w:val="0"/>
        <w:widowControl w:val="0"/>
        <w:kinsoku/>
        <w:wordWrap/>
        <w:overflowPunct/>
        <w:topLinePunct w:val="0"/>
        <w:bidi w:val="0"/>
        <w:adjustRightInd/>
        <w:snapToGrid/>
        <w:spacing w:line="560" w:lineRule="exact"/>
        <w:ind w:firstLine="640"/>
        <w:textAlignment w:val="auto"/>
        <w:rPr>
          <w:rFonts w:hint="eastAsia" w:ascii="仿宋_GB2312" w:hAnsi="仿宋_GB2312" w:eastAsia="仿宋_GB2312" w:cs="仿宋_GB2312"/>
          <w:color w:val="000000"/>
          <w:kern w:val="0"/>
          <w:sz w:val="32"/>
          <w:szCs w:val="32"/>
          <w:highlight w:val="none"/>
          <w:lang w:bidi="ar"/>
        </w:rPr>
      </w:pPr>
      <w:r>
        <w:rPr>
          <w:rFonts w:hint="eastAsia" w:ascii="仿宋_GB2312" w:hAnsi="仿宋_GB2312" w:eastAsia="仿宋_GB2312" w:cs="仿宋_GB2312"/>
          <w:b w:val="0"/>
          <w:kern w:val="2"/>
          <w:sz w:val="32"/>
          <w:szCs w:val="32"/>
          <w:highlight w:val="none"/>
          <w:lang w:eastAsia="zh-CN"/>
        </w:rPr>
        <w:t>申报单位应符合下列条件</w:t>
      </w:r>
      <w:r>
        <w:rPr>
          <w:rFonts w:hint="eastAsia" w:ascii="仿宋_GB2312" w:hAnsi="仿宋_GB2312" w:eastAsia="仿宋_GB2312" w:cs="仿宋_GB2312"/>
          <w:b w:val="0"/>
          <w:kern w:val="2"/>
          <w:sz w:val="32"/>
          <w:szCs w:val="32"/>
          <w:highlight w:val="none"/>
          <w:lang w:val="en-US" w:eastAsia="zh-CN"/>
        </w:rPr>
        <w:t>:</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sz w:val="32"/>
          <w:szCs w:val="32"/>
          <w:highlight w:val="none"/>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r>
        <w:rPr>
          <w:rFonts w:hint="default" w:hAnsi="Calibri" w:eastAsia="仿宋_GB2312" w:cs="Times New Roman"/>
          <w:sz w:val="32"/>
          <w:szCs w:val="32"/>
          <w:highlight w:val="none"/>
        </w:rPr>
        <w:t xml:space="preserve"> </w:t>
      </w:r>
    </w:p>
    <w:p>
      <w:pPr>
        <w:pStyle w:val="7"/>
        <w:keepNext w:val="0"/>
        <w:keepLines w:val="0"/>
        <w:pageBreakBefore w:val="0"/>
        <w:widowControl w:val="0"/>
        <w:kinsoku/>
        <w:wordWrap/>
        <w:overflowPunct w:val="0"/>
        <w:topLinePunct w:val="0"/>
        <w:bidi w:val="0"/>
        <w:adjustRightInd/>
        <w:snapToGrid/>
        <w:spacing w:before="0" w:after="0" w:line="560" w:lineRule="exact"/>
        <w:ind w:firstLine="640" w:firstLineChars="200"/>
        <w:jc w:val="both"/>
        <w:textAlignment w:val="auto"/>
        <w:rPr>
          <w:rFonts w:hint="eastAsia" w:ascii="仿宋_GB2312" w:hAnsi="仿宋_GB2312" w:eastAsia="仿宋_GB2312" w:cs="仿宋_GB2312"/>
          <w:kern w:val="2"/>
          <w:sz w:val="32"/>
          <w:szCs w:val="32"/>
          <w:lang w:eastAsia="zh-CN"/>
        </w:rPr>
      </w:pPr>
      <w:r>
        <w:rPr>
          <w:rFonts w:hint="eastAsia" w:ascii="仿宋_GB2312" w:hAnsi="仿宋_GB2312" w:eastAsia="仿宋_GB2312" w:cs="仿宋_GB2312"/>
          <w:kern w:val="2"/>
          <w:sz w:val="32"/>
          <w:szCs w:val="32"/>
          <w:lang w:eastAsia="zh-CN"/>
        </w:rPr>
        <w:t>（四）</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申报主体与项目产权主体签订的定制协议及相关定制协议备案证明材料。</w:t>
      </w:r>
    </w:p>
    <w:p>
      <w:pPr>
        <w:pStyle w:val="7"/>
        <w:keepNext w:val="0"/>
        <w:keepLines w:val="0"/>
        <w:pageBreakBefore w:val="0"/>
        <w:widowControl w:val="0"/>
        <w:numPr>
          <w:ilvl w:val="0"/>
          <w:numId w:val="0"/>
        </w:numPr>
        <w:kinsoku/>
        <w:wordWrap/>
        <w:overflowPunct w:val="0"/>
        <w:topLinePunct w:val="0"/>
        <w:bidi w:val="0"/>
        <w:adjustRightInd/>
        <w:snapToGrid/>
        <w:spacing w:before="0" w:after="0" w:line="560" w:lineRule="exact"/>
        <w:ind w:firstLine="640" w:firstLineChars="200"/>
        <w:jc w:val="both"/>
        <w:textAlignment w:val="auto"/>
        <w:rPr>
          <w:rFonts w:hint="default" w:ascii="仿宋_GB2312" w:hAnsi="仿宋_GB2312" w:eastAsia="仿宋_GB2312" w:cs="仿宋_GB2312"/>
          <w:kern w:val="2"/>
          <w:sz w:val="32"/>
          <w:szCs w:val="32"/>
          <w:lang w:val="en-US" w:eastAsia="zh-CN"/>
        </w:rPr>
      </w:pPr>
      <w:r>
        <w:rPr>
          <w:rFonts w:hint="eastAsia" w:ascii="仿宋_GB2312" w:hAnsi="仿宋_GB2312" w:eastAsia="仿宋_GB2312" w:cs="仿宋_GB2312"/>
          <w:kern w:val="2"/>
          <w:sz w:val="32"/>
          <w:szCs w:val="32"/>
          <w:lang w:val="en-US" w:eastAsia="zh-CN"/>
        </w:rPr>
        <w:t>（五）</w:t>
      </w:r>
      <w:r>
        <w:rPr>
          <w:rFonts w:hint="eastAsia" w:ascii="仿宋_GB2312" w:hAnsi="宋体" w:eastAsia="仿宋_GB2312"/>
          <w:color w:val="auto"/>
          <w:spacing w:val="0"/>
          <w:position w:val="0"/>
          <w:sz w:val="32"/>
          <w:szCs w:val="32"/>
          <w:highlight w:val="none"/>
          <w:lang w:eastAsia="zh-CN"/>
        </w:rPr>
        <w:t>新建产业项目</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2022年1月1日至2024年12月31日期间取得</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项目产权证书。</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firstLine="640" w:firstLineChars="200"/>
        <w:textAlignment w:val="auto"/>
        <w:rPr>
          <w:rFonts w:hint="eastAsia" w:ascii="黑体" w:hAnsi="黑体" w:eastAsia="黑体" w:cs="黑体"/>
          <w:sz w:val="32"/>
          <w:szCs w:val="32"/>
          <w:highlight w:val="none"/>
          <w:lang w:val="en-US" w:eastAsia="zh-CN"/>
        </w:rPr>
      </w:pPr>
      <w:r>
        <w:rPr>
          <w:rFonts w:hint="eastAsia" w:ascii="黑体" w:hAnsi="黑体" w:eastAsia="黑体" w:cs="黑体"/>
          <w:sz w:val="32"/>
          <w:szCs w:val="32"/>
          <w:highlight w:val="none"/>
          <w:lang w:val="en-US" w:eastAsia="zh-CN"/>
        </w:rPr>
        <w:t>四</w:t>
      </w:r>
      <w:r>
        <w:rPr>
          <w:rFonts w:hint="eastAsia" w:ascii="黑体" w:hAnsi="黑体" w:eastAsia="黑体" w:cs="黑体"/>
          <w:sz w:val="32"/>
          <w:szCs w:val="32"/>
          <w:highlight w:val="none"/>
        </w:rPr>
        <w:t>、</w:t>
      </w:r>
      <w:r>
        <w:rPr>
          <w:rFonts w:hint="eastAsia" w:ascii="黑体" w:hAnsi="黑体" w:eastAsia="黑体" w:cs="黑体"/>
          <w:sz w:val="32"/>
          <w:szCs w:val="32"/>
          <w:highlight w:val="none"/>
          <w:lang w:val="en-US" w:eastAsia="zh-CN"/>
        </w:rPr>
        <w:t>申报材料</w:t>
      </w:r>
    </w:p>
    <w:p>
      <w:pPr>
        <w:pStyle w:val="3"/>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一</w:t>
      </w:r>
      <w:r>
        <w:rPr>
          <w:rFonts w:hint="eastAsia" w:ascii="仿宋_GB2312" w:hAnsi="宋体" w:eastAsia="仿宋_GB2312" w:cs="宋体"/>
          <w:sz w:val="32"/>
          <w:szCs w:val="32"/>
          <w:highlight w:val="none"/>
          <w:lang w:eastAsia="zh-CN"/>
        </w:rPr>
        <w:t>）申报表。</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sz w:val="32"/>
          <w:szCs w:val="32"/>
          <w:highlight w:val="none"/>
          <w:lang w:eastAsia="zh-CN"/>
        </w:rPr>
      </w:pPr>
      <w:r>
        <w:rPr>
          <w:rFonts w:hint="eastAsia" w:ascii="仿宋_GB2312" w:hAnsi="宋体" w:eastAsia="仿宋_GB2312" w:cs="宋体"/>
          <w:sz w:val="32"/>
          <w:szCs w:val="32"/>
          <w:lang w:eastAsia="zh-CN"/>
        </w:rPr>
        <w:t>（二）申请书（需包含项目情况及资金申请情况）。</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color w:val="000000" w:themeColor="text1"/>
          <w:highlight w:val="none"/>
          <w:lang w:val="en-US" w:eastAsia="zh-CN"/>
          <w14:textFill>
            <w14:solidFill>
              <w14:schemeClr w14:val="tx1"/>
            </w14:solidFill>
          </w14:textFill>
        </w:rPr>
      </w:pP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三</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）土地出让合同及项目产权证书</w:t>
      </w:r>
      <w:r>
        <w:rPr>
          <w:rFonts w:hint="eastAsia" w:ascii="仿宋_GB2312" w:hAnsi="宋体" w:eastAsia="仿宋_GB2312" w:cs="宋体"/>
          <w:color w:val="000000" w:themeColor="text1"/>
          <w:sz w:val="32"/>
          <w:szCs w:val="32"/>
          <w:highlight w:val="none"/>
          <w:lang w:val="en-US" w:eastAsia="zh-CN"/>
          <w14:textFill>
            <w14:solidFill>
              <w14:schemeClr w14:val="tx1"/>
            </w14:solidFill>
          </w14:textFill>
        </w:rPr>
        <w:t>复印件</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highlight w:val="none"/>
        </w:rPr>
      </w:pP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lang w:val="en-US" w:eastAsia="zh-CN"/>
        </w:rPr>
        <w:t>四</w:t>
      </w:r>
      <w:r>
        <w:rPr>
          <w:rFonts w:hint="eastAsia" w:ascii="仿宋_GB2312" w:hAnsi="宋体" w:eastAsia="仿宋_GB2312" w:cs="宋体"/>
          <w:sz w:val="32"/>
          <w:szCs w:val="32"/>
          <w:highlight w:val="none"/>
          <w:lang w:eastAsia="zh-CN"/>
        </w:rPr>
        <w:t>）</w:t>
      </w:r>
      <w:r>
        <w:rPr>
          <w:rFonts w:hint="eastAsia" w:ascii="仿宋_GB2312" w:hAnsi="宋体" w:eastAsia="仿宋_GB2312" w:cs="宋体"/>
          <w:sz w:val="32"/>
          <w:szCs w:val="32"/>
          <w:highlight w:val="none"/>
        </w:rPr>
        <w:t>营业执照</w:t>
      </w:r>
      <w:r>
        <w:rPr>
          <w:rFonts w:hint="eastAsia" w:ascii="仿宋_GB2312" w:hAnsi="宋体" w:eastAsia="仿宋_GB2312" w:cs="宋体"/>
          <w:sz w:val="32"/>
          <w:szCs w:val="32"/>
          <w:highlight w:val="none"/>
          <w:lang w:val="en-US" w:eastAsia="zh-CN"/>
        </w:rPr>
        <w:t>复印件</w:t>
      </w:r>
      <w:r>
        <w:rPr>
          <w:rFonts w:hint="eastAsia" w:ascii="仿宋_GB2312" w:hAnsi="宋体" w:eastAsia="仿宋_GB2312" w:cs="宋体"/>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五</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lang w:val="en-US" w:eastAsia="zh-CN"/>
        </w:rPr>
        <w:t>法定代表人身份证复印件、经办人身份证复印件、法定代表人授权委托书原件</w:t>
      </w:r>
      <w:r>
        <w:rPr>
          <w:rFonts w:hint="default" w:ascii="仿宋_GB2312" w:hAnsi="仿宋_GB2312" w:eastAsia="仿宋_GB2312" w:cs="仿宋_GB2312"/>
          <w:kern w:val="44"/>
          <w:sz w:val="32"/>
          <w:szCs w:val="32"/>
          <w:lang w:eastAsia="zh-CN" w:bidi="ar-SA"/>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sz w:val="32"/>
          <w:szCs w:val="32"/>
          <w:highlight w:val="none"/>
          <w:lang w:eastAsia="zh-CN"/>
        </w:rPr>
      </w:pP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六</w:t>
      </w:r>
      <w:r>
        <w:rPr>
          <w:rFonts w:hint="eastAsia" w:ascii="仿宋_GB2312" w:eastAsia="仿宋_GB2312"/>
          <w:sz w:val="32"/>
          <w:szCs w:val="32"/>
          <w:highlight w:val="none"/>
          <w:lang w:eastAsia="zh-CN"/>
        </w:rPr>
        <w:t>）</w:t>
      </w:r>
      <w:r>
        <w:rPr>
          <w:rFonts w:hint="eastAsia" w:ascii="仿宋_GB2312" w:hAnsi="仿宋" w:eastAsia="仿宋_GB2312"/>
          <w:color w:val="000000"/>
          <w:sz w:val="32"/>
          <w:szCs w:val="32"/>
          <w:highlight w:val="none"/>
        </w:rPr>
        <w:t>企业信用信息资料（在深圳信用网打印</w:t>
      </w:r>
      <w:r>
        <w:rPr>
          <w:rFonts w:hint="eastAsia" w:ascii="仿宋_GB2312" w:hAnsi="仿宋" w:eastAsia="仿宋_GB2312"/>
          <w:color w:val="000000"/>
          <w:sz w:val="32"/>
          <w:szCs w:val="32"/>
          <w:highlight w:val="none"/>
          <w:lang w:eastAsia="zh-CN"/>
        </w:rPr>
        <w:t>最新</w:t>
      </w:r>
      <w:r>
        <w:rPr>
          <w:rFonts w:hint="eastAsia" w:ascii="仿宋_GB2312" w:hAnsi="仿宋" w:eastAsia="仿宋_GB2312"/>
          <w:color w:val="000000"/>
          <w:sz w:val="32"/>
          <w:szCs w:val="32"/>
          <w:highlight w:val="none"/>
        </w:rPr>
        <w:t>信用报告完整版）</w:t>
      </w:r>
      <w:r>
        <w:rPr>
          <w:rFonts w:hint="eastAsia" w:ascii="仿宋_GB2312" w:hAnsi="仿宋" w:eastAsia="仿宋_GB2312"/>
          <w:color w:val="00000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（七）</w:t>
      </w:r>
      <w:r>
        <w:rPr>
          <w:rFonts w:hint="eastAsia" w:ascii="仿宋_GB2312" w:hAnsi="仿宋_GB2312" w:eastAsia="仿宋_GB2312" w:cs="仿宋_GB2312"/>
          <w:kern w:val="2"/>
          <w:sz w:val="32"/>
          <w:szCs w:val="32"/>
          <w:lang w:eastAsia="zh-CN"/>
        </w:rPr>
        <w:t>项目定制协议及相关备案证明材料。</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（八）</w:t>
      </w:r>
      <w:r>
        <w:rPr>
          <w:rFonts w:hint="eastAsia" w:ascii="仿宋_GB2312" w:hAnsi="仿宋_GB2312" w:eastAsia="仿宋_GB2312" w:cs="仿宋_GB2312"/>
          <w:sz w:val="32"/>
          <w:szCs w:val="32"/>
          <w:lang w:val="en-US" w:eastAsia="zh-CN"/>
        </w:rPr>
        <w:t>需提供的其他相关材料</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eastAsia="仿宋_GB2312"/>
          <w:sz w:val="32"/>
          <w:szCs w:val="32"/>
          <w:highlight w:val="none"/>
          <w:lang w:val="en-US" w:eastAsia="zh-CN"/>
        </w:rPr>
      </w:pPr>
      <w:r>
        <w:rPr>
          <w:rFonts w:hint="eastAsia" w:ascii="仿宋_GB2312" w:hAnsi="仿宋_GB2312" w:eastAsia="仿宋_GB2312" w:cs="仿宋_GB2312"/>
          <w:b/>
          <w:bCs/>
          <w:sz w:val="32"/>
          <w:szCs w:val="32"/>
          <w:highlight w:val="none"/>
        </w:rPr>
        <w:t>电子材料：</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0"/>
          <w:rFonts w:hint="eastAsia" w:ascii="仿宋_GB2312" w:hAnsi="仿宋_GB2312" w:eastAsia="仿宋_GB2312" w:cs="仿宋_GB2312"/>
          <w:color w:val="auto"/>
          <w:sz w:val="32"/>
          <w:szCs w:val="32"/>
          <w:highlight w:val="none"/>
          <w:u w:val="none"/>
        </w:rPr>
        <w:t>https://cqt.szfb.sz.gov.cn/</w:t>
      </w:r>
      <w:r>
        <w:rPr>
          <w:rStyle w:val="10"/>
          <w:rFonts w:hint="eastAsia" w:ascii="仿宋_GB2312" w:hAnsi="仿宋_GB2312" w:eastAsia="仿宋_GB2312" w:cs="仿宋_GB2312"/>
          <w:snapToGrid w:val="0"/>
          <w:color w:val="auto"/>
          <w:sz w:val="32"/>
          <w:szCs w:val="32"/>
          <w:highlight w:val="none"/>
          <w:u w:val="none"/>
        </w:rPr>
        <w:t>）</w:t>
      </w:r>
      <w:r>
        <w:rPr>
          <w:rStyle w:val="10"/>
          <w:rFonts w:hint="eastAsia" w:ascii="仿宋_GB2312" w:hAnsi="仿宋_GB2312" w:eastAsia="仿宋_GB2312" w:cs="仿宋_GB2312"/>
          <w:color w:val="auto"/>
          <w:sz w:val="32"/>
          <w:szCs w:val="32"/>
          <w:highlight w:val="none"/>
          <w:u w:val="none"/>
        </w:rPr>
        <w:t>在线填报</w:t>
      </w:r>
      <w:r>
        <w:rPr>
          <w:rStyle w:val="10"/>
          <w:rFonts w:hint="eastAsia" w:ascii="仿宋_GB2312" w:hAnsi="仿宋_GB2312" w:eastAsia="仿宋_GB2312" w:cs="仿宋_GB2312"/>
          <w:color w:val="auto"/>
          <w:sz w:val="32"/>
          <w:szCs w:val="32"/>
          <w:highlight w:val="none"/>
          <w:u w:val="none"/>
          <w:lang w:eastAsia="zh-CN"/>
        </w:rPr>
        <w:t>，其他</w:t>
      </w:r>
      <w:r>
        <w:rPr>
          <w:rStyle w:val="10"/>
          <w:rFonts w:hint="eastAsia" w:ascii="仿宋_GB2312" w:hAnsi="仿宋_GB2312" w:eastAsia="仿宋_GB2312" w:cs="仿宋_GB2312"/>
          <w:color w:val="auto"/>
          <w:sz w:val="32"/>
          <w:szCs w:val="32"/>
          <w:highlight w:val="none"/>
          <w:u w:val="none"/>
        </w:rPr>
        <w:t>材料上传PDF</w:t>
      </w:r>
      <w:r>
        <w:rPr>
          <w:rStyle w:val="10"/>
          <w:rFonts w:hint="eastAsia" w:ascii="仿宋_GB2312" w:hAnsi="仿宋_GB2312" w:eastAsia="仿宋_GB2312" w:cs="仿宋_GB2312"/>
          <w:color w:val="auto"/>
          <w:sz w:val="32"/>
          <w:szCs w:val="32"/>
          <w:highlight w:val="none"/>
          <w:u w:val="none"/>
          <w:lang w:eastAsia="zh-CN"/>
        </w:rPr>
        <w:t>文</w:t>
      </w:r>
      <w:r>
        <w:rPr>
          <w:rStyle w:val="10"/>
          <w:rFonts w:hint="eastAsia" w:ascii="仿宋_GB2312" w:hAnsi="仿宋_GB2312" w:eastAsia="仿宋_GB2312" w:cs="仿宋_GB2312"/>
          <w:color w:val="auto"/>
          <w:sz w:val="32"/>
          <w:szCs w:val="32"/>
          <w:highlight w:val="none"/>
          <w:u w:val="none"/>
        </w:rPr>
        <w:t>件至深圳市财政专项资金统一管理平台</w:t>
      </w:r>
      <w:r>
        <w:rPr>
          <w:rStyle w:val="10"/>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0" w:firstLine="642"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纸质材料：</w:t>
      </w:r>
      <w:r>
        <w:rPr>
          <w:rFonts w:hint="eastAsia" w:ascii="仿宋_GB2312" w:hAnsi="仿宋_GB2312" w:eastAsia="仿宋_GB2312" w:cs="仿宋_GB2312"/>
          <w:sz w:val="32"/>
          <w:szCs w:val="32"/>
          <w:highlight w:val="none"/>
        </w:rPr>
        <w:t>电子材料审核通过后，请登录深圳市财政专项资金统一管理平台，导出</w:t>
      </w:r>
      <w:r>
        <w:rPr>
          <w:rFonts w:hint="eastAsia" w:ascii="仿宋_GB2312" w:hAnsi="仿宋_GB2312" w:eastAsia="仿宋_GB2312" w:cs="仿宋_GB2312"/>
          <w:sz w:val="32"/>
          <w:szCs w:val="32"/>
          <w:highlight w:val="none"/>
          <w:lang w:val="en-US" w:eastAsia="zh-CN"/>
        </w:rPr>
        <w:t>申报表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将全部纸质材料按顺序排列，编写目录及页码，并装订成册（胶装，统一使用白色纸质封皮，封皮须打印配套活动名称、申报单位名称、年份）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加盖申报单位印章，多页的还需加盖骑缝印章，一式1份，A4纸正反面打印。</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lang w:val="en-US" w:eastAsia="zh-CN"/>
        </w:rPr>
        <w:t>五</w:t>
      </w:r>
      <w:r>
        <w:rPr>
          <w:rFonts w:hint="eastAsia" w:ascii="黑体" w:hAnsi="黑体" w:eastAsia="黑体" w:cs="黑体"/>
          <w:sz w:val="32"/>
          <w:szCs w:val="32"/>
          <w:highlight w:val="none"/>
        </w:rPr>
        <w:t>、业务受理</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 w:eastAsia="zh-CN"/>
        </w:rPr>
      </w:pPr>
      <w:r>
        <w:rPr>
          <w:rFonts w:hint="eastAsia" w:ascii="仿宋_GB2312" w:hAnsi="仿宋_GB2312" w:eastAsia="仿宋_GB2312" w:cs="仿宋_GB2312"/>
          <w:b w:val="0"/>
          <w:bCs/>
          <w:sz w:val="32"/>
          <w:szCs w:val="32"/>
          <w:highlight w:val="none"/>
        </w:rPr>
        <w:t>（一）</w:t>
      </w:r>
      <w:r>
        <w:rPr>
          <w:rFonts w:hint="eastAsia" w:ascii="仿宋_GB2312" w:hAnsi="仿宋_GB2312" w:eastAsia="仿宋_GB2312" w:cs="仿宋_GB2312"/>
          <w:b w:val="0"/>
          <w:bCs/>
          <w:sz w:val="32"/>
          <w:szCs w:val="32"/>
          <w:highlight w:val="none"/>
          <w:lang w:val="en-US" w:eastAsia="zh-CN"/>
        </w:rPr>
        <w:t>网络填报</w:t>
      </w:r>
      <w:r>
        <w:rPr>
          <w:rFonts w:hint="eastAsia" w:ascii="仿宋_GB2312" w:hAnsi="仿宋_GB2312" w:eastAsia="仿宋_GB2312" w:cs="仿宋_GB2312"/>
          <w:b w:val="0"/>
          <w:bCs/>
          <w:sz w:val="32"/>
          <w:szCs w:val="32"/>
          <w:highlight w:val="none"/>
        </w:rPr>
        <w:t>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sz w:val="32"/>
          <w:szCs w:val="32"/>
          <w:highlight w:val="none"/>
          <w:lang w:val="en-US" w:eastAsia="zh-CN"/>
        </w:rPr>
        <w:t>（注：超过网络填报受理的截止时间，不再受理新提交申请。网络填报受理截止前已在线提交申请，但后经初审被退回修改的，可于</w:t>
      </w:r>
      <w:r>
        <w:rPr>
          <w:rFonts w:hint="eastAsia" w:ascii="仿宋_GB2312" w:hAnsi="仿宋_GB2312" w:eastAsia="仿宋_GB2312" w:cs="仿宋_GB2312"/>
          <w:b/>
          <w:bCs/>
          <w:sz w:val="32"/>
          <w:szCs w:val="32"/>
          <w:highlight w:val="none"/>
          <w:lang w:eastAsia="zh-CN"/>
        </w:rPr>
        <w:t>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受理截止前再次提交修改后的申请进行初审，初审通过后方可提交</w:t>
      </w:r>
      <w:r>
        <w:rPr>
          <w:rFonts w:hint="eastAsia" w:ascii="仿宋_GB2312" w:hAnsi="仿宋_GB2312" w:eastAsia="仿宋_GB2312" w:cs="仿宋_GB2312"/>
          <w:b/>
          <w:bCs/>
          <w:sz w:val="32"/>
          <w:szCs w:val="32"/>
          <w:highlight w:val="none"/>
          <w:lang w:eastAsia="zh-CN"/>
        </w:rPr>
        <w:t>纸质</w:t>
      </w:r>
      <w:r>
        <w:rPr>
          <w:rFonts w:hint="eastAsia" w:ascii="仿宋_GB2312" w:hAnsi="仿宋_GB2312" w:eastAsia="仿宋_GB2312" w:cs="仿宋_GB2312"/>
          <w:b/>
          <w:bCs/>
          <w:sz w:val="32"/>
          <w:szCs w:val="32"/>
          <w:highlight w:val="none"/>
        </w:rPr>
        <w:t>材料</w:t>
      </w:r>
      <w:r>
        <w:rPr>
          <w:rFonts w:hint="eastAsia" w:ascii="仿宋_GB2312" w:hAnsi="仿宋_GB2312" w:eastAsia="仿宋_GB2312" w:cs="仿宋_GB2312"/>
          <w:b/>
          <w:bCs/>
          <w:sz w:val="32"/>
          <w:szCs w:val="32"/>
          <w:highlight w:val="none"/>
          <w:lang w:val="en-US" w:eastAsia="zh-CN"/>
        </w:rPr>
        <w:t>）</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纸质档材料受理时间：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2025年7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至8</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8日</w:t>
      </w:r>
      <w:r>
        <w:rPr>
          <w:rFonts w:hint="eastAsia" w:ascii="仿宋_GB2312" w:hAnsi="仿宋_GB2312" w:eastAsia="仿宋_GB2312" w:cs="仿宋_GB2312"/>
          <w:sz w:val="32"/>
          <w:szCs w:val="32"/>
          <w:highlight w:val="none"/>
          <w:lang w:val="en-US" w:eastAsia="zh-CN"/>
        </w:rPr>
        <w:t>（工作日）上午9:00-12:00、下午2:00-6</w:t>
      </w:r>
      <w:bookmarkStart w:id="0" w:name="_GoBack"/>
      <w:bookmarkEnd w:id="0"/>
      <w:r>
        <w:rPr>
          <w:rFonts w:hint="eastAsia" w:ascii="仿宋_GB2312" w:hAnsi="仿宋_GB2312" w:eastAsia="仿宋_GB2312" w:cs="仿宋_GB2312"/>
          <w:sz w:val="32"/>
          <w:szCs w:val="32"/>
          <w:highlight w:val="none"/>
          <w:lang w:val="en-US" w:eastAsia="zh-CN"/>
        </w:rPr>
        <w:t>:00。</w:t>
      </w:r>
      <w:r>
        <w:rPr>
          <w:rFonts w:hint="eastAsia" w:ascii="仿宋_GB2312" w:hAnsi="仿宋_GB2312" w:eastAsia="仿宋_GB2312" w:cs="仿宋_GB2312"/>
          <w:b/>
          <w:bCs/>
          <w:sz w:val="32"/>
          <w:szCs w:val="32"/>
          <w:highlight w:val="none"/>
          <w:lang w:val="en-US" w:eastAsia="zh-CN"/>
        </w:rPr>
        <w:t>（注：网上初审通过后请及时提交纸质材料，成功提交纸质材料的项目才算完成申报）</w:t>
      </w:r>
    </w:p>
    <w:p>
      <w:pPr>
        <w:pStyle w:val="3"/>
        <w:keepNext w:val="0"/>
        <w:keepLines w:val="0"/>
        <w:pageBreakBefore w:val="0"/>
        <w:widowControl w:val="0"/>
        <w:kinsoku/>
        <w:wordWrap/>
        <w:topLinePunct w:val="0"/>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highlight w:val="none"/>
          <w:lang w:val="en" w:eastAsia="zh-CN" w:bidi="ar-SA"/>
        </w:rPr>
      </w:pPr>
      <w:r>
        <w:rPr>
          <w:rFonts w:hint="eastAsia" w:ascii="仿宋_GB2312" w:hAnsi="仿宋_GB2312" w:eastAsia="仿宋_GB2312" w:cs="仿宋_GB2312"/>
        </w:rPr>
        <w:t>（三）网上申报平台：深圳市财政专项资金统一管理平台，网址: https://cqt.szfb.sz.gov.cn/</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（四）</w:t>
      </w:r>
      <w:r>
        <w:rPr>
          <w:rFonts w:hint="eastAsia" w:ascii="仿宋_GB2312" w:hAnsi="仿宋_GB2312" w:eastAsia="仿宋_GB2312" w:cs="仿宋_GB2312"/>
          <w:sz w:val="32"/>
          <w:szCs w:val="32"/>
          <w:highlight w:val="none"/>
        </w:rPr>
        <w:t>受理地点：</w:t>
      </w:r>
      <w:r>
        <w:rPr>
          <w:rFonts w:hint="eastAsia" w:ascii="仿宋_GB2312" w:hAnsi="仿宋_GB2312" w:eastAsia="仿宋_GB2312" w:cs="仿宋_GB2312"/>
          <w:sz w:val="32"/>
          <w:szCs w:val="32"/>
          <w:highlight w:val="none"/>
          <w:lang w:val="en-US" w:eastAsia="zh-CN"/>
        </w:rPr>
        <w:t>深圳市光明区光明街道牛山路公共服务平台3楼342B室。</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lang w:eastAsia="zh-CN"/>
        </w:rPr>
        <w:t>）政策</w:t>
      </w:r>
      <w:r>
        <w:rPr>
          <w:rFonts w:hint="eastAsia" w:ascii="仿宋_GB2312" w:hAnsi="仿宋_GB2312" w:eastAsia="仿宋_GB2312" w:cs="仿宋_GB2312"/>
          <w:sz w:val="32"/>
          <w:szCs w:val="32"/>
          <w:highlight w:val="none"/>
          <w:lang w:val="en-US" w:eastAsia="zh-CN"/>
        </w:rPr>
        <w:t>咨询电话</w:t>
      </w:r>
      <w:r>
        <w:rPr>
          <w:rFonts w:hint="eastAsia" w:ascii="仿宋_GB2312" w:hAnsi="仿宋_GB2312" w:eastAsia="仿宋_GB2312" w:cs="仿宋_GB2312"/>
          <w:sz w:val="32"/>
          <w:szCs w:val="32"/>
          <w:highlight w:val="none"/>
        </w:rPr>
        <w:t>：</w:t>
      </w:r>
      <w:r>
        <w:rPr>
          <w:rFonts w:hint="default" w:ascii="仿宋_GB2312" w:hAnsi="仿宋_GB2312" w:eastAsia="仿宋_GB2312" w:cs="仿宋_GB2312"/>
          <w:sz w:val="32"/>
          <w:szCs w:val="32"/>
          <w:highlight w:val="none"/>
          <w:lang w:val="en"/>
        </w:rPr>
        <w:t>0755-</w:t>
      </w:r>
      <w:r>
        <w:rPr>
          <w:rFonts w:hint="eastAsia" w:ascii="仿宋_GB2312" w:hAnsi="仿宋_GB2312" w:eastAsia="仿宋_GB2312" w:cs="仿宋_GB2312"/>
          <w:sz w:val="32"/>
          <w:szCs w:val="32"/>
          <w:highlight w:val="none"/>
          <w:lang w:val="en-US" w:eastAsia="zh-CN"/>
        </w:rPr>
        <w:t>88212831。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cs="Times New Roman"/>
          <w:color w:val="auto"/>
          <w:sz w:val="32"/>
          <w:szCs w:val="32"/>
          <w:lang w:eastAsia="zh-CN"/>
        </w:rPr>
      </w:pPr>
      <w:r>
        <w:rPr>
          <w:rFonts w:hint="eastAsia" w:ascii="仿宋_GB2312" w:hAnsi="宋体" w:eastAsia="仿宋_GB2312" w:cs="Times New Roman"/>
          <w:color w:val="auto"/>
          <w:sz w:val="32"/>
          <w:szCs w:val="32"/>
          <w:lang w:eastAsia="zh-CN"/>
        </w:rPr>
        <w:t>（六）</w:t>
      </w:r>
      <w:r>
        <w:rPr>
          <w:rFonts w:hint="eastAsia" w:ascii="仿宋_GB2312" w:hAnsi="宋体" w:eastAsia="仿宋_GB2312" w:cs="Times New Roman"/>
          <w:color w:val="auto"/>
          <w:sz w:val="32"/>
          <w:szCs w:val="32"/>
        </w:rPr>
        <w:t>系统技术支持电话：0755-27038037</w:t>
      </w:r>
      <w:r>
        <w:rPr>
          <w:rFonts w:hint="eastAsia" w:ascii="仿宋_GB2312" w:hAnsi="宋体" w:eastAsia="仿宋_GB2312" w:cs="Times New Roman"/>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六</w:t>
      </w:r>
      <w:r>
        <w:rPr>
          <w:rFonts w:hint="eastAsia" w:ascii="黑体" w:hAnsi="黑体" w:eastAsia="黑体" w:cs="黑体"/>
          <w:sz w:val="32"/>
          <w:szCs w:val="32"/>
          <w:highlight w:val="none"/>
        </w:rPr>
        <w:t>、申请受理机关</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深圳市</w:t>
      </w:r>
      <w:r>
        <w:rPr>
          <w:rFonts w:hint="eastAsia" w:ascii="仿宋_GB2312" w:hAnsi="仿宋_GB2312" w:eastAsia="仿宋_GB2312" w:cs="仿宋_GB2312"/>
          <w:sz w:val="32"/>
          <w:szCs w:val="32"/>
          <w:highlight w:val="none"/>
          <w:lang w:eastAsia="zh-CN"/>
        </w:rPr>
        <w:t>光明区工业和信息化局</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val="en-US" w:eastAsia="zh-CN"/>
        </w:rPr>
        <w:t>七</w:t>
      </w:r>
      <w:r>
        <w:rPr>
          <w:rFonts w:hint="eastAsia" w:ascii="黑体" w:hAnsi="黑体" w:eastAsia="黑体" w:cs="黑体"/>
          <w:sz w:val="32"/>
          <w:szCs w:val="32"/>
          <w:highlight w:val="none"/>
        </w:rPr>
        <w:t>、办理流程</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工业和信息化局发布申报指南—申报单位线上网络填报</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电子材料审核通过后申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资金支持方案</w:t>
      </w:r>
      <w:r>
        <w:rPr>
          <w:rFonts w:hint="default"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lang w:eastAsia="zh-CN"/>
        </w:rPr>
        <w:t>八</w:t>
      </w:r>
      <w:r>
        <w:rPr>
          <w:rFonts w:hint="eastAsia" w:ascii="黑体" w:hAnsi="黑体" w:eastAsia="黑体" w:cs="黑体"/>
          <w:sz w:val="32"/>
          <w:szCs w:val="32"/>
          <w:highlight w:val="none"/>
        </w:rPr>
        <w:t>、注意事项</w:t>
      </w:r>
    </w:p>
    <w:p>
      <w:pPr>
        <w:keepNext w:val="0"/>
        <w:keepLines w:val="0"/>
        <w:pageBreakBefore w:val="0"/>
        <w:widowControl w:val="0"/>
        <w:kinsoku/>
        <w:wordWrap/>
        <w:overflowPunct/>
        <w:topLinePunct w:val="0"/>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lang w:eastAsia="zh-CN"/>
        </w:rPr>
        <w:t>（一）</w:t>
      </w:r>
      <w:r>
        <w:rPr>
          <w:rFonts w:ascii="仿宋_GB2312" w:eastAsia="仿宋_GB2312"/>
          <w:sz w:val="32"/>
          <w:szCs w:val="32"/>
          <w:highlight w:val="none"/>
        </w:rPr>
        <w:t>申</w:t>
      </w:r>
      <w:r>
        <w:rPr>
          <w:rFonts w:hint="eastAsia" w:ascii="仿宋_GB2312" w:eastAsia="仿宋_GB2312"/>
          <w:sz w:val="32"/>
          <w:szCs w:val="32"/>
          <w:highlight w:val="none"/>
          <w:lang w:eastAsia="zh-CN"/>
        </w:rPr>
        <w:t>报</w:t>
      </w:r>
      <w:r>
        <w:rPr>
          <w:rFonts w:ascii="仿宋_GB2312" w:eastAsia="仿宋_GB2312"/>
          <w:sz w:val="32"/>
          <w:szCs w:val="32"/>
          <w:highlight w:val="none"/>
        </w:rPr>
        <w:t>单位对申</w:t>
      </w:r>
      <w:r>
        <w:rPr>
          <w:rFonts w:hint="eastAsia" w:ascii="仿宋_GB2312" w:eastAsia="仿宋_GB2312"/>
          <w:sz w:val="32"/>
          <w:szCs w:val="32"/>
          <w:highlight w:val="none"/>
          <w:lang w:eastAsia="zh-CN"/>
        </w:rPr>
        <w:t>报</w:t>
      </w:r>
      <w:r>
        <w:rPr>
          <w:rFonts w:ascii="仿宋_GB2312" w:eastAsia="仿宋_GB2312"/>
          <w:sz w:val="32"/>
          <w:szCs w:val="32"/>
          <w:highlight w:val="none"/>
        </w:rPr>
        <w:t>材料的合法性、真实性、准确性和完整性负责。对抄袭剽窃或弄虚作假的，</w:t>
      </w:r>
      <w:r>
        <w:rPr>
          <w:rFonts w:hint="default" w:ascii="仿宋_GB2312" w:hAnsi="仿宋_GB2312" w:eastAsia="仿宋_GB2312" w:cs="仿宋_GB2312"/>
          <w:sz w:val="32"/>
          <w:szCs w:val="32"/>
          <w:highlight w:val="none"/>
          <w:lang w:val="en"/>
        </w:rPr>
        <w:t>光明区工业和信息化局</w:t>
      </w:r>
      <w:r>
        <w:rPr>
          <w:rFonts w:ascii="仿宋_GB2312" w:eastAsia="仿宋_GB2312"/>
          <w:sz w:val="32"/>
          <w:szCs w:val="32"/>
          <w:highlight w:val="none"/>
        </w:rPr>
        <w:t>核实后将不予立项或撤销项目，并纳入</w:t>
      </w:r>
      <w:r>
        <w:rPr>
          <w:rFonts w:hint="eastAsia" w:ascii="仿宋_GB2312" w:eastAsia="仿宋_GB2312"/>
          <w:sz w:val="32"/>
          <w:szCs w:val="32"/>
          <w:highlight w:val="none"/>
          <w:lang w:eastAsia="zh-CN"/>
        </w:rPr>
        <w:t>黑名单</w:t>
      </w:r>
      <w:r>
        <w:rPr>
          <w:rFonts w:ascii="仿宋_GB2312" w:eastAsia="仿宋_GB2312"/>
          <w:sz w:val="32"/>
          <w:szCs w:val="32"/>
          <w:highlight w:val="none"/>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sz w:val="32"/>
          <w:szCs w:val="32"/>
          <w:highlight w:val="none"/>
          <w:lang w:eastAsia="zh-CN"/>
        </w:rPr>
        <w:t>（四）资助金额受财政下达年度资金预算总额控制，光明区工业和信息化局将视申报情况对奖励金额和拨付进度等进行统一调整，申报单位应无条件同意调整结果。</w:t>
      </w:r>
    </w:p>
    <w:p>
      <w:pPr>
        <w:keepNext w:val="0"/>
        <w:keepLines w:val="0"/>
        <w:pageBreakBefore w:val="0"/>
        <w:widowControl w:val="0"/>
        <w:kinsoku/>
        <w:wordWrap/>
        <w:topLinePunct w:val="0"/>
        <w:bidi w:val="0"/>
        <w:adjustRightInd/>
        <w:snapToGrid/>
        <w:spacing w:line="560" w:lineRule="exact"/>
        <w:textAlignment w:val="auto"/>
      </w:pP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posOffset>5078095</wp:posOffset>
              </wp:positionH>
              <wp:positionV relativeFrom="paragraph">
                <wp:posOffset>-12065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left:399.85pt;margin-top:-0.95pt;height:144pt;width:144pt;mso-position-horizontal-relative:margin;mso-wrap-style:none;z-index:251658240;mso-width-relative:page;mso-height-relative:page;" filled="f" stroked="f" coordsize="21600,21600" o:gfxdata="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DqTFzv2AAAAAsBAAAPAAAAAAAAAAEAIAAAADgAAABkcnMvZG93bnJldi54bWxQ&#10;SwECFAAUAAAACACHTuJAJhrSbhoCAAApBAAADgAAAAAAAAABACAAAAA9AQAAZHJzL2Uyb0RvYy54&#10;bWxQSwUGAAAAAAYABgBZAQAAyQUAAAAA&#10;">
              <v:fill on="f" focussize="0,0"/>
              <v:stroke on="f" weight="0.5pt"/>
              <v:imagedata o:title=""/>
              <o:lock v:ext="edit" aspectratio="f"/>
              <v:textbox inset="0mm,0mm,0mm,0mm" style="mso-fit-shape-to-text:t;">
                <w:txbxContent>
                  <w:p>
                    <w:pPr>
                      <w:pStyle w:val="5"/>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hint="eastAsia" w:asciiTheme="majorEastAsia" w:hAnsiTheme="majorEastAsia" w:eastAsiaTheme="majorEastAsia" w:cstheme="majorEastAsia"/>
                        <w:sz w:val="28"/>
                        <w:szCs w:val="28"/>
                      </w:rPr>
                      <w:t>1</w:t>
                    </w:r>
                    <w:r>
                      <w:rPr>
                        <w:rFonts w:hint="eastAsia" w:asciiTheme="majorEastAsia" w:hAnsiTheme="majorEastAsia" w:eastAsiaTheme="majorEastAsia" w:cstheme="majorEastAsia"/>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BBEFC5"/>
    <w:rsid w:val="0DFF3A27"/>
    <w:rsid w:val="11E58DDA"/>
    <w:rsid w:val="368C0576"/>
    <w:rsid w:val="3CB5A643"/>
    <w:rsid w:val="3F8694BD"/>
    <w:rsid w:val="3FEF2A0C"/>
    <w:rsid w:val="40235F10"/>
    <w:rsid w:val="42A12773"/>
    <w:rsid w:val="50B40956"/>
    <w:rsid w:val="53EFC403"/>
    <w:rsid w:val="56BE3D74"/>
    <w:rsid w:val="58FD3E12"/>
    <w:rsid w:val="5CBD8E27"/>
    <w:rsid w:val="5DFDAD75"/>
    <w:rsid w:val="5F8B7359"/>
    <w:rsid w:val="6C4F6F39"/>
    <w:rsid w:val="6EDDC250"/>
    <w:rsid w:val="6F3E1F37"/>
    <w:rsid w:val="751950D6"/>
    <w:rsid w:val="756E8B24"/>
    <w:rsid w:val="7577B59A"/>
    <w:rsid w:val="75EDF46C"/>
    <w:rsid w:val="773E66EB"/>
    <w:rsid w:val="7B73F50D"/>
    <w:rsid w:val="7B7F6E31"/>
    <w:rsid w:val="7BBB62D8"/>
    <w:rsid w:val="7BBBEFC5"/>
    <w:rsid w:val="7BFC88D6"/>
    <w:rsid w:val="7D782998"/>
    <w:rsid w:val="7DFB78D4"/>
    <w:rsid w:val="7EFDF41A"/>
    <w:rsid w:val="7F7F876A"/>
    <w:rsid w:val="7F9DDAD6"/>
    <w:rsid w:val="7FD77347"/>
    <w:rsid w:val="AEFD2116"/>
    <w:rsid w:val="B7DA7539"/>
    <w:rsid w:val="BE7FFF60"/>
    <w:rsid w:val="DF6E4E68"/>
    <w:rsid w:val="E7ADDD40"/>
    <w:rsid w:val="E9FF6D5E"/>
    <w:rsid w:val="EFF35D42"/>
    <w:rsid w:val="F5FFCDD2"/>
    <w:rsid w:val="F625EEDC"/>
    <w:rsid w:val="F7F945E8"/>
    <w:rsid w:val="F8FF895C"/>
    <w:rsid w:val="FD3B0CAC"/>
    <w:rsid w:val="FD7F788D"/>
    <w:rsid w:val="FDEE4330"/>
    <w:rsid w:val="FDFFF748"/>
    <w:rsid w:val="FEAF656E"/>
    <w:rsid w:val="FF5F3277"/>
    <w:rsid w:val="FFBEBD85"/>
    <w:rsid w:val="FFDDCEAE"/>
    <w:rsid w:val="FFEBB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4">
    <w:name w:val="Body Text Indent"/>
    <w:basedOn w:val="1"/>
    <w:qFormat/>
    <w:uiPriority w:val="0"/>
    <w:pPr>
      <w:spacing w:line="560" w:lineRule="exact"/>
      <w:ind w:firstLine="420" w:firstLineChars="200"/>
      <w:jc w:val="left"/>
    </w:pPr>
    <w:rPr>
      <w:rFonts w:ascii="宋体" w:hAnsi="宋体"/>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0">
    <w:name w:val="Hyperlink"/>
    <w:basedOn w:val="9"/>
    <w:semiHidden/>
    <w:unhideWhenUsed/>
    <w:qFormat/>
    <w:uiPriority w:val="99"/>
    <w:rPr>
      <w:color w:val="0000FF"/>
      <w:u w:val="single"/>
    </w:rPr>
  </w:style>
  <w:style w:type="paragraph" w:customStyle="1" w:styleId="11">
    <w:name w:val="标书正文1"/>
    <w:qFormat/>
    <w:uiPriority w:val="0"/>
    <w:pPr>
      <w:widowControl w:val="0"/>
      <w:spacing w:line="520" w:lineRule="exact"/>
      <w:ind w:firstLine="640" w:firstLineChars="200"/>
      <w:jc w:val="both"/>
    </w:pPr>
    <w:rPr>
      <w:rFonts w:ascii="Times New Roman" w:hAnsi="Times New Roman" w:eastAsia="宋体" w:cs="Times New Roman"/>
      <w:kern w:val="2"/>
      <w:sz w:val="21"/>
      <w:szCs w:val="24"/>
      <w:lang w:val="en-US" w:eastAsia="zh-CN" w:bidi="ar-SA"/>
    </w:rPr>
  </w:style>
  <w:style w:type="paragraph" w:customStyle="1" w:styleId="12">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2023-01-20T10:40:00Z</dcterms:created>
  <dc:creator>huawei</dc:creator>
  <cp:lastModifiedBy>huawei</cp:lastModifiedBy>
  <dcterms:modified xsi:type="dcterms:W3CDTF">2025-07-03T10:26:57Z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48BA8383343310E4FBFFC3637D3F0ED9</vt:lpwstr>
  </property>
</Properties>
</file>