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专利奖项目申报指南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320" w:firstLineChars="1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二、专利奖项目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实施专利奖配套奖励。对获得中国专利金奖、银奖、优秀奖的单位，按项目分别给予最高200万元、100万元、20万元奖励。对获得广东专利金奖、银奖、优秀奖的单位，按项目分别给予最高30万元、20万元、10万元奖励。对获得深圳市专利奖的单位，按项目给予最高20万元奖励。（《若干措施》第三条第九项）</w:t>
      </w:r>
    </w:p>
    <w:p>
      <w:pPr>
        <w:pStyle w:val="2"/>
        <w:ind w:left="0" w:leftChars="0" w:firstLine="640" w:firstLineChars="20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eastAsia="仿宋_GB2312" w:cs="宋体"/>
          <w:kern w:val="2"/>
          <w:sz w:val="32"/>
          <w:szCs w:val="32"/>
          <w:highlight w:val="none"/>
          <w:lang w:eastAsia="zh-CN"/>
        </w:rPr>
      </w:pPr>
      <w:r>
        <w:rPr>
          <w:rFonts w:hint="eastAsia" w:ascii="仿宋_GB2312" w:eastAsia="仿宋_GB2312" w:cs="宋体"/>
          <w:kern w:val="2"/>
          <w:sz w:val="32"/>
          <w:szCs w:val="32"/>
          <w:highlight w:val="none"/>
          <w:lang w:eastAsia="zh-CN"/>
        </w:rPr>
        <w:t>（四）符合有关产业政策文件及申请指南规定的其他条件。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（五）上一年获得中国专利金奖、银奖、优秀奖或广东专利金奖、银奖、优秀奖或深圳市专利奖的单位，</w:t>
      </w:r>
      <w:r>
        <w:rPr>
          <w:rFonts w:hint="eastAsia" w:ascii="仿宋_GB2312" w:eastAsia="仿宋_GB2312" w:cs="宋体"/>
          <w:kern w:val="2"/>
          <w:sz w:val="32"/>
          <w:szCs w:val="32"/>
          <w:highlight w:val="none"/>
          <w:lang w:val="en-US" w:eastAsia="zh-CN"/>
        </w:rPr>
        <w:t>申报单位应为第一顺序获奖主体。</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w:t>
      </w:r>
      <w:r>
        <w:rPr>
          <w:rFonts w:hint="eastAsia" w:ascii="仿宋_GB2312" w:hAnsi="楷体_GB2312" w:eastAsia="仿宋_GB2312" w:cs="楷体_GB2312"/>
          <w:color w:val="auto"/>
          <w:sz w:val="32"/>
          <w:szCs w:val="32"/>
          <w:highlight w:val="none"/>
          <w:lang w:val="en-US" w:eastAsia="zh-CN"/>
        </w:rPr>
        <w:t>登录深圳市财政专项资金统一管理平台</w:t>
      </w:r>
      <w:r>
        <w:rPr>
          <w:rFonts w:hint="eastAsia" w:ascii="仿宋_GB2312" w:hAnsi="楷体_GB2312" w:eastAsia="仿宋_GB2312" w:cs="楷体_GB2312"/>
          <w:color w:val="auto"/>
          <w:sz w:val="32"/>
          <w:szCs w:val="32"/>
          <w:highlight w:val="none"/>
        </w:rPr>
        <w:t>在线填报申请书，网址：https://cqt.szfb.sz.gov.cn/#/home。请企业按照申请指南准备申请材料，需上传扫描件，确保内容清晰。在提交申请后请耐心等待初审通过；若申请未通过初审被退回，请按照相关意见及时修改。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color w:val="auto"/>
          <w:sz w:val="32"/>
          <w:szCs w:val="32"/>
          <w:highlight w:val="none"/>
        </w:rPr>
        <w:t>提交通过线上初审后，从该系统导出带水印的申请</w:t>
      </w:r>
      <w:r>
        <w:rPr>
          <w:rFonts w:hint="eastAsia" w:ascii="仿宋_GB2312" w:hAnsi="楷体_GB2312" w:eastAsia="仿宋_GB2312" w:cs="楷体_GB2312"/>
          <w:color w:val="auto"/>
          <w:sz w:val="32"/>
          <w:szCs w:val="32"/>
          <w:highlight w:val="none"/>
        </w:rPr>
        <w:t>表及</w:t>
      </w:r>
      <w:r>
        <w:rPr>
          <w:rFonts w:hint="eastAsia" w:ascii="仿宋_GB2312" w:hAnsi="楷体_GB2312" w:eastAsia="仿宋_GB2312" w:cs="楷体_GB2312"/>
          <w:color w:val="auto"/>
          <w:sz w:val="32"/>
          <w:szCs w:val="32"/>
          <w:highlight w:val="none"/>
          <w:lang w:eastAsia="zh-CN"/>
        </w:rPr>
        <w:t>申请</w:t>
      </w:r>
      <w:r>
        <w:rPr>
          <w:rFonts w:hint="eastAsia" w:ascii="仿宋_GB2312" w:hAnsi="楷体_GB2312" w:eastAsia="仿宋_GB2312" w:cs="楷体_GB2312"/>
          <w:color w:val="auto"/>
          <w:sz w:val="32"/>
          <w:szCs w:val="32"/>
          <w:highlight w:val="none"/>
        </w:rPr>
        <w:t>材料。</w:t>
      </w:r>
      <w:r>
        <w:rPr>
          <w:rFonts w:ascii="仿宋_GB2312" w:hAnsi="楷体_GB2312" w:eastAsia="仿宋_GB2312" w:cs="楷体_GB2312"/>
          <w:color w:val="auto"/>
          <w:sz w:val="32"/>
          <w:szCs w:val="32"/>
          <w:highlight w:val="none"/>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1"/>
          <w:numId w:val="0"/>
        </w:numPr>
        <w:kinsoku w:val="0"/>
        <w:overflowPunct w:val="0"/>
        <w:autoSpaceDE w:val="0"/>
        <w:autoSpaceDN w:val="0"/>
        <w:spacing w:line="560" w:lineRule="exact"/>
        <w:ind w:firstLine="640" w:firstLineChars="200"/>
        <w:rPr>
          <w:rFonts w:hint="eastAsia" w:ascii="仿宋_GB2312" w:hAnsi="楷体_GB2312" w:eastAsia="仿宋_GB2312" w:cs="楷体_GB2312"/>
          <w:b/>
          <w:bCs/>
          <w:sz w:val="32"/>
          <w:szCs w:val="32"/>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z w:val="32"/>
          <w:szCs w:val="32"/>
          <w:highlight w:val="none"/>
          <w:lang w:eastAsia="zh-CN"/>
        </w:rPr>
        <w:t>专利证书、</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highlight w:val="none"/>
        </w:rPr>
      </w:pPr>
      <w:r>
        <w:rPr>
          <w:rFonts w:hint="eastAsia" w:ascii="仿宋_GB2312" w:hAnsi="Calibri" w:eastAsia="仿宋_GB2312"/>
          <w:sz w:val="32"/>
          <w:szCs w:val="32"/>
          <w:highlight w:val="none"/>
        </w:rPr>
        <w:t>申请单位网上申报--网上申报通过后申请单位提交</w:t>
      </w:r>
      <w:r>
        <w:rPr>
          <w:rFonts w:hint="eastAsia" w:ascii="仿宋_GB2312" w:hAnsi="Calibri" w:eastAsia="仿宋_GB2312"/>
          <w:sz w:val="32"/>
          <w:szCs w:val="32"/>
          <w:highlight w:val="none"/>
          <w:lang w:eastAsia="zh-CN"/>
        </w:rPr>
        <w:t>纸质</w:t>
      </w:r>
      <w:r>
        <w:rPr>
          <w:rFonts w:hint="eastAsia" w:ascii="仿宋_GB2312" w:hAnsi="Calibri" w:eastAsia="仿宋_GB2312"/>
          <w:sz w:val="32"/>
          <w:szCs w:val="32"/>
          <w:highlight w:val="none"/>
        </w:rPr>
        <w:t>材料--形式审查、技术审查--根据需要组织</w:t>
      </w:r>
      <w:bookmarkStart w:id="0" w:name="_GoBack"/>
      <w:bookmarkEnd w:id="0"/>
      <w:r>
        <w:rPr>
          <w:rFonts w:hint="eastAsia" w:ascii="仿宋_GB2312" w:hAnsi="Calibri" w:eastAsia="仿宋_GB2312"/>
          <w:sz w:val="32"/>
          <w:szCs w:val="32"/>
          <w:highlight w:val="none"/>
        </w:rPr>
        <w:t>专家评审并会同相关部门核查并形成资金扶持方案--</w:t>
      </w:r>
      <w:r>
        <w:rPr>
          <w:rFonts w:hint="eastAsia" w:ascii="仿宋_GB2312" w:hAnsi="Calibri" w:eastAsia="仿宋_GB2312"/>
          <w:sz w:val="32"/>
          <w:szCs w:val="32"/>
          <w:highlight w:val="none"/>
          <w:lang w:eastAsia="zh-CN"/>
        </w:rPr>
        <w:t>按程序</w:t>
      </w:r>
      <w:r>
        <w:rPr>
          <w:rFonts w:hint="eastAsia" w:ascii="仿宋_GB2312" w:hAnsi="Calibri" w:eastAsia="仿宋_GB2312"/>
          <w:sz w:val="32"/>
          <w:szCs w:val="32"/>
          <w:highlight w:val="none"/>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r>
        <w:rPr>
          <w:rFonts w:hint="eastAsia" w:ascii="仿宋_GB2312" w:hAnsi="Calibri" w:eastAsia="仿宋_GB2312"/>
          <w:b/>
          <w:bCs/>
          <w:sz w:val="32"/>
          <w:szCs w:val="32"/>
        </w:rPr>
        <w:t>绩效自评</w:t>
      </w:r>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true"/>
  <w:bordersDoNotSurroundFooter w:val="true"/>
  <w:documentProtection w:enforcement="0"/>
  <w:defaultTabStop w:val="420"/>
  <w:drawingGridHorizontalSpacing w:val="105"/>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412AAB"/>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AE6374F"/>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A71C3E"/>
    <w:rsid w:val="27E2526A"/>
    <w:rsid w:val="2A181124"/>
    <w:rsid w:val="2A297180"/>
    <w:rsid w:val="2C0529E2"/>
    <w:rsid w:val="2D7367B0"/>
    <w:rsid w:val="2DE57862"/>
    <w:rsid w:val="2ED605FF"/>
    <w:rsid w:val="2FB71E20"/>
    <w:rsid w:val="30551017"/>
    <w:rsid w:val="306C1B7D"/>
    <w:rsid w:val="30A27D54"/>
    <w:rsid w:val="30DD4C1E"/>
    <w:rsid w:val="31E40829"/>
    <w:rsid w:val="31EA18EB"/>
    <w:rsid w:val="32275720"/>
    <w:rsid w:val="324E7351"/>
    <w:rsid w:val="32B83874"/>
    <w:rsid w:val="347D0DB4"/>
    <w:rsid w:val="351F7AFD"/>
    <w:rsid w:val="3534225C"/>
    <w:rsid w:val="35415F83"/>
    <w:rsid w:val="365B70E1"/>
    <w:rsid w:val="370229E4"/>
    <w:rsid w:val="375647F4"/>
    <w:rsid w:val="38006983"/>
    <w:rsid w:val="38DD3F57"/>
    <w:rsid w:val="39BA7DF4"/>
    <w:rsid w:val="39F5772D"/>
    <w:rsid w:val="3AC30F2B"/>
    <w:rsid w:val="3AFB388B"/>
    <w:rsid w:val="3C83436B"/>
    <w:rsid w:val="3E3D5A75"/>
    <w:rsid w:val="3E3E3CEC"/>
    <w:rsid w:val="3F732378"/>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5FF06924"/>
    <w:rsid w:val="60B5441C"/>
    <w:rsid w:val="61B0127A"/>
    <w:rsid w:val="62255EA3"/>
    <w:rsid w:val="62557F41"/>
    <w:rsid w:val="632750BB"/>
    <w:rsid w:val="63610D97"/>
    <w:rsid w:val="648A1A8D"/>
    <w:rsid w:val="657257F0"/>
    <w:rsid w:val="670C5799"/>
    <w:rsid w:val="676F0077"/>
    <w:rsid w:val="680A5F81"/>
    <w:rsid w:val="6A197339"/>
    <w:rsid w:val="6AE3680B"/>
    <w:rsid w:val="6AF71121"/>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361CCE"/>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 w:val="FAF707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1287</Words>
  <Characters>1348</Characters>
  <Lines>63</Lines>
  <Paragraphs>17</Paragraphs>
  <TotalTime>10</TotalTime>
  <ScaleCrop>false</ScaleCrop>
  <LinksUpToDate>false</LinksUpToDate>
  <CharactersWithSpaces>1351</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2025-07-08T15:05:32Z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